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515792926" w:displacedByCustomXml="next"/>
    <w:bookmarkStart w:id="1" w:name="_Toc515793165" w:displacedByCustomXml="next"/>
    <w:bookmarkStart w:id="2" w:name="_Toc518135481" w:displacedByCustomXml="next"/>
    <w:bookmarkStart w:id="3" w:name="_Toc516047979" w:displacedByCustomXml="next"/>
    <w:sdt>
      <w:sdtPr>
        <w:id w:val="-707562961"/>
        <w:docPartObj>
          <w:docPartGallery w:val="Cover Pages"/>
          <w:docPartUnique/>
        </w:docPartObj>
      </w:sdtPr>
      <w:sdtEndPr>
        <w:rPr>
          <w:rFonts w:ascii="Times New Roman" w:hAnsi="Times New Roman"/>
          <w:caps/>
          <w:color w:val="5B9BD5" w:themeColor="accent1"/>
          <w:spacing w:val="14"/>
          <w:sz w:val="24"/>
          <w:szCs w:val="24"/>
        </w:rPr>
      </w:sdtEndPr>
      <w:sdtContent>
        <w:p w14:paraId="5AEE7747" w14:textId="0068ADAB" w:rsidR="00EB516D" w:rsidRDefault="00EB516D">
          <w:r>
            <w:rPr>
              <w:rFonts w:ascii="Times New Roman" w:hAnsi="Times New Roman"/>
              <w:caps/>
              <w:noProof/>
              <w:color w:val="5B9BD5" w:themeColor="accent1"/>
              <w:spacing w:val="14"/>
              <w:sz w:val="24"/>
              <w:szCs w:val="24"/>
              <w:lang w:eastAsia="fr-FR"/>
            </w:rPr>
            <w:drawing>
              <wp:anchor distT="0" distB="0" distL="114300" distR="114300" simplePos="0" relativeHeight="251658240" behindDoc="0" locked="0" layoutInCell="1" allowOverlap="1" wp14:anchorId="219E0802" wp14:editId="6614FCF8">
                <wp:simplePos x="0" y="0"/>
                <wp:positionH relativeFrom="column">
                  <wp:posOffset>-762635</wp:posOffset>
                </wp:positionH>
                <wp:positionV relativeFrom="paragraph">
                  <wp:posOffset>-572135</wp:posOffset>
                </wp:positionV>
                <wp:extent cx="7284720" cy="9677400"/>
                <wp:effectExtent l="0" t="0" r="0" b="0"/>
                <wp:wrapThrough wrapText="bothSides">
                  <wp:wrapPolygon edited="0">
                    <wp:start x="0" y="0"/>
                    <wp:lineTo x="0" y="21557"/>
                    <wp:lineTo x="21521" y="21557"/>
                    <wp:lineTo x="21521" y="0"/>
                    <wp:lineTo x="0" y="0"/>
                  </wp:wrapPolygon>
                </wp:wrapThrough>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ge de garde contextuel au 01 07 2018.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7284720" cy="9677400"/>
                        </a:xfrm>
                        <a:prstGeom prst="rect">
                          <a:avLst/>
                        </a:prstGeom>
                      </pic:spPr>
                    </pic:pic>
                  </a:graphicData>
                </a:graphic>
                <wp14:sizeRelH relativeFrom="margin">
                  <wp14:pctWidth>0</wp14:pctWidth>
                </wp14:sizeRelH>
                <wp14:sizeRelV relativeFrom="margin">
                  <wp14:pctHeight>0</wp14:pctHeight>
                </wp14:sizeRelV>
              </wp:anchor>
            </w:drawing>
          </w:r>
        </w:p>
        <w:p w14:paraId="411EF01E" w14:textId="4E399208" w:rsidR="00EB516D" w:rsidRDefault="004735E0">
          <w:pPr>
            <w:rPr>
              <w:rFonts w:ascii="Times New Roman" w:eastAsiaTheme="majorEastAsia" w:hAnsi="Times New Roman"/>
              <w:caps/>
              <w:color w:val="5B9BD5" w:themeColor="accent1"/>
              <w:spacing w:val="14"/>
              <w:sz w:val="24"/>
              <w:szCs w:val="24"/>
            </w:rPr>
          </w:pPr>
        </w:p>
      </w:sdtContent>
    </w:sdt>
    <w:sdt>
      <w:sdtPr>
        <w:rPr>
          <w:rFonts w:ascii="Calibri" w:eastAsia="Calibri" w:hAnsi="Calibri" w:cs="Times New Roman"/>
          <w:color w:val="auto"/>
          <w:sz w:val="22"/>
          <w:szCs w:val="22"/>
          <w:lang w:eastAsia="en-US"/>
        </w:rPr>
        <w:id w:val="520672491"/>
        <w:docPartObj>
          <w:docPartGallery w:val="Table of Contents"/>
          <w:docPartUnique/>
        </w:docPartObj>
      </w:sdtPr>
      <w:sdtEndPr>
        <w:rPr>
          <w:b/>
          <w:bCs/>
        </w:rPr>
      </w:sdtEndPr>
      <w:sdtContent>
        <w:p w14:paraId="6BF7BC0B" w14:textId="2D82D726" w:rsidR="007C4ABA" w:rsidRDefault="007C4ABA">
          <w:pPr>
            <w:pStyle w:val="En-ttedetabledesmatires"/>
          </w:pPr>
          <w:r>
            <w:t>Table des matières</w:t>
          </w:r>
        </w:p>
        <w:p w14:paraId="0921B6ED" w14:textId="77777777" w:rsidR="00553B37" w:rsidRPr="00553B37" w:rsidRDefault="007C4ABA">
          <w:pPr>
            <w:pStyle w:val="TM1"/>
            <w:rPr>
              <w:rFonts w:ascii="Times New Roman" w:eastAsiaTheme="minorEastAsia" w:hAnsi="Times New Roman" w:cs="Times New Roman"/>
              <w:noProof/>
              <w:sz w:val="20"/>
              <w:lang w:eastAsia="fr-FR"/>
            </w:rPr>
          </w:pPr>
          <w:r w:rsidRPr="00553B37">
            <w:rPr>
              <w:rFonts w:ascii="Times New Roman" w:hAnsi="Times New Roman" w:cs="Times New Roman"/>
              <w:sz w:val="20"/>
            </w:rPr>
            <w:fldChar w:fldCharType="begin"/>
          </w:r>
          <w:r w:rsidRPr="00553B37">
            <w:rPr>
              <w:rFonts w:ascii="Times New Roman" w:hAnsi="Times New Roman" w:cs="Times New Roman"/>
              <w:sz w:val="20"/>
            </w:rPr>
            <w:instrText xml:space="preserve"> TOC \o "1-3" \h \z \u </w:instrText>
          </w:r>
          <w:r w:rsidRPr="00553B37">
            <w:rPr>
              <w:rFonts w:ascii="Times New Roman" w:hAnsi="Times New Roman" w:cs="Times New Roman"/>
              <w:sz w:val="20"/>
            </w:rPr>
            <w:fldChar w:fldCharType="separate"/>
          </w:r>
          <w:hyperlink w:anchor="_Toc518468043" w:history="1">
            <w:r w:rsidR="00553B37" w:rsidRPr="00553B37">
              <w:rPr>
                <w:rStyle w:val="Lienhypertexte"/>
                <w:rFonts w:ascii="Times New Roman" w:hAnsi="Times New Roman"/>
                <w:noProof/>
                <w:sz w:val="20"/>
              </w:rPr>
              <w:t>Résumé exécutif</w:t>
            </w:r>
            <w:r w:rsidR="00553B37" w:rsidRPr="00553B37">
              <w:rPr>
                <w:rFonts w:ascii="Times New Roman" w:hAnsi="Times New Roman" w:cs="Times New Roman"/>
                <w:noProof/>
                <w:webHidden/>
                <w:sz w:val="20"/>
              </w:rPr>
              <w:tab/>
            </w:r>
            <w:r w:rsidR="00553B37" w:rsidRPr="00553B37">
              <w:rPr>
                <w:rFonts w:ascii="Times New Roman" w:hAnsi="Times New Roman" w:cs="Times New Roman"/>
                <w:noProof/>
                <w:webHidden/>
                <w:sz w:val="20"/>
              </w:rPr>
              <w:fldChar w:fldCharType="begin"/>
            </w:r>
            <w:r w:rsidR="00553B37" w:rsidRPr="00553B37">
              <w:rPr>
                <w:rFonts w:ascii="Times New Roman" w:hAnsi="Times New Roman" w:cs="Times New Roman"/>
                <w:noProof/>
                <w:webHidden/>
                <w:sz w:val="20"/>
              </w:rPr>
              <w:instrText xml:space="preserve"> PAGEREF _Toc518468043 \h </w:instrText>
            </w:r>
            <w:r w:rsidR="00553B37" w:rsidRPr="00553B37">
              <w:rPr>
                <w:rFonts w:ascii="Times New Roman" w:hAnsi="Times New Roman" w:cs="Times New Roman"/>
                <w:noProof/>
                <w:webHidden/>
                <w:sz w:val="20"/>
              </w:rPr>
            </w:r>
            <w:r w:rsidR="00553B37" w:rsidRPr="00553B37">
              <w:rPr>
                <w:rFonts w:ascii="Times New Roman" w:hAnsi="Times New Roman" w:cs="Times New Roman"/>
                <w:noProof/>
                <w:webHidden/>
                <w:sz w:val="20"/>
              </w:rPr>
              <w:fldChar w:fldCharType="separate"/>
            </w:r>
            <w:r w:rsidR="00553B37" w:rsidRPr="00553B37">
              <w:rPr>
                <w:rFonts w:ascii="Times New Roman" w:hAnsi="Times New Roman" w:cs="Times New Roman"/>
                <w:noProof/>
                <w:webHidden/>
                <w:sz w:val="20"/>
              </w:rPr>
              <w:t>5</w:t>
            </w:r>
            <w:r w:rsidR="00553B37" w:rsidRPr="00553B37">
              <w:rPr>
                <w:rFonts w:ascii="Times New Roman" w:hAnsi="Times New Roman" w:cs="Times New Roman"/>
                <w:noProof/>
                <w:webHidden/>
                <w:sz w:val="20"/>
              </w:rPr>
              <w:fldChar w:fldCharType="end"/>
            </w:r>
          </w:hyperlink>
        </w:p>
        <w:p w14:paraId="6D734E01" w14:textId="4B40B343" w:rsidR="00553B37" w:rsidRPr="00553B37" w:rsidRDefault="00553B37">
          <w:pPr>
            <w:pStyle w:val="TM1"/>
            <w:rPr>
              <w:rFonts w:ascii="Times New Roman" w:eastAsiaTheme="minorEastAsia" w:hAnsi="Times New Roman" w:cs="Times New Roman"/>
              <w:noProof/>
              <w:sz w:val="20"/>
              <w:lang w:eastAsia="fr-FR"/>
            </w:rPr>
          </w:pPr>
          <w:hyperlink w:anchor="_Toc518468044" w:history="1">
            <w:r w:rsidRPr="00553B37">
              <w:rPr>
                <w:rStyle w:val="Lienhypertexte"/>
                <w:rFonts w:ascii="Times New Roman" w:hAnsi="Times New Roman"/>
                <w:noProof/>
                <w:sz w:val="20"/>
              </w:rPr>
              <w:t>Introduction</w:t>
            </w:r>
            <w:r>
              <w:rPr>
                <w:rStyle w:val="Lienhypertexte"/>
                <w:rFonts w:ascii="Times New Roman" w:hAnsi="Times New Roman"/>
                <w:noProof/>
                <w:sz w:val="20"/>
              </w:rPr>
              <w:t>………………</w:t>
            </w:r>
            <w:r w:rsidRPr="00553B37">
              <w:rPr>
                <w:rFonts w:ascii="Times New Roman" w:hAnsi="Times New Roman" w:cs="Times New Roman"/>
                <w:noProof/>
                <w:webHidden/>
                <w:sz w:val="20"/>
              </w:rPr>
              <w:tab/>
            </w:r>
            <w:r w:rsidRPr="00553B37">
              <w:rPr>
                <w:rFonts w:ascii="Times New Roman" w:hAnsi="Times New Roman" w:cs="Times New Roman"/>
                <w:noProof/>
                <w:webHidden/>
                <w:sz w:val="20"/>
              </w:rPr>
              <w:fldChar w:fldCharType="begin"/>
            </w:r>
            <w:r w:rsidRPr="00553B37">
              <w:rPr>
                <w:rFonts w:ascii="Times New Roman" w:hAnsi="Times New Roman" w:cs="Times New Roman"/>
                <w:noProof/>
                <w:webHidden/>
                <w:sz w:val="20"/>
              </w:rPr>
              <w:instrText xml:space="preserve"> PAGEREF _Toc518468044 \h </w:instrText>
            </w:r>
            <w:r w:rsidRPr="00553B37">
              <w:rPr>
                <w:rFonts w:ascii="Times New Roman" w:hAnsi="Times New Roman" w:cs="Times New Roman"/>
                <w:noProof/>
                <w:webHidden/>
                <w:sz w:val="20"/>
              </w:rPr>
            </w:r>
            <w:r w:rsidRPr="00553B37">
              <w:rPr>
                <w:rFonts w:ascii="Times New Roman" w:hAnsi="Times New Roman" w:cs="Times New Roman"/>
                <w:noProof/>
                <w:webHidden/>
                <w:sz w:val="20"/>
              </w:rPr>
              <w:fldChar w:fldCharType="separate"/>
            </w:r>
            <w:r w:rsidRPr="00553B37">
              <w:rPr>
                <w:rFonts w:ascii="Times New Roman" w:hAnsi="Times New Roman" w:cs="Times New Roman"/>
                <w:noProof/>
                <w:webHidden/>
                <w:sz w:val="20"/>
              </w:rPr>
              <w:t>7</w:t>
            </w:r>
            <w:r w:rsidRPr="00553B37">
              <w:rPr>
                <w:rFonts w:ascii="Times New Roman" w:hAnsi="Times New Roman" w:cs="Times New Roman"/>
                <w:noProof/>
                <w:webHidden/>
                <w:sz w:val="20"/>
              </w:rPr>
              <w:fldChar w:fldCharType="end"/>
            </w:r>
          </w:hyperlink>
        </w:p>
        <w:p w14:paraId="7B846722" w14:textId="77777777" w:rsidR="00553B37" w:rsidRPr="00553B37" w:rsidRDefault="00553B37" w:rsidP="00553B37">
          <w:pPr>
            <w:pStyle w:val="TM2"/>
            <w:rPr>
              <w:rFonts w:eastAsiaTheme="minorEastAsia"/>
              <w:noProof/>
              <w:lang w:eastAsia="fr-FR"/>
            </w:rPr>
          </w:pPr>
          <w:hyperlink w:anchor="_Toc518468045" w:history="1">
            <w:r w:rsidRPr="00553B37">
              <w:rPr>
                <w:rStyle w:val="Lienhypertexte"/>
                <w:rFonts w:ascii="Times New Roman" w:hAnsi="Times New Roman"/>
                <w:noProof/>
                <w:sz w:val="20"/>
              </w:rPr>
              <w:t>1.</w:t>
            </w:r>
            <w:r w:rsidRPr="00553B37">
              <w:rPr>
                <w:rFonts w:eastAsiaTheme="minorEastAsia"/>
                <w:noProof/>
                <w:lang w:eastAsia="fr-FR"/>
              </w:rPr>
              <w:tab/>
            </w:r>
            <w:r w:rsidRPr="00553B37">
              <w:rPr>
                <w:rStyle w:val="Lienhypertexte"/>
                <w:rFonts w:ascii="Times New Roman" w:hAnsi="Times New Roman"/>
                <w:noProof/>
                <w:sz w:val="20"/>
              </w:rPr>
              <w:t>Contexte</w:t>
            </w:r>
            <w:r w:rsidRPr="00553B37">
              <w:rPr>
                <w:noProof/>
                <w:webHidden/>
              </w:rPr>
              <w:tab/>
            </w:r>
            <w:r w:rsidRPr="00553B37">
              <w:rPr>
                <w:noProof/>
                <w:webHidden/>
              </w:rPr>
              <w:fldChar w:fldCharType="begin"/>
            </w:r>
            <w:r w:rsidRPr="00553B37">
              <w:rPr>
                <w:noProof/>
                <w:webHidden/>
              </w:rPr>
              <w:instrText xml:space="preserve"> PAGEREF _Toc518468045 \h </w:instrText>
            </w:r>
            <w:r w:rsidRPr="00553B37">
              <w:rPr>
                <w:noProof/>
                <w:webHidden/>
              </w:rPr>
            </w:r>
            <w:r w:rsidRPr="00553B37">
              <w:rPr>
                <w:noProof/>
                <w:webHidden/>
              </w:rPr>
              <w:fldChar w:fldCharType="separate"/>
            </w:r>
            <w:r w:rsidRPr="00553B37">
              <w:rPr>
                <w:noProof/>
                <w:webHidden/>
              </w:rPr>
              <w:t>7</w:t>
            </w:r>
            <w:r w:rsidRPr="00553B37">
              <w:rPr>
                <w:noProof/>
                <w:webHidden/>
              </w:rPr>
              <w:fldChar w:fldCharType="end"/>
            </w:r>
          </w:hyperlink>
        </w:p>
        <w:p w14:paraId="21757D69" w14:textId="77777777" w:rsidR="00553B37" w:rsidRPr="00553B37" w:rsidRDefault="00553B37" w:rsidP="00553B37">
          <w:pPr>
            <w:pStyle w:val="TM2"/>
            <w:rPr>
              <w:rFonts w:eastAsiaTheme="minorEastAsia"/>
              <w:noProof/>
              <w:lang w:eastAsia="fr-FR"/>
            </w:rPr>
          </w:pPr>
          <w:hyperlink w:anchor="_Toc518468046" w:history="1">
            <w:r w:rsidRPr="00553B37">
              <w:rPr>
                <w:rStyle w:val="Lienhypertexte"/>
                <w:rFonts w:ascii="Times New Roman" w:hAnsi="Times New Roman"/>
                <w:noProof/>
                <w:sz w:val="20"/>
              </w:rPr>
              <w:t>2.</w:t>
            </w:r>
            <w:r w:rsidRPr="00553B37">
              <w:rPr>
                <w:rFonts w:eastAsiaTheme="minorEastAsia"/>
                <w:noProof/>
                <w:lang w:eastAsia="fr-FR"/>
              </w:rPr>
              <w:tab/>
            </w:r>
            <w:r w:rsidRPr="00553B37">
              <w:rPr>
                <w:rStyle w:val="Lienhypertexte"/>
                <w:rFonts w:ascii="Times New Roman" w:hAnsi="Times New Roman"/>
                <w:noProof/>
                <w:sz w:val="20"/>
              </w:rPr>
              <w:t>Mandat du Secrétariat Technique</w:t>
            </w:r>
            <w:r w:rsidRPr="00553B37">
              <w:rPr>
                <w:noProof/>
                <w:webHidden/>
              </w:rPr>
              <w:tab/>
            </w:r>
            <w:r w:rsidRPr="00553B37">
              <w:rPr>
                <w:noProof/>
                <w:webHidden/>
              </w:rPr>
              <w:fldChar w:fldCharType="begin"/>
            </w:r>
            <w:r w:rsidRPr="00553B37">
              <w:rPr>
                <w:noProof/>
                <w:webHidden/>
              </w:rPr>
              <w:instrText xml:space="preserve"> PAGEREF _Toc518468046 \h </w:instrText>
            </w:r>
            <w:r w:rsidRPr="00553B37">
              <w:rPr>
                <w:noProof/>
                <w:webHidden/>
              </w:rPr>
            </w:r>
            <w:r w:rsidRPr="00553B37">
              <w:rPr>
                <w:noProof/>
                <w:webHidden/>
              </w:rPr>
              <w:fldChar w:fldCharType="separate"/>
            </w:r>
            <w:r w:rsidRPr="00553B37">
              <w:rPr>
                <w:noProof/>
                <w:webHidden/>
              </w:rPr>
              <w:t>7</w:t>
            </w:r>
            <w:r w:rsidRPr="00553B37">
              <w:rPr>
                <w:noProof/>
                <w:webHidden/>
              </w:rPr>
              <w:fldChar w:fldCharType="end"/>
            </w:r>
          </w:hyperlink>
        </w:p>
        <w:p w14:paraId="3358FAF0" w14:textId="77777777" w:rsidR="00553B37" w:rsidRPr="00553B37" w:rsidRDefault="00553B37" w:rsidP="00553B37">
          <w:pPr>
            <w:pStyle w:val="TM2"/>
            <w:rPr>
              <w:rFonts w:eastAsiaTheme="minorEastAsia"/>
              <w:noProof/>
              <w:lang w:eastAsia="fr-FR"/>
            </w:rPr>
          </w:pPr>
          <w:hyperlink w:anchor="_Toc518468047" w:history="1">
            <w:r w:rsidRPr="00553B37">
              <w:rPr>
                <w:rStyle w:val="Lienhypertexte"/>
                <w:rFonts w:ascii="Times New Roman" w:hAnsi="Times New Roman"/>
                <w:noProof/>
                <w:sz w:val="20"/>
              </w:rPr>
              <w:t>3.</w:t>
            </w:r>
            <w:r w:rsidRPr="00553B37">
              <w:rPr>
                <w:rFonts w:eastAsiaTheme="minorEastAsia"/>
                <w:noProof/>
                <w:lang w:eastAsia="fr-FR"/>
              </w:rPr>
              <w:tab/>
            </w:r>
            <w:r w:rsidRPr="00553B37">
              <w:rPr>
                <w:rStyle w:val="Lienhypertexte"/>
                <w:rFonts w:ascii="Times New Roman" w:hAnsi="Times New Roman"/>
                <w:noProof/>
                <w:sz w:val="20"/>
              </w:rPr>
              <w:t>Importance de la publication des informations contextuelles</w:t>
            </w:r>
            <w:r w:rsidRPr="00553B37">
              <w:rPr>
                <w:noProof/>
                <w:webHidden/>
              </w:rPr>
              <w:tab/>
            </w:r>
            <w:r w:rsidRPr="00553B37">
              <w:rPr>
                <w:noProof/>
                <w:webHidden/>
              </w:rPr>
              <w:fldChar w:fldCharType="begin"/>
            </w:r>
            <w:r w:rsidRPr="00553B37">
              <w:rPr>
                <w:noProof/>
                <w:webHidden/>
              </w:rPr>
              <w:instrText xml:space="preserve"> PAGEREF _Toc518468047 \h </w:instrText>
            </w:r>
            <w:r w:rsidRPr="00553B37">
              <w:rPr>
                <w:noProof/>
                <w:webHidden/>
              </w:rPr>
            </w:r>
            <w:r w:rsidRPr="00553B37">
              <w:rPr>
                <w:noProof/>
                <w:webHidden/>
              </w:rPr>
              <w:fldChar w:fldCharType="separate"/>
            </w:r>
            <w:r w:rsidRPr="00553B37">
              <w:rPr>
                <w:noProof/>
                <w:webHidden/>
              </w:rPr>
              <w:t>8</w:t>
            </w:r>
            <w:r w:rsidRPr="00553B37">
              <w:rPr>
                <w:noProof/>
                <w:webHidden/>
              </w:rPr>
              <w:fldChar w:fldCharType="end"/>
            </w:r>
          </w:hyperlink>
        </w:p>
        <w:p w14:paraId="779FA233" w14:textId="77777777" w:rsidR="00553B37" w:rsidRPr="00553B37" w:rsidRDefault="00553B37" w:rsidP="00553B37">
          <w:pPr>
            <w:pStyle w:val="TM2"/>
            <w:rPr>
              <w:rFonts w:eastAsiaTheme="minorEastAsia"/>
              <w:noProof/>
              <w:lang w:eastAsia="fr-FR"/>
            </w:rPr>
          </w:pPr>
          <w:hyperlink w:anchor="_Toc518468048" w:history="1">
            <w:r w:rsidRPr="00553B37">
              <w:rPr>
                <w:rStyle w:val="Lienhypertexte"/>
                <w:rFonts w:ascii="Times New Roman" w:hAnsi="Times New Roman"/>
                <w:noProof/>
                <w:sz w:val="20"/>
              </w:rPr>
              <w:t>4.</w:t>
            </w:r>
            <w:r w:rsidRPr="00553B37">
              <w:rPr>
                <w:rFonts w:eastAsiaTheme="minorEastAsia"/>
                <w:noProof/>
                <w:lang w:eastAsia="fr-FR"/>
              </w:rPr>
              <w:tab/>
            </w:r>
            <w:r w:rsidRPr="00553B37">
              <w:rPr>
                <w:rStyle w:val="Lienhypertexte"/>
                <w:rFonts w:ascii="Times New Roman" w:hAnsi="Times New Roman"/>
                <w:noProof/>
                <w:sz w:val="20"/>
              </w:rPr>
              <w:t>Période de validité des informations publiées dans ce rapport</w:t>
            </w:r>
            <w:r w:rsidRPr="00553B37">
              <w:rPr>
                <w:noProof/>
                <w:webHidden/>
              </w:rPr>
              <w:tab/>
            </w:r>
            <w:r w:rsidRPr="00553B37">
              <w:rPr>
                <w:noProof/>
                <w:webHidden/>
              </w:rPr>
              <w:fldChar w:fldCharType="begin"/>
            </w:r>
            <w:r w:rsidRPr="00553B37">
              <w:rPr>
                <w:noProof/>
                <w:webHidden/>
              </w:rPr>
              <w:instrText xml:space="preserve"> PAGEREF _Toc518468048 \h </w:instrText>
            </w:r>
            <w:r w:rsidRPr="00553B37">
              <w:rPr>
                <w:noProof/>
                <w:webHidden/>
              </w:rPr>
            </w:r>
            <w:r w:rsidRPr="00553B37">
              <w:rPr>
                <w:noProof/>
                <w:webHidden/>
              </w:rPr>
              <w:fldChar w:fldCharType="separate"/>
            </w:r>
            <w:r w:rsidRPr="00553B37">
              <w:rPr>
                <w:noProof/>
                <w:webHidden/>
              </w:rPr>
              <w:t>8</w:t>
            </w:r>
            <w:r w:rsidRPr="00553B37">
              <w:rPr>
                <w:noProof/>
                <w:webHidden/>
              </w:rPr>
              <w:fldChar w:fldCharType="end"/>
            </w:r>
          </w:hyperlink>
        </w:p>
        <w:p w14:paraId="421E76A3" w14:textId="77777777" w:rsidR="00553B37" w:rsidRPr="00553B37" w:rsidRDefault="00553B37" w:rsidP="00553B37">
          <w:pPr>
            <w:pStyle w:val="TM2"/>
            <w:rPr>
              <w:rFonts w:eastAsiaTheme="minorEastAsia"/>
              <w:noProof/>
              <w:lang w:eastAsia="fr-FR"/>
            </w:rPr>
          </w:pPr>
          <w:hyperlink w:anchor="_Toc518468049" w:history="1">
            <w:r w:rsidRPr="00553B37">
              <w:rPr>
                <w:rStyle w:val="Lienhypertexte"/>
                <w:rFonts w:ascii="Times New Roman" w:hAnsi="Times New Roman"/>
                <w:noProof/>
                <w:sz w:val="20"/>
              </w:rPr>
              <w:t>5.</w:t>
            </w:r>
            <w:r w:rsidRPr="00553B37">
              <w:rPr>
                <w:rFonts w:eastAsiaTheme="minorEastAsia"/>
                <w:noProof/>
                <w:lang w:eastAsia="fr-FR"/>
              </w:rPr>
              <w:tab/>
            </w:r>
            <w:r w:rsidRPr="00553B37">
              <w:rPr>
                <w:rStyle w:val="Lienhypertexte"/>
                <w:rFonts w:ascii="Times New Roman" w:hAnsi="Times New Roman"/>
                <w:noProof/>
                <w:sz w:val="20"/>
              </w:rPr>
              <w:t>Méthodologie</w:t>
            </w:r>
            <w:r w:rsidRPr="00553B37">
              <w:rPr>
                <w:noProof/>
                <w:webHidden/>
              </w:rPr>
              <w:tab/>
            </w:r>
            <w:r w:rsidRPr="00553B37">
              <w:rPr>
                <w:noProof/>
                <w:webHidden/>
              </w:rPr>
              <w:fldChar w:fldCharType="begin"/>
            </w:r>
            <w:r w:rsidRPr="00553B37">
              <w:rPr>
                <w:noProof/>
                <w:webHidden/>
              </w:rPr>
              <w:instrText xml:space="preserve"> PAGEREF _Toc518468049 \h </w:instrText>
            </w:r>
            <w:r w:rsidRPr="00553B37">
              <w:rPr>
                <w:noProof/>
                <w:webHidden/>
              </w:rPr>
            </w:r>
            <w:r w:rsidRPr="00553B37">
              <w:rPr>
                <w:noProof/>
                <w:webHidden/>
              </w:rPr>
              <w:fldChar w:fldCharType="separate"/>
            </w:r>
            <w:r w:rsidRPr="00553B37">
              <w:rPr>
                <w:noProof/>
                <w:webHidden/>
              </w:rPr>
              <w:t>8</w:t>
            </w:r>
            <w:r w:rsidRPr="00553B37">
              <w:rPr>
                <w:noProof/>
                <w:webHidden/>
              </w:rPr>
              <w:fldChar w:fldCharType="end"/>
            </w:r>
          </w:hyperlink>
        </w:p>
        <w:p w14:paraId="25BA2BA6" w14:textId="77777777" w:rsidR="00553B37" w:rsidRPr="00553B37" w:rsidRDefault="00553B37" w:rsidP="00553B37">
          <w:pPr>
            <w:pStyle w:val="TM2"/>
            <w:rPr>
              <w:rFonts w:eastAsiaTheme="minorEastAsia"/>
              <w:noProof/>
              <w:lang w:eastAsia="fr-FR"/>
            </w:rPr>
          </w:pPr>
          <w:hyperlink w:anchor="_Toc518468050" w:history="1">
            <w:r w:rsidRPr="00553B37">
              <w:rPr>
                <w:rStyle w:val="Lienhypertexte"/>
                <w:rFonts w:ascii="Times New Roman" w:hAnsi="Times New Roman"/>
                <w:noProof/>
                <w:sz w:val="20"/>
              </w:rPr>
              <w:t>6.</w:t>
            </w:r>
            <w:r w:rsidRPr="00553B37">
              <w:rPr>
                <w:rFonts w:eastAsiaTheme="minorEastAsia"/>
                <w:noProof/>
                <w:lang w:eastAsia="fr-FR"/>
              </w:rPr>
              <w:tab/>
            </w:r>
            <w:r w:rsidRPr="00553B37">
              <w:rPr>
                <w:rStyle w:val="Lienhypertexte"/>
                <w:rFonts w:ascii="Times New Roman" w:hAnsi="Times New Roman"/>
                <w:noProof/>
                <w:sz w:val="20"/>
              </w:rPr>
              <w:t>Limitations</w:t>
            </w:r>
            <w:r w:rsidRPr="00553B37">
              <w:rPr>
                <w:noProof/>
                <w:webHidden/>
              </w:rPr>
              <w:tab/>
            </w:r>
            <w:r w:rsidRPr="00553B37">
              <w:rPr>
                <w:noProof/>
                <w:webHidden/>
              </w:rPr>
              <w:fldChar w:fldCharType="begin"/>
            </w:r>
            <w:r w:rsidRPr="00553B37">
              <w:rPr>
                <w:noProof/>
                <w:webHidden/>
              </w:rPr>
              <w:instrText xml:space="preserve"> PAGEREF _Toc518468050 \h </w:instrText>
            </w:r>
            <w:r w:rsidRPr="00553B37">
              <w:rPr>
                <w:noProof/>
                <w:webHidden/>
              </w:rPr>
            </w:r>
            <w:r w:rsidRPr="00553B37">
              <w:rPr>
                <w:noProof/>
                <w:webHidden/>
              </w:rPr>
              <w:fldChar w:fldCharType="separate"/>
            </w:r>
            <w:r w:rsidRPr="00553B37">
              <w:rPr>
                <w:noProof/>
                <w:webHidden/>
              </w:rPr>
              <w:t>9</w:t>
            </w:r>
            <w:r w:rsidRPr="00553B37">
              <w:rPr>
                <w:noProof/>
                <w:webHidden/>
              </w:rPr>
              <w:fldChar w:fldCharType="end"/>
            </w:r>
          </w:hyperlink>
        </w:p>
        <w:p w14:paraId="72295060" w14:textId="77777777" w:rsidR="00553B37" w:rsidRPr="00553B37" w:rsidRDefault="00553B37" w:rsidP="00553B37">
          <w:pPr>
            <w:pStyle w:val="TM2"/>
            <w:rPr>
              <w:rFonts w:eastAsiaTheme="minorEastAsia"/>
              <w:noProof/>
              <w:lang w:eastAsia="fr-FR"/>
            </w:rPr>
          </w:pPr>
          <w:hyperlink w:anchor="_Toc518468051" w:history="1">
            <w:r w:rsidRPr="00553B37">
              <w:rPr>
                <w:rStyle w:val="Lienhypertexte"/>
                <w:rFonts w:ascii="Times New Roman" w:hAnsi="Times New Roman"/>
                <w:noProof/>
                <w:sz w:val="20"/>
              </w:rPr>
              <w:t>7.</w:t>
            </w:r>
            <w:r w:rsidRPr="00553B37">
              <w:rPr>
                <w:rFonts w:eastAsiaTheme="minorEastAsia"/>
                <w:noProof/>
                <w:lang w:eastAsia="fr-FR"/>
              </w:rPr>
              <w:tab/>
            </w:r>
            <w:r w:rsidRPr="00553B37">
              <w:rPr>
                <w:rStyle w:val="Lienhypertexte"/>
                <w:rFonts w:ascii="Times New Roman" w:hAnsi="Times New Roman"/>
                <w:noProof/>
                <w:sz w:val="20"/>
              </w:rPr>
              <w:t>Exhaustivité et fiabilité des informations</w:t>
            </w:r>
            <w:r w:rsidRPr="00553B37">
              <w:rPr>
                <w:noProof/>
                <w:webHidden/>
              </w:rPr>
              <w:tab/>
            </w:r>
            <w:r w:rsidRPr="00553B37">
              <w:rPr>
                <w:noProof/>
                <w:webHidden/>
              </w:rPr>
              <w:fldChar w:fldCharType="begin"/>
            </w:r>
            <w:r w:rsidRPr="00553B37">
              <w:rPr>
                <w:noProof/>
                <w:webHidden/>
              </w:rPr>
              <w:instrText xml:space="preserve"> PAGEREF _Toc518468051 \h </w:instrText>
            </w:r>
            <w:r w:rsidRPr="00553B37">
              <w:rPr>
                <w:noProof/>
                <w:webHidden/>
              </w:rPr>
            </w:r>
            <w:r w:rsidRPr="00553B37">
              <w:rPr>
                <w:noProof/>
                <w:webHidden/>
              </w:rPr>
              <w:fldChar w:fldCharType="separate"/>
            </w:r>
            <w:r w:rsidRPr="00553B37">
              <w:rPr>
                <w:noProof/>
                <w:webHidden/>
              </w:rPr>
              <w:t>9</w:t>
            </w:r>
            <w:r w:rsidRPr="00553B37">
              <w:rPr>
                <w:noProof/>
                <w:webHidden/>
              </w:rPr>
              <w:fldChar w:fldCharType="end"/>
            </w:r>
          </w:hyperlink>
        </w:p>
        <w:p w14:paraId="35FD613F" w14:textId="2169E9B6" w:rsidR="00553B37" w:rsidRPr="00553B37" w:rsidRDefault="00553B37">
          <w:pPr>
            <w:pStyle w:val="TM1"/>
            <w:rPr>
              <w:rFonts w:ascii="Times New Roman" w:eastAsiaTheme="minorEastAsia" w:hAnsi="Times New Roman" w:cs="Times New Roman"/>
              <w:noProof/>
              <w:sz w:val="20"/>
              <w:lang w:eastAsia="fr-FR"/>
            </w:rPr>
          </w:pPr>
          <w:hyperlink w:anchor="_Toc518468052" w:history="1">
            <w:r w:rsidRPr="00553B37">
              <w:rPr>
                <w:rStyle w:val="Lienhypertexte"/>
                <w:rFonts w:ascii="Times New Roman" w:hAnsi="Times New Roman"/>
                <w:noProof/>
                <w:sz w:val="20"/>
              </w:rPr>
              <w:t>I.</w:t>
            </w:r>
            <w:r w:rsidRPr="00553B37">
              <w:rPr>
                <w:rFonts w:ascii="Times New Roman" w:eastAsiaTheme="minorEastAsia" w:hAnsi="Times New Roman" w:cs="Times New Roman"/>
                <w:noProof/>
                <w:sz w:val="20"/>
                <w:lang w:eastAsia="fr-FR"/>
              </w:rPr>
              <w:tab/>
            </w:r>
            <w:r w:rsidRPr="00553B37">
              <w:rPr>
                <w:rStyle w:val="Lienhypertexte"/>
                <w:rFonts w:ascii="Times New Roman" w:hAnsi="Times New Roman"/>
                <w:noProof/>
                <w:sz w:val="20"/>
              </w:rPr>
              <w:t>CADRE LEGAL ET REGIME FISCAL APPLICABLES AUX INDUSTRIES MINIERES ET PETROLIERES EN RDC</w:t>
            </w:r>
            <w:r w:rsidRPr="00553B37">
              <w:rPr>
                <w:rFonts w:ascii="Times New Roman" w:hAnsi="Times New Roman" w:cs="Times New Roman"/>
                <w:noProof/>
                <w:webHidden/>
                <w:sz w:val="20"/>
              </w:rPr>
              <w:tab/>
            </w:r>
            <w:r>
              <w:rPr>
                <w:rFonts w:ascii="Times New Roman" w:hAnsi="Times New Roman" w:cs="Times New Roman"/>
                <w:noProof/>
                <w:webHidden/>
                <w:sz w:val="20"/>
              </w:rPr>
              <w:t>………………………………………………………………………………………………………………………</w:t>
            </w:r>
            <w:r w:rsidRPr="00553B37">
              <w:rPr>
                <w:rFonts w:ascii="Times New Roman" w:hAnsi="Times New Roman" w:cs="Times New Roman"/>
                <w:noProof/>
                <w:webHidden/>
                <w:sz w:val="20"/>
              </w:rPr>
              <w:fldChar w:fldCharType="begin"/>
            </w:r>
            <w:r w:rsidRPr="00553B37">
              <w:rPr>
                <w:rFonts w:ascii="Times New Roman" w:hAnsi="Times New Roman" w:cs="Times New Roman"/>
                <w:noProof/>
                <w:webHidden/>
                <w:sz w:val="20"/>
              </w:rPr>
              <w:instrText xml:space="preserve"> PAGEREF _Toc518468052 \h </w:instrText>
            </w:r>
            <w:r w:rsidRPr="00553B37">
              <w:rPr>
                <w:rFonts w:ascii="Times New Roman" w:hAnsi="Times New Roman" w:cs="Times New Roman"/>
                <w:noProof/>
                <w:webHidden/>
                <w:sz w:val="20"/>
              </w:rPr>
            </w:r>
            <w:r w:rsidRPr="00553B37">
              <w:rPr>
                <w:rFonts w:ascii="Times New Roman" w:hAnsi="Times New Roman" w:cs="Times New Roman"/>
                <w:noProof/>
                <w:webHidden/>
                <w:sz w:val="20"/>
              </w:rPr>
              <w:fldChar w:fldCharType="separate"/>
            </w:r>
            <w:r w:rsidRPr="00553B37">
              <w:rPr>
                <w:rFonts w:ascii="Times New Roman" w:hAnsi="Times New Roman" w:cs="Times New Roman"/>
                <w:noProof/>
                <w:webHidden/>
                <w:sz w:val="20"/>
              </w:rPr>
              <w:t>10</w:t>
            </w:r>
            <w:r w:rsidRPr="00553B37">
              <w:rPr>
                <w:rFonts w:ascii="Times New Roman" w:hAnsi="Times New Roman" w:cs="Times New Roman"/>
                <w:noProof/>
                <w:webHidden/>
                <w:sz w:val="20"/>
              </w:rPr>
              <w:fldChar w:fldCharType="end"/>
            </w:r>
          </w:hyperlink>
        </w:p>
        <w:p w14:paraId="548876CB" w14:textId="77777777" w:rsidR="00553B37" w:rsidRPr="00553B37" w:rsidRDefault="00553B37" w:rsidP="00553B37">
          <w:pPr>
            <w:pStyle w:val="TM2"/>
            <w:rPr>
              <w:rFonts w:eastAsiaTheme="minorEastAsia"/>
              <w:noProof/>
              <w:lang w:eastAsia="fr-FR"/>
            </w:rPr>
          </w:pPr>
          <w:hyperlink w:anchor="_Toc518468053" w:history="1">
            <w:r w:rsidRPr="00553B37">
              <w:rPr>
                <w:rStyle w:val="Lienhypertexte"/>
                <w:rFonts w:ascii="Times New Roman" w:hAnsi="Times New Roman"/>
                <w:noProof/>
                <w:sz w:val="20"/>
              </w:rPr>
              <w:t>I.1. Cadre légal et régime fiscal applicables au secteur pétrolier</w:t>
            </w:r>
            <w:r w:rsidRPr="00553B37">
              <w:rPr>
                <w:noProof/>
                <w:webHidden/>
              </w:rPr>
              <w:tab/>
            </w:r>
            <w:r w:rsidRPr="00553B37">
              <w:rPr>
                <w:noProof/>
                <w:webHidden/>
              </w:rPr>
              <w:fldChar w:fldCharType="begin"/>
            </w:r>
            <w:r w:rsidRPr="00553B37">
              <w:rPr>
                <w:noProof/>
                <w:webHidden/>
              </w:rPr>
              <w:instrText xml:space="preserve"> PAGEREF _Toc518468053 \h </w:instrText>
            </w:r>
            <w:r w:rsidRPr="00553B37">
              <w:rPr>
                <w:noProof/>
                <w:webHidden/>
              </w:rPr>
            </w:r>
            <w:r w:rsidRPr="00553B37">
              <w:rPr>
                <w:noProof/>
                <w:webHidden/>
              </w:rPr>
              <w:fldChar w:fldCharType="separate"/>
            </w:r>
            <w:r w:rsidRPr="00553B37">
              <w:rPr>
                <w:noProof/>
                <w:webHidden/>
              </w:rPr>
              <w:t>11</w:t>
            </w:r>
            <w:r w:rsidRPr="00553B37">
              <w:rPr>
                <w:noProof/>
                <w:webHidden/>
              </w:rPr>
              <w:fldChar w:fldCharType="end"/>
            </w:r>
          </w:hyperlink>
        </w:p>
        <w:p w14:paraId="12421979" w14:textId="77777777" w:rsidR="00553B37" w:rsidRPr="00553B37" w:rsidRDefault="00553B37" w:rsidP="00553B37">
          <w:pPr>
            <w:pStyle w:val="TM3"/>
            <w:rPr>
              <w:rFonts w:eastAsiaTheme="minorEastAsia"/>
              <w:noProof/>
              <w:lang w:eastAsia="fr-FR"/>
            </w:rPr>
          </w:pPr>
          <w:hyperlink w:anchor="_Toc518468054" w:history="1">
            <w:r w:rsidRPr="00553B37">
              <w:rPr>
                <w:rStyle w:val="Lienhypertexte"/>
                <w:rFonts w:ascii="Times New Roman" w:hAnsi="Times New Roman"/>
                <w:noProof/>
                <w:sz w:val="20"/>
              </w:rPr>
              <w:t>I.1.1. Cadre légal et aperçu des lois et règlements en vigueur</w:t>
            </w:r>
            <w:r w:rsidRPr="00553B37">
              <w:rPr>
                <w:noProof/>
                <w:webHidden/>
              </w:rPr>
              <w:tab/>
            </w:r>
            <w:r w:rsidRPr="00553B37">
              <w:rPr>
                <w:noProof/>
                <w:webHidden/>
              </w:rPr>
              <w:fldChar w:fldCharType="begin"/>
            </w:r>
            <w:r w:rsidRPr="00553B37">
              <w:rPr>
                <w:noProof/>
                <w:webHidden/>
              </w:rPr>
              <w:instrText xml:space="preserve"> PAGEREF _Toc518468054 \h </w:instrText>
            </w:r>
            <w:r w:rsidRPr="00553B37">
              <w:rPr>
                <w:noProof/>
                <w:webHidden/>
              </w:rPr>
            </w:r>
            <w:r w:rsidRPr="00553B37">
              <w:rPr>
                <w:noProof/>
                <w:webHidden/>
              </w:rPr>
              <w:fldChar w:fldCharType="separate"/>
            </w:r>
            <w:r w:rsidRPr="00553B37">
              <w:rPr>
                <w:noProof/>
                <w:webHidden/>
              </w:rPr>
              <w:t>11</w:t>
            </w:r>
            <w:r w:rsidRPr="00553B37">
              <w:rPr>
                <w:noProof/>
                <w:webHidden/>
              </w:rPr>
              <w:fldChar w:fldCharType="end"/>
            </w:r>
          </w:hyperlink>
        </w:p>
        <w:p w14:paraId="0CD7F4A0" w14:textId="77777777" w:rsidR="00553B37" w:rsidRPr="00553B37" w:rsidRDefault="00553B37" w:rsidP="00553B37">
          <w:pPr>
            <w:pStyle w:val="TM3"/>
            <w:rPr>
              <w:rFonts w:eastAsiaTheme="minorEastAsia"/>
              <w:noProof/>
              <w:lang w:eastAsia="fr-FR"/>
            </w:rPr>
          </w:pPr>
          <w:hyperlink w:anchor="_Toc518468055" w:history="1">
            <w:r w:rsidRPr="00553B37">
              <w:rPr>
                <w:rStyle w:val="Lienhypertexte"/>
                <w:rFonts w:ascii="Times New Roman" w:hAnsi="Times New Roman"/>
                <w:noProof/>
                <w:sz w:val="20"/>
              </w:rPr>
              <w:t>I.1.2. Régime fiscal, douanier et de change des industries pétrolières</w:t>
            </w:r>
            <w:r w:rsidRPr="00553B37">
              <w:rPr>
                <w:noProof/>
                <w:webHidden/>
              </w:rPr>
              <w:tab/>
            </w:r>
            <w:r w:rsidRPr="00553B37">
              <w:rPr>
                <w:noProof/>
                <w:webHidden/>
              </w:rPr>
              <w:fldChar w:fldCharType="begin"/>
            </w:r>
            <w:r w:rsidRPr="00553B37">
              <w:rPr>
                <w:noProof/>
                <w:webHidden/>
              </w:rPr>
              <w:instrText xml:space="preserve"> PAGEREF _Toc518468055 \h </w:instrText>
            </w:r>
            <w:r w:rsidRPr="00553B37">
              <w:rPr>
                <w:noProof/>
                <w:webHidden/>
              </w:rPr>
            </w:r>
            <w:r w:rsidRPr="00553B37">
              <w:rPr>
                <w:noProof/>
                <w:webHidden/>
              </w:rPr>
              <w:fldChar w:fldCharType="separate"/>
            </w:r>
            <w:r w:rsidRPr="00553B37">
              <w:rPr>
                <w:noProof/>
                <w:webHidden/>
              </w:rPr>
              <w:t>11</w:t>
            </w:r>
            <w:r w:rsidRPr="00553B37">
              <w:rPr>
                <w:noProof/>
                <w:webHidden/>
              </w:rPr>
              <w:fldChar w:fldCharType="end"/>
            </w:r>
          </w:hyperlink>
        </w:p>
        <w:p w14:paraId="53D06468" w14:textId="77777777" w:rsidR="00553B37" w:rsidRPr="00553B37" w:rsidRDefault="00553B37" w:rsidP="00553B37">
          <w:pPr>
            <w:pStyle w:val="TM3"/>
            <w:rPr>
              <w:rFonts w:eastAsiaTheme="minorEastAsia"/>
              <w:noProof/>
              <w:lang w:eastAsia="fr-FR"/>
            </w:rPr>
          </w:pPr>
          <w:hyperlink w:anchor="_Toc518468056" w:history="1">
            <w:r w:rsidRPr="00553B37">
              <w:rPr>
                <w:rStyle w:val="Lienhypertexte"/>
                <w:rFonts w:ascii="Times New Roman" w:hAnsi="Times New Roman"/>
                <w:noProof/>
                <w:sz w:val="20"/>
              </w:rPr>
              <w:t>I.1.3. Niveau de décentralisation fiscale du secteur pétrolier</w:t>
            </w:r>
            <w:r w:rsidRPr="00553B37">
              <w:rPr>
                <w:noProof/>
                <w:webHidden/>
              </w:rPr>
              <w:tab/>
            </w:r>
            <w:r w:rsidRPr="00553B37">
              <w:rPr>
                <w:noProof/>
                <w:webHidden/>
              </w:rPr>
              <w:fldChar w:fldCharType="begin"/>
            </w:r>
            <w:r w:rsidRPr="00553B37">
              <w:rPr>
                <w:noProof/>
                <w:webHidden/>
              </w:rPr>
              <w:instrText xml:space="preserve"> PAGEREF _Toc518468056 \h </w:instrText>
            </w:r>
            <w:r w:rsidRPr="00553B37">
              <w:rPr>
                <w:noProof/>
                <w:webHidden/>
              </w:rPr>
            </w:r>
            <w:r w:rsidRPr="00553B37">
              <w:rPr>
                <w:noProof/>
                <w:webHidden/>
              </w:rPr>
              <w:fldChar w:fldCharType="separate"/>
            </w:r>
            <w:r w:rsidRPr="00553B37">
              <w:rPr>
                <w:noProof/>
                <w:webHidden/>
              </w:rPr>
              <w:t>14</w:t>
            </w:r>
            <w:r w:rsidRPr="00553B37">
              <w:rPr>
                <w:noProof/>
                <w:webHidden/>
              </w:rPr>
              <w:fldChar w:fldCharType="end"/>
            </w:r>
          </w:hyperlink>
        </w:p>
        <w:p w14:paraId="7CA8D227" w14:textId="77777777" w:rsidR="00553B37" w:rsidRPr="00553B37" w:rsidRDefault="00553B37" w:rsidP="00553B37">
          <w:pPr>
            <w:pStyle w:val="TM3"/>
            <w:rPr>
              <w:rFonts w:eastAsiaTheme="minorEastAsia"/>
              <w:noProof/>
              <w:lang w:eastAsia="fr-FR"/>
            </w:rPr>
          </w:pPr>
          <w:hyperlink w:anchor="_Toc518468057" w:history="1">
            <w:r w:rsidRPr="00553B37">
              <w:rPr>
                <w:rStyle w:val="Lienhypertexte"/>
                <w:rFonts w:ascii="Times New Roman" w:hAnsi="Times New Roman"/>
                <w:noProof/>
                <w:sz w:val="20"/>
              </w:rPr>
              <w:t>I.1.4. Rôles et responsabilités des entités de régulation du secteur pétrolier</w:t>
            </w:r>
            <w:r w:rsidRPr="00553B37">
              <w:rPr>
                <w:noProof/>
                <w:webHidden/>
              </w:rPr>
              <w:tab/>
            </w:r>
            <w:r w:rsidRPr="00553B37">
              <w:rPr>
                <w:noProof/>
                <w:webHidden/>
              </w:rPr>
              <w:fldChar w:fldCharType="begin"/>
            </w:r>
            <w:r w:rsidRPr="00553B37">
              <w:rPr>
                <w:noProof/>
                <w:webHidden/>
              </w:rPr>
              <w:instrText xml:space="preserve"> PAGEREF _Toc518468057 \h </w:instrText>
            </w:r>
            <w:r w:rsidRPr="00553B37">
              <w:rPr>
                <w:noProof/>
                <w:webHidden/>
              </w:rPr>
            </w:r>
            <w:r w:rsidRPr="00553B37">
              <w:rPr>
                <w:noProof/>
                <w:webHidden/>
              </w:rPr>
              <w:fldChar w:fldCharType="separate"/>
            </w:r>
            <w:r w:rsidRPr="00553B37">
              <w:rPr>
                <w:noProof/>
                <w:webHidden/>
              </w:rPr>
              <w:t>15</w:t>
            </w:r>
            <w:r w:rsidRPr="00553B37">
              <w:rPr>
                <w:noProof/>
                <w:webHidden/>
              </w:rPr>
              <w:fldChar w:fldCharType="end"/>
            </w:r>
          </w:hyperlink>
        </w:p>
        <w:p w14:paraId="73932357" w14:textId="77777777" w:rsidR="00553B37" w:rsidRPr="00553B37" w:rsidRDefault="00553B37" w:rsidP="00553B37">
          <w:pPr>
            <w:pStyle w:val="TM3"/>
            <w:rPr>
              <w:rFonts w:eastAsiaTheme="minorEastAsia"/>
              <w:noProof/>
              <w:lang w:eastAsia="fr-FR"/>
            </w:rPr>
          </w:pPr>
          <w:hyperlink w:anchor="_Toc518468058" w:history="1">
            <w:r w:rsidRPr="00553B37">
              <w:rPr>
                <w:rStyle w:val="Lienhypertexte"/>
                <w:rFonts w:ascii="Times New Roman" w:hAnsi="Times New Roman"/>
                <w:noProof/>
                <w:sz w:val="20"/>
              </w:rPr>
              <w:t>I.1.5. Réformes entreprises ou envisagées dans le secteur des hydrocarbures</w:t>
            </w:r>
            <w:r w:rsidRPr="00553B37">
              <w:rPr>
                <w:noProof/>
                <w:webHidden/>
              </w:rPr>
              <w:tab/>
            </w:r>
            <w:r w:rsidRPr="00553B37">
              <w:rPr>
                <w:noProof/>
                <w:webHidden/>
              </w:rPr>
              <w:fldChar w:fldCharType="begin"/>
            </w:r>
            <w:r w:rsidRPr="00553B37">
              <w:rPr>
                <w:noProof/>
                <w:webHidden/>
              </w:rPr>
              <w:instrText xml:space="preserve"> PAGEREF _Toc518468058 \h </w:instrText>
            </w:r>
            <w:r w:rsidRPr="00553B37">
              <w:rPr>
                <w:noProof/>
                <w:webHidden/>
              </w:rPr>
            </w:r>
            <w:r w:rsidRPr="00553B37">
              <w:rPr>
                <w:noProof/>
                <w:webHidden/>
              </w:rPr>
              <w:fldChar w:fldCharType="separate"/>
            </w:r>
            <w:r w:rsidRPr="00553B37">
              <w:rPr>
                <w:noProof/>
                <w:webHidden/>
              </w:rPr>
              <w:t>18</w:t>
            </w:r>
            <w:r w:rsidRPr="00553B37">
              <w:rPr>
                <w:noProof/>
                <w:webHidden/>
              </w:rPr>
              <w:fldChar w:fldCharType="end"/>
            </w:r>
          </w:hyperlink>
        </w:p>
        <w:p w14:paraId="6EBFC680" w14:textId="77777777" w:rsidR="00553B37" w:rsidRPr="00553B37" w:rsidRDefault="00553B37" w:rsidP="00553B37">
          <w:pPr>
            <w:pStyle w:val="TM2"/>
            <w:rPr>
              <w:rFonts w:eastAsiaTheme="minorEastAsia"/>
              <w:noProof/>
              <w:lang w:eastAsia="fr-FR"/>
            </w:rPr>
          </w:pPr>
          <w:hyperlink w:anchor="_Toc518468059" w:history="1">
            <w:r w:rsidRPr="00553B37">
              <w:rPr>
                <w:rStyle w:val="Lienhypertexte"/>
                <w:rFonts w:ascii="Times New Roman" w:hAnsi="Times New Roman"/>
                <w:noProof/>
                <w:sz w:val="20"/>
              </w:rPr>
              <w:t>I.2. Cadre légal et régime fiscal applicables aux industries minières</w:t>
            </w:r>
            <w:r w:rsidRPr="00553B37">
              <w:rPr>
                <w:noProof/>
                <w:webHidden/>
              </w:rPr>
              <w:tab/>
            </w:r>
            <w:r w:rsidRPr="00553B37">
              <w:rPr>
                <w:noProof/>
                <w:webHidden/>
              </w:rPr>
              <w:fldChar w:fldCharType="begin"/>
            </w:r>
            <w:r w:rsidRPr="00553B37">
              <w:rPr>
                <w:noProof/>
                <w:webHidden/>
              </w:rPr>
              <w:instrText xml:space="preserve"> PAGEREF _Toc518468059 \h </w:instrText>
            </w:r>
            <w:r w:rsidRPr="00553B37">
              <w:rPr>
                <w:noProof/>
                <w:webHidden/>
              </w:rPr>
            </w:r>
            <w:r w:rsidRPr="00553B37">
              <w:rPr>
                <w:noProof/>
                <w:webHidden/>
              </w:rPr>
              <w:fldChar w:fldCharType="separate"/>
            </w:r>
            <w:r w:rsidRPr="00553B37">
              <w:rPr>
                <w:noProof/>
                <w:webHidden/>
              </w:rPr>
              <w:t>19</w:t>
            </w:r>
            <w:r w:rsidRPr="00553B37">
              <w:rPr>
                <w:noProof/>
                <w:webHidden/>
              </w:rPr>
              <w:fldChar w:fldCharType="end"/>
            </w:r>
          </w:hyperlink>
        </w:p>
        <w:p w14:paraId="4E2F0D1E" w14:textId="77777777" w:rsidR="00553B37" w:rsidRPr="00553B37" w:rsidRDefault="00553B37" w:rsidP="00553B37">
          <w:pPr>
            <w:pStyle w:val="TM3"/>
            <w:rPr>
              <w:rFonts w:eastAsiaTheme="minorEastAsia"/>
              <w:noProof/>
              <w:lang w:eastAsia="fr-FR"/>
            </w:rPr>
          </w:pPr>
          <w:hyperlink w:anchor="_Toc518468060" w:history="1">
            <w:r w:rsidRPr="00553B37">
              <w:rPr>
                <w:rStyle w:val="Lienhypertexte"/>
                <w:rFonts w:ascii="Times New Roman" w:hAnsi="Times New Roman"/>
                <w:noProof/>
                <w:sz w:val="20"/>
              </w:rPr>
              <w:t>I.2.1. Cadre légal et aperçu des lois et règlements en vigueur</w:t>
            </w:r>
            <w:r w:rsidRPr="00553B37">
              <w:rPr>
                <w:noProof/>
                <w:webHidden/>
              </w:rPr>
              <w:tab/>
            </w:r>
            <w:r w:rsidRPr="00553B37">
              <w:rPr>
                <w:noProof/>
                <w:webHidden/>
              </w:rPr>
              <w:fldChar w:fldCharType="begin"/>
            </w:r>
            <w:r w:rsidRPr="00553B37">
              <w:rPr>
                <w:noProof/>
                <w:webHidden/>
              </w:rPr>
              <w:instrText xml:space="preserve"> PAGEREF _Toc518468060 \h </w:instrText>
            </w:r>
            <w:r w:rsidRPr="00553B37">
              <w:rPr>
                <w:noProof/>
                <w:webHidden/>
              </w:rPr>
            </w:r>
            <w:r w:rsidRPr="00553B37">
              <w:rPr>
                <w:noProof/>
                <w:webHidden/>
              </w:rPr>
              <w:fldChar w:fldCharType="separate"/>
            </w:r>
            <w:r w:rsidRPr="00553B37">
              <w:rPr>
                <w:noProof/>
                <w:webHidden/>
              </w:rPr>
              <w:t>19</w:t>
            </w:r>
            <w:r w:rsidRPr="00553B37">
              <w:rPr>
                <w:noProof/>
                <w:webHidden/>
              </w:rPr>
              <w:fldChar w:fldCharType="end"/>
            </w:r>
          </w:hyperlink>
        </w:p>
        <w:p w14:paraId="7E171209" w14:textId="77777777" w:rsidR="00553B37" w:rsidRPr="00553B37" w:rsidRDefault="00553B37" w:rsidP="00553B37">
          <w:pPr>
            <w:pStyle w:val="TM3"/>
            <w:rPr>
              <w:rFonts w:eastAsiaTheme="minorEastAsia"/>
              <w:noProof/>
              <w:lang w:eastAsia="fr-FR"/>
            </w:rPr>
          </w:pPr>
          <w:hyperlink w:anchor="_Toc518468061" w:history="1">
            <w:r w:rsidRPr="00553B37">
              <w:rPr>
                <w:rStyle w:val="Lienhypertexte"/>
                <w:rFonts w:ascii="Times New Roman" w:hAnsi="Times New Roman"/>
                <w:noProof/>
                <w:sz w:val="20"/>
              </w:rPr>
              <w:t>I.2.2. Régime fiscal, douanier et de change du secteur minier</w:t>
            </w:r>
            <w:r w:rsidRPr="00553B37">
              <w:rPr>
                <w:noProof/>
                <w:webHidden/>
              </w:rPr>
              <w:tab/>
            </w:r>
            <w:r w:rsidRPr="00553B37">
              <w:rPr>
                <w:noProof/>
                <w:webHidden/>
              </w:rPr>
              <w:fldChar w:fldCharType="begin"/>
            </w:r>
            <w:r w:rsidRPr="00553B37">
              <w:rPr>
                <w:noProof/>
                <w:webHidden/>
              </w:rPr>
              <w:instrText xml:space="preserve"> PAGEREF _Toc518468061 \h </w:instrText>
            </w:r>
            <w:r w:rsidRPr="00553B37">
              <w:rPr>
                <w:noProof/>
                <w:webHidden/>
              </w:rPr>
            </w:r>
            <w:r w:rsidRPr="00553B37">
              <w:rPr>
                <w:noProof/>
                <w:webHidden/>
              </w:rPr>
              <w:fldChar w:fldCharType="separate"/>
            </w:r>
            <w:r w:rsidRPr="00553B37">
              <w:rPr>
                <w:noProof/>
                <w:webHidden/>
              </w:rPr>
              <w:t>21</w:t>
            </w:r>
            <w:r w:rsidRPr="00553B37">
              <w:rPr>
                <w:noProof/>
                <w:webHidden/>
              </w:rPr>
              <w:fldChar w:fldCharType="end"/>
            </w:r>
          </w:hyperlink>
        </w:p>
        <w:p w14:paraId="561BD0D0" w14:textId="77777777" w:rsidR="00553B37" w:rsidRPr="00553B37" w:rsidRDefault="00553B37" w:rsidP="00553B37">
          <w:pPr>
            <w:pStyle w:val="TM3"/>
            <w:rPr>
              <w:rFonts w:eastAsiaTheme="minorEastAsia"/>
              <w:noProof/>
              <w:lang w:eastAsia="fr-FR"/>
            </w:rPr>
          </w:pPr>
          <w:hyperlink w:anchor="_Toc518468062" w:history="1">
            <w:r w:rsidRPr="00553B37">
              <w:rPr>
                <w:rStyle w:val="Lienhypertexte"/>
                <w:rFonts w:ascii="Times New Roman" w:hAnsi="Times New Roman"/>
                <w:noProof/>
                <w:sz w:val="20"/>
              </w:rPr>
              <w:t>I.2.3. Niveau de décentralisation fiscale dans le secteur minier</w:t>
            </w:r>
            <w:r w:rsidRPr="00553B37">
              <w:rPr>
                <w:noProof/>
                <w:webHidden/>
              </w:rPr>
              <w:tab/>
            </w:r>
            <w:r w:rsidRPr="00553B37">
              <w:rPr>
                <w:noProof/>
                <w:webHidden/>
              </w:rPr>
              <w:fldChar w:fldCharType="begin"/>
            </w:r>
            <w:r w:rsidRPr="00553B37">
              <w:rPr>
                <w:noProof/>
                <w:webHidden/>
              </w:rPr>
              <w:instrText xml:space="preserve"> PAGEREF _Toc518468062 \h </w:instrText>
            </w:r>
            <w:r w:rsidRPr="00553B37">
              <w:rPr>
                <w:noProof/>
                <w:webHidden/>
              </w:rPr>
            </w:r>
            <w:r w:rsidRPr="00553B37">
              <w:rPr>
                <w:noProof/>
                <w:webHidden/>
              </w:rPr>
              <w:fldChar w:fldCharType="separate"/>
            </w:r>
            <w:r w:rsidRPr="00553B37">
              <w:rPr>
                <w:noProof/>
                <w:webHidden/>
              </w:rPr>
              <w:t>23</w:t>
            </w:r>
            <w:r w:rsidRPr="00553B37">
              <w:rPr>
                <w:noProof/>
                <w:webHidden/>
              </w:rPr>
              <w:fldChar w:fldCharType="end"/>
            </w:r>
          </w:hyperlink>
        </w:p>
        <w:p w14:paraId="0426AAFC" w14:textId="77777777" w:rsidR="00553B37" w:rsidRPr="00553B37" w:rsidRDefault="00553B37" w:rsidP="00553B37">
          <w:pPr>
            <w:pStyle w:val="TM3"/>
            <w:rPr>
              <w:rFonts w:eastAsiaTheme="minorEastAsia"/>
              <w:noProof/>
              <w:lang w:eastAsia="fr-FR"/>
            </w:rPr>
          </w:pPr>
          <w:hyperlink w:anchor="_Toc518468063" w:history="1">
            <w:r w:rsidRPr="00553B37">
              <w:rPr>
                <w:rStyle w:val="Lienhypertexte"/>
                <w:rFonts w:ascii="Times New Roman" w:hAnsi="Times New Roman"/>
                <w:noProof/>
                <w:sz w:val="20"/>
              </w:rPr>
              <w:t>1.2.4. Rôle de l’Etat et répartition des compétences dans le secteur minier</w:t>
            </w:r>
            <w:r w:rsidRPr="00553B37">
              <w:rPr>
                <w:noProof/>
                <w:webHidden/>
              </w:rPr>
              <w:tab/>
            </w:r>
            <w:r w:rsidRPr="00553B37">
              <w:rPr>
                <w:noProof/>
                <w:webHidden/>
              </w:rPr>
              <w:fldChar w:fldCharType="begin"/>
            </w:r>
            <w:r w:rsidRPr="00553B37">
              <w:rPr>
                <w:noProof/>
                <w:webHidden/>
              </w:rPr>
              <w:instrText xml:space="preserve"> PAGEREF _Toc518468063 \h </w:instrText>
            </w:r>
            <w:r w:rsidRPr="00553B37">
              <w:rPr>
                <w:noProof/>
                <w:webHidden/>
              </w:rPr>
            </w:r>
            <w:r w:rsidRPr="00553B37">
              <w:rPr>
                <w:noProof/>
                <w:webHidden/>
              </w:rPr>
              <w:fldChar w:fldCharType="separate"/>
            </w:r>
            <w:r w:rsidRPr="00553B37">
              <w:rPr>
                <w:noProof/>
                <w:webHidden/>
              </w:rPr>
              <w:t>24</w:t>
            </w:r>
            <w:r w:rsidRPr="00553B37">
              <w:rPr>
                <w:noProof/>
                <w:webHidden/>
              </w:rPr>
              <w:fldChar w:fldCharType="end"/>
            </w:r>
          </w:hyperlink>
        </w:p>
        <w:p w14:paraId="5A7A3CD8" w14:textId="77777777" w:rsidR="00553B37" w:rsidRPr="00553B37" w:rsidRDefault="00553B37" w:rsidP="00553B37">
          <w:pPr>
            <w:pStyle w:val="TM3"/>
            <w:rPr>
              <w:rFonts w:eastAsiaTheme="minorEastAsia"/>
              <w:noProof/>
              <w:lang w:eastAsia="fr-FR"/>
            </w:rPr>
          </w:pPr>
          <w:hyperlink w:anchor="_Toc518468064" w:history="1">
            <w:r w:rsidRPr="00553B37">
              <w:rPr>
                <w:rStyle w:val="Lienhypertexte"/>
                <w:rFonts w:ascii="Times New Roman" w:hAnsi="Times New Roman"/>
                <w:noProof/>
                <w:sz w:val="20"/>
              </w:rPr>
              <w:t>1.2.5. Réformes entreprises ou envisagées dans le secteur minier</w:t>
            </w:r>
            <w:r w:rsidRPr="00553B37">
              <w:rPr>
                <w:noProof/>
                <w:webHidden/>
              </w:rPr>
              <w:tab/>
            </w:r>
            <w:r w:rsidRPr="00553B37">
              <w:rPr>
                <w:noProof/>
                <w:webHidden/>
              </w:rPr>
              <w:fldChar w:fldCharType="begin"/>
            </w:r>
            <w:r w:rsidRPr="00553B37">
              <w:rPr>
                <w:noProof/>
                <w:webHidden/>
              </w:rPr>
              <w:instrText xml:space="preserve"> PAGEREF _Toc518468064 \h </w:instrText>
            </w:r>
            <w:r w:rsidRPr="00553B37">
              <w:rPr>
                <w:noProof/>
                <w:webHidden/>
              </w:rPr>
            </w:r>
            <w:r w:rsidRPr="00553B37">
              <w:rPr>
                <w:noProof/>
                <w:webHidden/>
              </w:rPr>
              <w:fldChar w:fldCharType="separate"/>
            </w:r>
            <w:r w:rsidRPr="00553B37">
              <w:rPr>
                <w:noProof/>
                <w:webHidden/>
              </w:rPr>
              <w:t>27</w:t>
            </w:r>
            <w:r w:rsidRPr="00553B37">
              <w:rPr>
                <w:noProof/>
                <w:webHidden/>
              </w:rPr>
              <w:fldChar w:fldCharType="end"/>
            </w:r>
          </w:hyperlink>
        </w:p>
        <w:p w14:paraId="1E7D0642" w14:textId="77777777" w:rsidR="00553B37" w:rsidRPr="00553B37" w:rsidRDefault="00553B37" w:rsidP="00553B37">
          <w:pPr>
            <w:pStyle w:val="TM2"/>
            <w:rPr>
              <w:rFonts w:eastAsiaTheme="minorEastAsia"/>
              <w:noProof/>
              <w:lang w:eastAsia="fr-FR"/>
            </w:rPr>
          </w:pPr>
          <w:hyperlink w:anchor="_Toc518468065" w:history="1">
            <w:r w:rsidRPr="00553B37">
              <w:rPr>
                <w:rStyle w:val="Lienhypertexte"/>
                <w:rFonts w:ascii="Times New Roman" w:hAnsi="Times New Roman"/>
                <w:noProof/>
                <w:sz w:val="20"/>
              </w:rPr>
              <w:t>I.3. Tableau de description des flux</w:t>
            </w:r>
            <w:r w:rsidRPr="00553B37">
              <w:rPr>
                <w:noProof/>
                <w:webHidden/>
              </w:rPr>
              <w:tab/>
            </w:r>
            <w:r w:rsidRPr="00553B37">
              <w:rPr>
                <w:noProof/>
                <w:webHidden/>
              </w:rPr>
              <w:fldChar w:fldCharType="begin"/>
            </w:r>
            <w:r w:rsidRPr="00553B37">
              <w:rPr>
                <w:noProof/>
                <w:webHidden/>
              </w:rPr>
              <w:instrText xml:space="preserve"> PAGEREF _Toc518468065 \h </w:instrText>
            </w:r>
            <w:r w:rsidRPr="00553B37">
              <w:rPr>
                <w:noProof/>
                <w:webHidden/>
              </w:rPr>
            </w:r>
            <w:r w:rsidRPr="00553B37">
              <w:rPr>
                <w:noProof/>
                <w:webHidden/>
              </w:rPr>
              <w:fldChar w:fldCharType="separate"/>
            </w:r>
            <w:r w:rsidRPr="00553B37">
              <w:rPr>
                <w:noProof/>
                <w:webHidden/>
              </w:rPr>
              <w:t>29</w:t>
            </w:r>
            <w:r w:rsidRPr="00553B37">
              <w:rPr>
                <w:noProof/>
                <w:webHidden/>
              </w:rPr>
              <w:fldChar w:fldCharType="end"/>
            </w:r>
          </w:hyperlink>
        </w:p>
        <w:p w14:paraId="3D65D902" w14:textId="77777777" w:rsidR="00553B37" w:rsidRPr="00553B37" w:rsidRDefault="00553B37">
          <w:pPr>
            <w:pStyle w:val="TM1"/>
            <w:rPr>
              <w:rFonts w:ascii="Times New Roman" w:eastAsiaTheme="minorEastAsia" w:hAnsi="Times New Roman" w:cs="Times New Roman"/>
              <w:noProof/>
              <w:sz w:val="20"/>
              <w:lang w:eastAsia="fr-FR"/>
            </w:rPr>
          </w:pPr>
          <w:hyperlink w:anchor="_Toc518468066" w:history="1">
            <w:r w:rsidRPr="00553B37">
              <w:rPr>
                <w:rStyle w:val="Lienhypertexte"/>
                <w:rFonts w:ascii="Times New Roman" w:hAnsi="Times New Roman"/>
                <w:noProof/>
                <w:sz w:val="20"/>
              </w:rPr>
              <w:t>II.</w:t>
            </w:r>
            <w:r w:rsidRPr="00553B37">
              <w:rPr>
                <w:rFonts w:ascii="Times New Roman" w:eastAsiaTheme="minorEastAsia" w:hAnsi="Times New Roman" w:cs="Times New Roman"/>
                <w:noProof/>
                <w:sz w:val="20"/>
                <w:lang w:eastAsia="fr-FR"/>
              </w:rPr>
              <w:tab/>
            </w:r>
            <w:r w:rsidRPr="00553B37">
              <w:rPr>
                <w:rStyle w:val="Lienhypertexte"/>
                <w:rFonts w:ascii="Times New Roman" w:hAnsi="Times New Roman"/>
                <w:noProof/>
                <w:sz w:val="20"/>
              </w:rPr>
              <w:t>OCTROI DES DROITS MINIERS ET PETROLIERS</w:t>
            </w:r>
            <w:r w:rsidRPr="00553B37">
              <w:rPr>
                <w:rFonts w:ascii="Times New Roman" w:hAnsi="Times New Roman" w:cs="Times New Roman"/>
                <w:noProof/>
                <w:webHidden/>
                <w:sz w:val="20"/>
              </w:rPr>
              <w:tab/>
            </w:r>
            <w:r w:rsidRPr="00553B37">
              <w:rPr>
                <w:rFonts w:ascii="Times New Roman" w:hAnsi="Times New Roman" w:cs="Times New Roman"/>
                <w:noProof/>
                <w:webHidden/>
                <w:sz w:val="20"/>
              </w:rPr>
              <w:fldChar w:fldCharType="begin"/>
            </w:r>
            <w:r w:rsidRPr="00553B37">
              <w:rPr>
                <w:rFonts w:ascii="Times New Roman" w:hAnsi="Times New Roman" w:cs="Times New Roman"/>
                <w:noProof/>
                <w:webHidden/>
                <w:sz w:val="20"/>
              </w:rPr>
              <w:instrText xml:space="preserve"> PAGEREF _Toc518468066 \h </w:instrText>
            </w:r>
            <w:r w:rsidRPr="00553B37">
              <w:rPr>
                <w:rFonts w:ascii="Times New Roman" w:hAnsi="Times New Roman" w:cs="Times New Roman"/>
                <w:noProof/>
                <w:webHidden/>
                <w:sz w:val="20"/>
              </w:rPr>
            </w:r>
            <w:r w:rsidRPr="00553B37">
              <w:rPr>
                <w:rFonts w:ascii="Times New Roman" w:hAnsi="Times New Roman" w:cs="Times New Roman"/>
                <w:noProof/>
                <w:webHidden/>
                <w:sz w:val="20"/>
              </w:rPr>
              <w:fldChar w:fldCharType="separate"/>
            </w:r>
            <w:r w:rsidRPr="00553B37">
              <w:rPr>
                <w:rFonts w:ascii="Times New Roman" w:hAnsi="Times New Roman" w:cs="Times New Roman"/>
                <w:noProof/>
                <w:webHidden/>
                <w:sz w:val="20"/>
              </w:rPr>
              <w:t>30</w:t>
            </w:r>
            <w:r w:rsidRPr="00553B37">
              <w:rPr>
                <w:rFonts w:ascii="Times New Roman" w:hAnsi="Times New Roman" w:cs="Times New Roman"/>
                <w:noProof/>
                <w:webHidden/>
                <w:sz w:val="20"/>
              </w:rPr>
              <w:fldChar w:fldCharType="end"/>
            </w:r>
          </w:hyperlink>
        </w:p>
        <w:p w14:paraId="07430310" w14:textId="77777777" w:rsidR="00553B37" w:rsidRPr="00553B37" w:rsidRDefault="00553B37" w:rsidP="00553B37">
          <w:pPr>
            <w:pStyle w:val="TM2"/>
            <w:rPr>
              <w:rFonts w:eastAsiaTheme="minorEastAsia"/>
              <w:noProof/>
              <w:lang w:eastAsia="fr-FR"/>
            </w:rPr>
          </w:pPr>
          <w:hyperlink w:anchor="_Toc518468067" w:history="1">
            <w:r w:rsidRPr="00553B37">
              <w:rPr>
                <w:rStyle w:val="Lienhypertexte"/>
                <w:rFonts w:ascii="Times New Roman" w:hAnsi="Times New Roman"/>
                <w:noProof/>
                <w:sz w:val="20"/>
              </w:rPr>
              <w:t>II.1. Procédure d’octroi des droits pétroliers</w:t>
            </w:r>
            <w:r w:rsidRPr="00553B37">
              <w:rPr>
                <w:noProof/>
                <w:webHidden/>
              </w:rPr>
              <w:tab/>
            </w:r>
            <w:r w:rsidRPr="00553B37">
              <w:rPr>
                <w:noProof/>
                <w:webHidden/>
              </w:rPr>
              <w:fldChar w:fldCharType="begin"/>
            </w:r>
            <w:r w:rsidRPr="00553B37">
              <w:rPr>
                <w:noProof/>
                <w:webHidden/>
              </w:rPr>
              <w:instrText xml:space="preserve"> PAGEREF _Toc518468067 \h </w:instrText>
            </w:r>
            <w:r w:rsidRPr="00553B37">
              <w:rPr>
                <w:noProof/>
                <w:webHidden/>
              </w:rPr>
            </w:r>
            <w:r w:rsidRPr="00553B37">
              <w:rPr>
                <w:noProof/>
                <w:webHidden/>
              </w:rPr>
              <w:fldChar w:fldCharType="separate"/>
            </w:r>
            <w:r w:rsidRPr="00553B37">
              <w:rPr>
                <w:noProof/>
                <w:webHidden/>
              </w:rPr>
              <w:t>30</w:t>
            </w:r>
            <w:r w:rsidRPr="00553B37">
              <w:rPr>
                <w:noProof/>
                <w:webHidden/>
              </w:rPr>
              <w:fldChar w:fldCharType="end"/>
            </w:r>
          </w:hyperlink>
        </w:p>
        <w:p w14:paraId="30D92E6B" w14:textId="77777777" w:rsidR="00553B37" w:rsidRPr="00553B37" w:rsidRDefault="00553B37" w:rsidP="00553B37">
          <w:pPr>
            <w:pStyle w:val="TM2"/>
            <w:rPr>
              <w:rFonts w:eastAsiaTheme="minorEastAsia"/>
              <w:noProof/>
              <w:lang w:eastAsia="fr-FR"/>
            </w:rPr>
          </w:pPr>
          <w:hyperlink w:anchor="_Toc518468068" w:history="1">
            <w:r w:rsidRPr="00553B37">
              <w:rPr>
                <w:rStyle w:val="Lienhypertexte"/>
                <w:rFonts w:ascii="Times New Roman" w:hAnsi="Times New Roman"/>
                <w:noProof/>
                <w:sz w:val="20"/>
              </w:rPr>
              <w:t>II.2. Procédure d’octroi des droits miniers et/ou de carrières et de la délivrance des titres miniers et de carrières</w:t>
            </w:r>
            <w:r w:rsidRPr="00553B37">
              <w:rPr>
                <w:noProof/>
                <w:webHidden/>
              </w:rPr>
              <w:tab/>
            </w:r>
            <w:r w:rsidRPr="00553B37">
              <w:rPr>
                <w:noProof/>
                <w:webHidden/>
              </w:rPr>
              <w:fldChar w:fldCharType="begin"/>
            </w:r>
            <w:r w:rsidRPr="00553B37">
              <w:rPr>
                <w:noProof/>
                <w:webHidden/>
              </w:rPr>
              <w:instrText xml:space="preserve"> PAGEREF _Toc518468068 \h </w:instrText>
            </w:r>
            <w:r w:rsidRPr="00553B37">
              <w:rPr>
                <w:noProof/>
                <w:webHidden/>
              </w:rPr>
            </w:r>
            <w:r w:rsidRPr="00553B37">
              <w:rPr>
                <w:noProof/>
                <w:webHidden/>
              </w:rPr>
              <w:fldChar w:fldCharType="separate"/>
            </w:r>
            <w:r w:rsidRPr="00553B37">
              <w:rPr>
                <w:noProof/>
                <w:webHidden/>
              </w:rPr>
              <w:t>34</w:t>
            </w:r>
            <w:r w:rsidRPr="00553B37">
              <w:rPr>
                <w:noProof/>
                <w:webHidden/>
              </w:rPr>
              <w:fldChar w:fldCharType="end"/>
            </w:r>
          </w:hyperlink>
        </w:p>
        <w:p w14:paraId="16D67BCA" w14:textId="77777777" w:rsidR="00553B37" w:rsidRPr="00553B37" w:rsidRDefault="00553B37" w:rsidP="00553B37">
          <w:pPr>
            <w:pStyle w:val="TM2"/>
            <w:rPr>
              <w:rFonts w:eastAsiaTheme="minorEastAsia"/>
              <w:noProof/>
              <w:lang w:eastAsia="fr-FR"/>
            </w:rPr>
          </w:pPr>
          <w:hyperlink w:anchor="_Toc518468069" w:history="1">
            <w:r w:rsidRPr="00553B37">
              <w:rPr>
                <w:rStyle w:val="Lienhypertexte"/>
                <w:rFonts w:ascii="Times New Roman" w:hAnsi="Times New Roman"/>
                <w:noProof/>
                <w:sz w:val="20"/>
              </w:rPr>
              <w:t>II.3. Transactions sur les droits miniers</w:t>
            </w:r>
            <w:r w:rsidRPr="00553B37">
              <w:rPr>
                <w:noProof/>
                <w:webHidden/>
              </w:rPr>
              <w:tab/>
            </w:r>
            <w:r w:rsidRPr="00553B37">
              <w:rPr>
                <w:noProof/>
                <w:webHidden/>
              </w:rPr>
              <w:fldChar w:fldCharType="begin"/>
            </w:r>
            <w:r w:rsidRPr="00553B37">
              <w:rPr>
                <w:noProof/>
                <w:webHidden/>
              </w:rPr>
              <w:instrText xml:space="preserve"> PAGEREF _Toc518468069 \h </w:instrText>
            </w:r>
            <w:r w:rsidRPr="00553B37">
              <w:rPr>
                <w:noProof/>
                <w:webHidden/>
              </w:rPr>
            </w:r>
            <w:r w:rsidRPr="00553B37">
              <w:rPr>
                <w:noProof/>
                <w:webHidden/>
              </w:rPr>
              <w:fldChar w:fldCharType="separate"/>
            </w:r>
            <w:r w:rsidRPr="00553B37">
              <w:rPr>
                <w:noProof/>
                <w:webHidden/>
              </w:rPr>
              <w:t>40</w:t>
            </w:r>
            <w:r w:rsidRPr="00553B37">
              <w:rPr>
                <w:noProof/>
                <w:webHidden/>
              </w:rPr>
              <w:fldChar w:fldCharType="end"/>
            </w:r>
          </w:hyperlink>
        </w:p>
        <w:p w14:paraId="3D57C1B6" w14:textId="77777777" w:rsidR="00553B37" w:rsidRPr="00553B37" w:rsidRDefault="00553B37" w:rsidP="00553B37">
          <w:pPr>
            <w:pStyle w:val="TM3"/>
            <w:rPr>
              <w:rFonts w:eastAsiaTheme="minorEastAsia"/>
              <w:noProof/>
              <w:lang w:eastAsia="fr-FR"/>
            </w:rPr>
          </w:pPr>
          <w:hyperlink w:anchor="_Toc518468070" w:history="1">
            <w:r w:rsidRPr="00553B37">
              <w:rPr>
                <w:rStyle w:val="Lienhypertexte"/>
                <w:rFonts w:ascii="Times New Roman" w:hAnsi="Times New Roman"/>
                <w:noProof/>
                <w:sz w:val="20"/>
              </w:rPr>
              <w:t>3.1 L’amodiation</w:t>
            </w:r>
            <w:r w:rsidRPr="00553B37">
              <w:rPr>
                <w:noProof/>
                <w:webHidden/>
              </w:rPr>
              <w:tab/>
            </w:r>
            <w:r w:rsidRPr="00553B37">
              <w:rPr>
                <w:noProof/>
                <w:webHidden/>
              </w:rPr>
              <w:fldChar w:fldCharType="begin"/>
            </w:r>
            <w:r w:rsidRPr="00553B37">
              <w:rPr>
                <w:noProof/>
                <w:webHidden/>
              </w:rPr>
              <w:instrText xml:space="preserve"> PAGEREF _Toc518468070 \h </w:instrText>
            </w:r>
            <w:r w:rsidRPr="00553B37">
              <w:rPr>
                <w:noProof/>
                <w:webHidden/>
              </w:rPr>
            </w:r>
            <w:r w:rsidRPr="00553B37">
              <w:rPr>
                <w:noProof/>
                <w:webHidden/>
              </w:rPr>
              <w:fldChar w:fldCharType="separate"/>
            </w:r>
            <w:r w:rsidRPr="00553B37">
              <w:rPr>
                <w:noProof/>
                <w:webHidden/>
              </w:rPr>
              <w:t>40</w:t>
            </w:r>
            <w:r w:rsidRPr="00553B37">
              <w:rPr>
                <w:noProof/>
                <w:webHidden/>
              </w:rPr>
              <w:fldChar w:fldCharType="end"/>
            </w:r>
          </w:hyperlink>
        </w:p>
        <w:p w14:paraId="6AAF27F9" w14:textId="77777777" w:rsidR="00553B37" w:rsidRPr="00553B37" w:rsidRDefault="00553B37" w:rsidP="00553B37">
          <w:pPr>
            <w:pStyle w:val="TM3"/>
            <w:rPr>
              <w:rFonts w:eastAsiaTheme="minorEastAsia"/>
              <w:noProof/>
              <w:lang w:eastAsia="fr-FR"/>
            </w:rPr>
          </w:pPr>
          <w:hyperlink w:anchor="_Toc518468071" w:history="1">
            <w:r w:rsidRPr="00553B37">
              <w:rPr>
                <w:rStyle w:val="Lienhypertexte"/>
                <w:rFonts w:ascii="Times New Roman" w:hAnsi="Times New Roman"/>
                <w:noProof/>
                <w:sz w:val="20"/>
              </w:rPr>
              <w:t>3.2 La mutation</w:t>
            </w:r>
            <w:r w:rsidRPr="00553B37">
              <w:rPr>
                <w:noProof/>
                <w:webHidden/>
              </w:rPr>
              <w:tab/>
            </w:r>
            <w:r w:rsidRPr="00553B37">
              <w:rPr>
                <w:noProof/>
                <w:webHidden/>
              </w:rPr>
              <w:fldChar w:fldCharType="begin"/>
            </w:r>
            <w:r w:rsidRPr="00553B37">
              <w:rPr>
                <w:noProof/>
                <w:webHidden/>
              </w:rPr>
              <w:instrText xml:space="preserve"> PAGEREF _Toc518468071 \h </w:instrText>
            </w:r>
            <w:r w:rsidRPr="00553B37">
              <w:rPr>
                <w:noProof/>
                <w:webHidden/>
              </w:rPr>
            </w:r>
            <w:r w:rsidRPr="00553B37">
              <w:rPr>
                <w:noProof/>
                <w:webHidden/>
              </w:rPr>
              <w:fldChar w:fldCharType="separate"/>
            </w:r>
            <w:r w:rsidRPr="00553B37">
              <w:rPr>
                <w:noProof/>
                <w:webHidden/>
              </w:rPr>
              <w:t>40</w:t>
            </w:r>
            <w:r w:rsidRPr="00553B37">
              <w:rPr>
                <w:noProof/>
                <w:webHidden/>
              </w:rPr>
              <w:fldChar w:fldCharType="end"/>
            </w:r>
          </w:hyperlink>
        </w:p>
        <w:p w14:paraId="5C9D78E3" w14:textId="77777777" w:rsidR="00553B37" w:rsidRPr="00553B37" w:rsidRDefault="00553B37" w:rsidP="00553B37">
          <w:pPr>
            <w:pStyle w:val="TM2"/>
            <w:rPr>
              <w:rFonts w:eastAsiaTheme="minorEastAsia"/>
              <w:noProof/>
              <w:lang w:eastAsia="fr-FR"/>
            </w:rPr>
          </w:pPr>
          <w:hyperlink w:anchor="_Toc518468072" w:history="1">
            <w:r w:rsidRPr="00553B37">
              <w:rPr>
                <w:rStyle w:val="Lienhypertexte"/>
                <w:rFonts w:ascii="Times New Roman" w:hAnsi="Times New Roman"/>
                <w:noProof/>
                <w:sz w:val="20"/>
              </w:rPr>
              <w:t>II.4. Types de titres miniers octroyés</w:t>
            </w:r>
            <w:r w:rsidRPr="00553B37">
              <w:rPr>
                <w:noProof/>
                <w:webHidden/>
              </w:rPr>
              <w:tab/>
            </w:r>
            <w:r w:rsidRPr="00553B37">
              <w:rPr>
                <w:noProof/>
                <w:webHidden/>
              </w:rPr>
              <w:fldChar w:fldCharType="begin"/>
            </w:r>
            <w:r w:rsidRPr="00553B37">
              <w:rPr>
                <w:noProof/>
                <w:webHidden/>
              </w:rPr>
              <w:instrText xml:space="preserve"> PAGEREF _Toc518468072 \h </w:instrText>
            </w:r>
            <w:r w:rsidRPr="00553B37">
              <w:rPr>
                <w:noProof/>
                <w:webHidden/>
              </w:rPr>
            </w:r>
            <w:r w:rsidRPr="00553B37">
              <w:rPr>
                <w:noProof/>
                <w:webHidden/>
              </w:rPr>
              <w:fldChar w:fldCharType="separate"/>
            </w:r>
            <w:r w:rsidRPr="00553B37">
              <w:rPr>
                <w:noProof/>
                <w:webHidden/>
              </w:rPr>
              <w:t>41</w:t>
            </w:r>
            <w:r w:rsidRPr="00553B37">
              <w:rPr>
                <w:noProof/>
                <w:webHidden/>
              </w:rPr>
              <w:fldChar w:fldCharType="end"/>
            </w:r>
          </w:hyperlink>
        </w:p>
        <w:p w14:paraId="203378DB" w14:textId="77777777" w:rsidR="00553B37" w:rsidRPr="00553B37" w:rsidRDefault="00553B37">
          <w:pPr>
            <w:pStyle w:val="TM1"/>
            <w:rPr>
              <w:rFonts w:ascii="Times New Roman" w:eastAsiaTheme="minorEastAsia" w:hAnsi="Times New Roman" w:cs="Times New Roman"/>
              <w:noProof/>
              <w:sz w:val="20"/>
              <w:lang w:eastAsia="fr-FR"/>
            </w:rPr>
          </w:pPr>
          <w:hyperlink w:anchor="_Toc518468073" w:history="1">
            <w:r w:rsidRPr="00553B37">
              <w:rPr>
                <w:rStyle w:val="Lienhypertexte"/>
                <w:rFonts w:ascii="Times New Roman" w:hAnsi="Times New Roman"/>
                <w:noProof/>
                <w:sz w:val="20"/>
              </w:rPr>
              <w:t>III.</w:t>
            </w:r>
            <w:r w:rsidRPr="00553B37">
              <w:rPr>
                <w:rFonts w:ascii="Times New Roman" w:eastAsiaTheme="minorEastAsia" w:hAnsi="Times New Roman" w:cs="Times New Roman"/>
                <w:noProof/>
                <w:sz w:val="20"/>
                <w:lang w:eastAsia="fr-FR"/>
              </w:rPr>
              <w:tab/>
            </w:r>
            <w:r w:rsidRPr="00553B37">
              <w:rPr>
                <w:rStyle w:val="Lienhypertexte"/>
                <w:rFonts w:ascii="Times New Roman" w:hAnsi="Times New Roman"/>
                <w:noProof/>
                <w:sz w:val="20"/>
              </w:rPr>
              <w:t>REGISTRE DES DROITS</w:t>
            </w:r>
            <w:r w:rsidRPr="00553B37">
              <w:rPr>
                <w:rFonts w:ascii="Times New Roman" w:hAnsi="Times New Roman" w:cs="Times New Roman"/>
                <w:noProof/>
                <w:webHidden/>
                <w:sz w:val="20"/>
              </w:rPr>
              <w:tab/>
            </w:r>
            <w:r w:rsidRPr="00553B37">
              <w:rPr>
                <w:rFonts w:ascii="Times New Roman" w:hAnsi="Times New Roman" w:cs="Times New Roman"/>
                <w:noProof/>
                <w:webHidden/>
                <w:sz w:val="20"/>
              </w:rPr>
              <w:fldChar w:fldCharType="begin"/>
            </w:r>
            <w:r w:rsidRPr="00553B37">
              <w:rPr>
                <w:rFonts w:ascii="Times New Roman" w:hAnsi="Times New Roman" w:cs="Times New Roman"/>
                <w:noProof/>
                <w:webHidden/>
                <w:sz w:val="20"/>
              </w:rPr>
              <w:instrText xml:space="preserve"> PAGEREF _Toc518468073 \h </w:instrText>
            </w:r>
            <w:r w:rsidRPr="00553B37">
              <w:rPr>
                <w:rFonts w:ascii="Times New Roman" w:hAnsi="Times New Roman" w:cs="Times New Roman"/>
                <w:noProof/>
                <w:webHidden/>
                <w:sz w:val="20"/>
              </w:rPr>
            </w:r>
            <w:r w:rsidRPr="00553B37">
              <w:rPr>
                <w:rFonts w:ascii="Times New Roman" w:hAnsi="Times New Roman" w:cs="Times New Roman"/>
                <w:noProof/>
                <w:webHidden/>
                <w:sz w:val="20"/>
              </w:rPr>
              <w:fldChar w:fldCharType="separate"/>
            </w:r>
            <w:r w:rsidRPr="00553B37">
              <w:rPr>
                <w:rFonts w:ascii="Times New Roman" w:hAnsi="Times New Roman" w:cs="Times New Roman"/>
                <w:noProof/>
                <w:webHidden/>
                <w:sz w:val="20"/>
              </w:rPr>
              <w:t>43</w:t>
            </w:r>
            <w:r w:rsidRPr="00553B37">
              <w:rPr>
                <w:rFonts w:ascii="Times New Roman" w:hAnsi="Times New Roman" w:cs="Times New Roman"/>
                <w:noProof/>
                <w:webHidden/>
                <w:sz w:val="20"/>
              </w:rPr>
              <w:fldChar w:fldCharType="end"/>
            </w:r>
          </w:hyperlink>
        </w:p>
        <w:p w14:paraId="71B01B9C" w14:textId="77777777" w:rsidR="00553B37" w:rsidRPr="00553B37" w:rsidRDefault="00553B37" w:rsidP="00553B37">
          <w:pPr>
            <w:pStyle w:val="TM2"/>
            <w:rPr>
              <w:rFonts w:eastAsiaTheme="minorEastAsia"/>
              <w:noProof/>
              <w:lang w:eastAsia="fr-FR"/>
            </w:rPr>
          </w:pPr>
          <w:hyperlink w:anchor="_Toc518468074" w:history="1">
            <w:r w:rsidRPr="00553B37">
              <w:rPr>
                <w:rStyle w:val="Lienhypertexte"/>
                <w:rFonts w:ascii="Times New Roman" w:hAnsi="Times New Roman"/>
                <w:noProof/>
                <w:sz w:val="20"/>
              </w:rPr>
              <w:t>III.1. Registre des droits miniers</w:t>
            </w:r>
            <w:r w:rsidRPr="00553B37">
              <w:rPr>
                <w:noProof/>
                <w:webHidden/>
              </w:rPr>
              <w:tab/>
            </w:r>
            <w:r w:rsidRPr="00553B37">
              <w:rPr>
                <w:noProof/>
                <w:webHidden/>
              </w:rPr>
              <w:fldChar w:fldCharType="begin"/>
            </w:r>
            <w:r w:rsidRPr="00553B37">
              <w:rPr>
                <w:noProof/>
                <w:webHidden/>
              </w:rPr>
              <w:instrText xml:space="preserve"> PAGEREF _Toc518468074 \h </w:instrText>
            </w:r>
            <w:r w:rsidRPr="00553B37">
              <w:rPr>
                <w:noProof/>
                <w:webHidden/>
              </w:rPr>
            </w:r>
            <w:r w:rsidRPr="00553B37">
              <w:rPr>
                <w:noProof/>
                <w:webHidden/>
              </w:rPr>
              <w:fldChar w:fldCharType="separate"/>
            </w:r>
            <w:r w:rsidRPr="00553B37">
              <w:rPr>
                <w:noProof/>
                <w:webHidden/>
              </w:rPr>
              <w:t>43</w:t>
            </w:r>
            <w:r w:rsidRPr="00553B37">
              <w:rPr>
                <w:noProof/>
                <w:webHidden/>
              </w:rPr>
              <w:fldChar w:fldCharType="end"/>
            </w:r>
          </w:hyperlink>
        </w:p>
        <w:p w14:paraId="0C201667" w14:textId="77777777" w:rsidR="00553B37" w:rsidRPr="00553B37" w:rsidRDefault="00553B37" w:rsidP="00553B37">
          <w:pPr>
            <w:pStyle w:val="TM2"/>
            <w:rPr>
              <w:rFonts w:eastAsiaTheme="minorEastAsia"/>
              <w:noProof/>
              <w:lang w:eastAsia="fr-FR"/>
            </w:rPr>
          </w:pPr>
          <w:hyperlink w:anchor="_Toc518468075" w:history="1">
            <w:r w:rsidRPr="00553B37">
              <w:rPr>
                <w:rStyle w:val="Lienhypertexte"/>
                <w:rFonts w:ascii="Times New Roman" w:hAnsi="Times New Roman"/>
                <w:noProof/>
                <w:sz w:val="20"/>
              </w:rPr>
              <w:t>III.2. Registre des droits pétroliers</w:t>
            </w:r>
            <w:r w:rsidRPr="00553B37">
              <w:rPr>
                <w:noProof/>
                <w:webHidden/>
              </w:rPr>
              <w:tab/>
            </w:r>
            <w:r w:rsidRPr="00553B37">
              <w:rPr>
                <w:noProof/>
                <w:webHidden/>
              </w:rPr>
              <w:fldChar w:fldCharType="begin"/>
            </w:r>
            <w:r w:rsidRPr="00553B37">
              <w:rPr>
                <w:noProof/>
                <w:webHidden/>
              </w:rPr>
              <w:instrText xml:space="preserve"> PAGEREF _Toc518468075 \h </w:instrText>
            </w:r>
            <w:r w:rsidRPr="00553B37">
              <w:rPr>
                <w:noProof/>
                <w:webHidden/>
              </w:rPr>
            </w:r>
            <w:r w:rsidRPr="00553B37">
              <w:rPr>
                <w:noProof/>
                <w:webHidden/>
              </w:rPr>
              <w:fldChar w:fldCharType="separate"/>
            </w:r>
            <w:r w:rsidRPr="00553B37">
              <w:rPr>
                <w:noProof/>
                <w:webHidden/>
              </w:rPr>
              <w:t>45</w:t>
            </w:r>
            <w:r w:rsidRPr="00553B37">
              <w:rPr>
                <w:noProof/>
                <w:webHidden/>
              </w:rPr>
              <w:fldChar w:fldCharType="end"/>
            </w:r>
          </w:hyperlink>
        </w:p>
        <w:p w14:paraId="46082218" w14:textId="77777777" w:rsidR="00553B37" w:rsidRPr="00553B37" w:rsidRDefault="00553B37">
          <w:pPr>
            <w:pStyle w:val="TM1"/>
            <w:rPr>
              <w:rFonts w:ascii="Times New Roman" w:eastAsiaTheme="minorEastAsia" w:hAnsi="Times New Roman" w:cs="Times New Roman"/>
              <w:noProof/>
              <w:sz w:val="20"/>
              <w:lang w:eastAsia="fr-FR"/>
            </w:rPr>
          </w:pPr>
          <w:hyperlink w:anchor="_Toc518468076" w:history="1">
            <w:r w:rsidRPr="00553B37">
              <w:rPr>
                <w:rStyle w:val="Lienhypertexte"/>
                <w:rFonts w:ascii="Times New Roman" w:hAnsi="Times New Roman"/>
                <w:bCs/>
                <w:iCs/>
                <w:noProof/>
                <w:sz w:val="20"/>
              </w:rPr>
              <w:t>IV.</w:t>
            </w:r>
            <w:r w:rsidRPr="00553B37">
              <w:rPr>
                <w:rFonts w:ascii="Times New Roman" w:eastAsiaTheme="minorEastAsia" w:hAnsi="Times New Roman" w:cs="Times New Roman"/>
                <w:noProof/>
                <w:sz w:val="20"/>
                <w:lang w:eastAsia="fr-FR"/>
              </w:rPr>
              <w:tab/>
            </w:r>
            <w:r w:rsidRPr="00553B37">
              <w:rPr>
                <w:rStyle w:val="Lienhypertexte"/>
                <w:rFonts w:ascii="Times New Roman" w:hAnsi="Times New Roman"/>
                <w:noProof/>
                <w:sz w:val="20"/>
              </w:rPr>
              <w:t>POLITIQUE DE PUBLICATION DES CONTRATS MINIERS ET PETROLIERS</w:t>
            </w:r>
            <w:r w:rsidRPr="00553B37">
              <w:rPr>
                <w:rFonts w:ascii="Times New Roman" w:hAnsi="Times New Roman" w:cs="Times New Roman"/>
                <w:noProof/>
                <w:webHidden/>
                <w:sz w:val="20"/>
              </w:rPr>
              <w:tab/>
            </w:r>
            <w:r w:rsidRPr="00553B37">
              <w:rPr>
                <w:rFonts w:ascii="Times New Roman" w:hAnsi="Times New Roman" w:cs="Times New Roman"/>
                <w:noProof/>
                <w:webHidden/>
                <w:sz w:val="20"/>
              </w:rPr>
              <w:fldChar w:fldCharType="begin"/>
            </w:r>
            <w:r w:rsidRPr="00553B37">
              <w:rPr>
                <w:rFonts w:ascii="Times New Roman" w:hAnsi="Times New Roman" w:cs="Times New Roman"/>
                <w:noProof/>
                <w:webHidden/>
                <w:sz w:val="20"/>
              </w:rPr>
              <w:instrText xml:space="preserve"> PAGEREF _Toc518468076 \h </w:instrText>
            </w:r>
            <w:r w:rsidRPr="00553B37">
              <w:rPr>
                <w:rFonts w:ascii="Times New Roman" w:hAnsi="Times New Roman" w:cs="Times New Roman"/>
                <w:noProof/>
                <w:webHidden/>
                <w:sz w:val="20"/>
              </w:rPr>
            </w:r>
            <w:r w:rsidRPr="00553B37">
              <w:rPr>
                <w:rFonts w:ascii="Times New Roman" w:hAnsi="Times New Roman" w:cs="Times New Roman"/>
                <w:noProof/>
                <w:webHidden/>
                <w:sz w:val="20"/>
              </w:rPr>
              <w:fldChar w:fldCharType="separate"/>
            </w:r>
            <w:r w:rsidRPr="00553B37">
              <w:rPr>
                <w:rFonts w:ascii="Times New Roman" w:hAnsi="Times New Roman" w:cs="Times New Roman"/>
                <w:noProof/>
                <w:webHidden/>
                <w:sz w:val="20"/>
              </w:rPr>
              <w:t>47</w:t>
            </w:r>
            <w:r w:rsidRPr="00553B37">
              <w:rPr>
                <w:rFonts w:ascii="Times New Roman" w:hAnsi="Times New Roman" w:cs="Times New Roman"/>
                <w:noProof/>
                <w:webHidden/>
                <w:sz w:val="20"/>
              </w:rPr>
              <w:fldChar w:fldCharType="end"/>
            </w:r>
          </w:hyperlink>
        </w:p>
        <w:p w14:paraId="4110C0CB" w14:textId="77777777" w:rsidR="00553B37" w:rsidRPr="00553B37" w:rsidRDefault="00553B37">
          <w:pPr>
            <w:pStyle w:val="TM1"/>
            <w:rPr>
              <w:rFonts w:ascii="Times New Roman" w:eastAsiaTheme="minorEastAsia" w:hAnsi="Times New Roman" w:cs="Times New Roman"/>
              <w:noProof/>
              <w:sz w:val="20"/>
              <w:lang w:eastAsia="fr-FR"/>
            </w:rPr>
          </w:pPr>
          <w:hyperlink w:anchor="_Toc518468077" w:history="1">
            <w:r w:rsidRPr="00553B37">
              <w:rPr>
                <w:rStyle w:val="Lienhypertexte"/>
                <w:rFonts w:ascii="Times New Roman" w:hAnsi="Times New Roman"/>
                <w:noProof/>
                <w:sz w:val="20"/>
              </w:rPr>
              <w:t>V.</w:t>
            </w:r>
            <w:r w:rsidRPr="00553B37">
              <w:rPr>
                <w:rFonts w:ascii="Times New Roman" w:eastAsiaTheme="minorEastAsia" w:hAnsi="Times New Roman" w:cs="Times New Roman"/>
                <w:noProof/>
                <w:sz w:val="20"/>
                <w:lang w:eastAsia="fr-FR"/>
              </w:rPr>
              <w:tab/>
            </w:r>
            <w:r w:rsidRPr="00553B37">
              <w:rPr>
                <w:rStyle w:val="Lienhypertexte"/>
                <w:rFonts w:ascii="Times New Roman" w:hAnsi="Times New Roman"/>
                <w:noProof/>
                <w:sz w:val="20"/>
              </w:rPr>
              <w:t>PROPRIETE REELLE</w:t>
            </w:r>
            <w:r w:rsidRPr="00553B37">
              <w:rPr>
                <w:rFonts w:ascii="Times New Roman" w:hAnsi="Times New Roman" w:cs="Times New Roman"/>
                <w:noProof/>
                <w:webHidden/>
                <w:sz w:val="20"/>
              </w:rPr>
              <w:tab/>
            </w:r>
            <w:r w:rsidRPr="00553B37">
              <w:rPr>
                <w:rFonts w:ascii="Times New Roman" w:hAnsi="Times New Roman" w:cs="Times New Roman"/>
                <w:noProof/>
                <w:webHidden/>
                <w:sz w:val="20"/>
              </w:rPr>
              <w:fldChar w:fldCharType="begin"/>
            </w:r>
            <w:r w:rsidRPr="00553B37">
              <w:rPr>
                <w:rFonts w:ascii="Times New Roman" w:hAnsi="Times New Roman" w:cs="Times New Roman"/>
                <w:noProof/>
                <w:webHidden/>
                <w:sz w:val="20"/>
              </w:rPr>
              <w:instrText xml:space="preserve"> PAGEREF _Toc518468077 \h </w:instrText>
            </w:r>
            <w:r w:rsidRPr="00553B37">
              <w:rPr>
                <w:rFonts w:ascii="Times New Roman" w:hAnsi="Times New Roman" w:cs="Times New Roman"/>
                <w:noProof/>
                <w:webHidden/>
                <w:sz w:val="20"/>
              </w:rPr>
            </w:r>
            <w:r w:rsidRPr="00553B37">
              <w:rPr>
                <w:rFonts w:ascii="Times New Roman" w:hAnsi="Times New Roman" w:cs="Times New Roman"/>
                <w:noProof/>
                <w:webHidden/>
                <w:sz w:val="20"/>
              </w:rPr>
              <w:fldChar w:fldCharType="separate"/>
            </w:r>
            <w:r w:rsidRPr="00553B37">
              <w:rPr>
                <w:rFonts w:ascii="Times New Roman" w:hAnsi="Times New Roman" w:cs="Times New Roman"/>
                <w:noProof/>
                <w:webHidden/>
                <w:sz w:val="20"/>
              </w:rPr>
              <w:t>49</w:t>
            </w:r>
            <w:r w:rsidRPr="00553B37">
              <w:rPr>
                <w:rFonts w:ascii="Times New Roman" w:hAnsi="Times New Roman" w:cs="Times New Roman"/>
                <w:noProof/>
                <w:webHidden/>
                <w:sz w:val="20"/>
              </w:rPr>
              <w:fldChar w:fldCharType="end"/>
            </w:r>
          </w:hyperlink>
        </w:p>
        <w:p w14:paraId="3AC10FED" w14:textId="77777777" w:rsidR="00553B37" w:rsidRPr="00553B37" w:rsidRDefault="00553B37" w:rsidP="00553B37">
          <w:pPr>
            <w:pStyle w:val="TM2"/>
            <w:rPr>
              <w:rFonts w:eastAsiaTheme="minorEastAsia"/>
              <w:noProof/>
              <w:lang w:eastAsia="fr-FR"/>
            </w:rPr>
          </w:pPr>
          <w:hyperlink w:anchor="_Toc518468078" w:history="1">
            <w:r w:rsidRPr="00553B37">
              <w:rPr>
                <w:rStyle w:val="Lienhypertexte"/>
                <w:rFonts w:ascii="Times New Roman" w:hAnsi="Times New Roman"/>
                <w:noProof/>
                <w:sz w:val="20"/>
              </w:rPr>
              <w:t>V.1. Contexte</w:t>
            </w:r>
            <w:r w:rsidRPr="00553B37">
              <w:rPr>
                <w:noProof/>
                <w:webHidden/>
              </w:rPr>
              <w:tab/>
            </w:r>
            <w:r w:rsidRPr="00553B37">
              <w:rPr>
                <w:noProof/>
                <w:webHidden/>
              </w:rPr>
              <w:fldChar w:fldCharType="begin"/>
            </w:r>
            <w:r w:rsidRPr="00553B37">
              <w:rPr>
                <w:noProof/>
                <w:webHidden/>
              </w:rPr>
              <w:instrText xml:space="preserve"> PAGEREF _Toc518468078 \h </w:instrText>
            </w:r>
            <w:r w:rsidRPr="00553B37">
              <w:rPr>
                <w:noProof/>
                <w:webHidden/>
              </w:rPr>
            </w:r>
            <w:r w:rsidRPr="00553B37">
              <w:rPr>
                <w:noProof/>
                <w:webHidden/>
              </w:rPr>
              <w:fldChar w:fldCharType="separate"/>
            </w:r>
            <w:r w:rsidRPr="00553B37">
              <w:rPr>
                <w:noProof/>
                <w:webHidden/>
              </w:rPr>
              <w:t>49</w:t>
            </w:r>
            <w:r w:rsidRPr="00553B37">
              <w:rPr>
                <w:noProof/>
                <w:webHidden/>
              </w:rPr>
              <w:fldChar w:fldCharType="end"/>
            </w:r>
          </w:hyperlink>
        </w:p>
        <w:p w14:paraId="1B8CCB52" w14:textId="77777777" w:rsidR="00553B37" w:rsidRPr="00553B37" w:rsidRDefault="00553B37" w:rsidP="00553B37">
          <w:pPr>
            <w:pStyle w:val="TM2"/>
            <w:rPr>
              <w:rFonts w:eastAsiaTheme="minorEastAsia"/>
              <w:noProof/>
              <w:lang w:eastAsia="fr-FR"/>
            </w:rPr>
          </w:pPr>
          <w:hyperlink w:anchor="_Toc518468079" w:history="1">
            <w:r w:rsidRPr="00553B37">
              <w:rPr>
                <w:rStyle w:val="Lienhypertexte"/>
                <w:rFonts w:ascii="Times New Roman" w:hAnsi="Times New Roman"/>
                <w:noProof/>
                <w:sz w:val="20"/>
              </w:rPr>
              <w:t>V.2. Niveau d’exécution de la Feuille de route</w:t>
            </w:r>
            <w:r w:rsidRPr="00553B37">
              <w:rPr>
                <w:noProof/>
                <w:webHidden/>
              </w:rPr>
              <w:tab/>
            </w:r>
            <w:r w:rsidRPr="00553B37">
              <w:rPr>
                <w:noProof/>
                <w:webHidden/>
              </w:rPr>
              <w:fldChar w:fldCharType="begin"/>
            </w:r>
            <w:r w:rsidRPr="00553B37">
              <w:rPr>
                <w:noProof/>
                <w:webHidden/>
              </w:rPr>
              <w:instrText xml:space="preserve"> PAGEREF _Toc518468079 \h </w:instrText>
            </w:r>
            <w:r w:rsidRPr="00553B37">
              <w:rPr>
                <w:noProof/>
                <w:webHidden/>
              </w:rPr>
            </w:r>
            <w:r w:rsidRPr="00553B37">
              <w:rPr>
                <w:noProof/>
                <w:webHidden/>
              </w:rPr>
              <w:fldChar w:fldCharType="separate"/>
            </w:r>
            <w:r w:rsidRPr="00553B37">
              <w:rPr>
                <w:noProof/>
                <w:webHidden/>
              </w:rPr>
              <w:t>51</w:t>
            </w:r>
            <w:r w:rsidRPr="00553B37">
              <w:rPr>
                <w:noProof/>
                <w:webHidden/>
              </w:rPr>
              <w:fldChar w:fldCharType="end"/>
            </w:r>
          </w:hyperlink>
        </w:p>
        <w:p w14:paraId="0360C290" w14:textId="77777777" w:rsidR="00553B37" w:rsidRPr="00553B37" w:rsidRDefault="00553B37">
          <w:pPr>
            <w:pStyle w:val="TM1"/>
            <w:rPr>
              <w:rFonts w:ascii="Times New Roman" w:eastAsiaTheme="minorEastAsia" w:hAnsi="Times New Roman" w:cs="Times New Roman"/>
              <w:noProof/>
              <w:sz w:val="20"/>
              <w:lang w:eastAsia="fr-FR"/>
            </w:rPr>
          </w:pPr>
          <w:hyperlink w:anchor="_Toc518468080" w:history="1">
            <w:r w:rsidRPr="00553B37">
              <w:rPr>
                <w:rStyle w:val="Lienhypertexte"/>
                <w:rFonts w:ascii="Times New Roman" w:hAnsi="Times New Roman"/>
                <w:noProof/>
                <w:sz w:val="20"/>
              </w:rPr>
              <w:t>VI.</w:t>
            </w:r>
            <w:r w:rsidRPr="00553B37">
              <w:rPr>
                <w:rFonts w:ascii="Times New Roman" w:eastAsiaTheme="minorEastAsia" w:hAnsi="Times New Roman" w:cs="Times New Roman"/>
                <w:noProof/>
                <w:sz w:val="20"/>
                <w:lang w:eastAsia="fr-FR"/>
              </w:rPr>
              <w:tab/>
            </w:r>
            <w:r w:rsidRPr="00553B37">
              <w:rPr>
                <w:rStyle w:val="Lienhypertexte"/>
                <w:rFonts w:ascii="Times New Roman" w:hAnsi="Times New Roman"/>
                <w:noProof/>
                <w:sz w:val="20"/>
              </w:rPr>
              <w:t>PROSPECTION, PRODUCTION ET EXPORTATIONS</w:t>
            </w:r>
            <w:r w:rsidRPr="00553B37">
              <w:rPr>
                <w:rFonts w:ascii="Times New Roman" w:hAnsi="Times New Roman" w:cs="Times New Roman"/>
                <w:noProof/>
                <w:webHidden/>
                <w:sz w:val="20"/>
              </w:rPr>
              <w:tab/>
            </w:r>
            <w:r w:rsidRPr="00553B37">
              <w:rPr>
                <w:rFonts w:ascii="Times New Roman" w:hAnsi="Times New Roman" w:cs="Times New Roman"/>
                <w:noProof/>
                <w:webHidden/>
                <w:sz w:val="20"/>
              </w:rPr>
              <w:fldChar w:fldCharType="begin"/>
            </w:r>
            <w:r w:rsidRPr="00553B37">
              <w:rPr>
                <w:rFonts w:ascii="Times New Roman" w:hAnsi="Times New Roman" w:cs="Times New Roman"/>
                <w:noProof/>
                <w:webHidden/>
                <w:sz w:val="20"/>
              </w:rPr>
              <w:instrText xml:space="preserve"> PAGEREF _Toc518468080 \h </w:instrText>
            </w:r>
            <w:r w:rsidRPr="00553B37">
              <w:rPr>
                <w:rFonts w:ascii="Times New Roman" w:hAnsi="Times New Roman" w:cs="Times New Roman"/>
                <w:noProof/>
                <w:webHidden/>
                <w:sz w:val="20"/>
              </w:rPr>
            </w:r>
            <w:r w:rsidRPr="00553B37">
              <w:rPr>
                <w:rFonts w:ascii="Times New Roman" w:hAnsi="Times New Roman" w:cs="Times New Roman"/>
                <w:noProof/>
                <w:webHidden/>
                <w:sz w:val="20"/>
              </w:rPr>
              <w:fldChar w:fldCharType="separate"/>
            </w:r>
            <w:r w:rsidRPr="00553B37">
              <w:rPr>
                <w:rFonts w:ascii="Times New Roman" w:hAnsi="Times New Roman" w:cs="Times New Roman"/>
                <w:noProof/>
                <w:webHidden/>
                <w:sz w:val="20"/>
              </w:rPr>
              <w:t>53</w:t>
            </w:r>
            <w:r w:rsidRPr="00553B37">
              <w:rPr>
                <w:rFonts w:ascii="Times New Roman" w:hAnsi="Times New Roman" w:cs="Times New Roman"/>
                <w:noProof/>
                <w:webHidden/>
                <w:sz w:val="20"/>
              </w:rPr>
              <w:fldChar w:fldCharType="end"/>
            </w:r>
          </w:hyperlink>
        </w:p>
        <w:p w14:paraId="3214C383" w14:textId="77777777" w:rsidR="00553B37" w:rsidRPr="00553B37" w:rsidRDefault="00553B37" w:rsidP="00553B37">
          <w:pPr>
            <w:pStyle w:val="TM2"/>
            <w:rPr>
              <w:rFonts w:eastAsiaTheme="minorEastAsia"/>
              <w:noProof/>
              <w:lang w:eastAsia="fr-FR"/>
            </w:rPr>
          </w:pPr>
          <w:hyperlink w:anchor="_Toc518468081" w:history="1">
            <w:r w:rsidRPr="00553B37">
              <w:rPr>
                <w:rStyle w:val="Lienhypertexte"/>
                <w:rFonts w:ascii="Times New Roman" w:hAnsi="Times New Roman"/>
                <w:noProof/>
                <w:sz w:val="20"/>
              </w:rPr>
              <w:t>VI.1. Activité de prospection</w:t>
            </w:r>
            <w:r w:rsidRPr="00553B37">
              <w:rPr>
                <w:noProof/>
                <w:webHidden/>
              </w:rPr>
              <w:tab/>
            </w:r>
            <w:r w:rsidRPr="00553B37">
              <w:rPr>
                <w:noProof/>
                <w:webHidden/>
              </w:rPr>
              <w:fldChar w:fldCharType="begin"/>
            </w:r>
            <w:r w:rsidRPr="00553B37">
              <w:rPr>
                <w:noProof/>
                <w:webHidden/>
              </w:rPr>
              <w:instrText xml:space="preserve"> PAGEREF _Toc518468081 \h </w:instrText>
            </w:r>
            <w:r w:rsidRPr="00553B37">
              <w:rPr>
                <w:noProof/>
                <w:webHidden/>
              </w:rPr>
            </w:r>
            <w:r w:rsidRPr="00553B37">
              <w:rPr>
                <w:noProof/>
                <w:webHidden/>
              </w:rPr>
              <w:fldChar w:fldCharType="separate"/>
            </w:r>
            <w:r w:rsidRPr="00553B37">
              <w:rPr>
                <w:noProof/>
                <w:webHidden/>
              </w:rPr>
              <w:t>53</w:t>
            </w:r>
            <w:r w:rsidRPr="00553B37">
              <w:rPr>
                <w:noProof/>
                <w:webHidden/>
              </w:rPr>
              <w:fldChar w:fldCharType="end"/>
            </w:r>
          </w:hyperlink>
        </w:p>
        <w:p w14:paraId="619D5114" w14:textId="77777777" w:rsidR="00553B37" w:rsidRPr="00553B37" w:rsidRDefault="00553B37" w:rsidP="00553B37">
          <w:pPr>
            <w:pStyle w:val="TM3"/>
            <w:rPr>
              <w:rFonts w:eastAsiaTheme="minorEastAsia"/>
              <w:noProof/>
              <w:lang w:eastAsia="fr-FR"/>
            </w:rPr>
          </w:pPr>
          <w:hyperlink w:anchor="_Toc518468082" w:history="1">
            <w:r w:rsidRPr="00553B37">
              <w:rPr>
                <w:rStyle w:val="Lienhypertexte"/>
                <w:rFonts w:ascii="Times New Roman" w:hAnsi="Times New Roman"/>
                <w:noProof/>
                <w:sz w:val="20"/>
              </w:rPr>
              <w:t>1.</w:t>
            </w:r>
            <w:r w:rsidRPr="00553B37">
              <w:rPr>
                <w:rFonts w:eastAsiaTheme="minorEastAsia"/>
                <w:noProof/>
                <w:lang w:eastAsia="fr-FR"/>
              </w:rPr>
              <w:tab/>
            </w:r>
            <w:r w:rsidRPr="00553B37">
              <w:rPr>
                <w:rStyle w:val="Lienhypertexte"/>
                <w:rFonts w:ascii="Times New Roman" w:hAnsi="Times New Roman"/>
                <w:noProof/>
                <w:sz w:val="20"/>
              </w:rPr>
              <w:t>Secteur pétrolier</w:t>
            </w:r>
            <w:r w:rsidRPr="00553B37">
              <w:rPr>
                <w:noProof/>
                <w:webHidden/>
              </w:rPr>
              <w:tab/>
            </w:r>
            <w:r w:rsidRPr="00553B37">
              <w:rPr>
                <w:noProof/>
                <w:webHidden/>
              </w:rPr>
              <w:fldChar w:fldCharType="begin"/>
            </w:r>
            <w:r w:rsidRPr="00553B37">
              <w:rPr>
                <w:noProof/>
                <w:webHidden/>
              </w:rPr>
              <w:instrText xml:space="preserve"> PAGEREF _Toc518468082 \h </w:instrText>
            </w:r>
            <w:r w:rsidRPr="00553B37">
              <w:rPr>
                <w:noProof/>
                <w:webHidden/>
              </w:rPr>
            </w:r>
            <w:r w:rsidRPr="00553B37">
              <w:rPr>
                <w:noProof/>
                <w:webHidden/>
              </w:rPr>
              <w:fldChar w:fldCharType="separate"/>
            </w:r>
            <w:r w:rsidRPr="00553B37">
              <w:rPr>
                <w:noProof/>
                <w:webHidden/>
              </w:rPr>
              <w:t>53</w:t>
            </w:r>
            <w:r w:rsidRPr="00553B37">
              <w:rPr>
                <w:noProof/>
                <w:webHidden/>
              </w:rPr>
              <w:fldChar w:fldCharType="end"/>
            </w:r>
          </w:hyperlink>
        </w:p>
        <w:p w14:paraId="6B3C59F5" w14:textId="77777777" w:rsidR="00553B37" w:rsidRPr="00553B37" w:rsidRDefault="00553B37" w:rsidP="00553B37">
          <w:pPr>
            <w:pStyle w:val="TM3"/>
            <w:rPr>
              <w:rFonts w:eastAsiaTheme="minorEastAsia"/>
              <w:noProof/>
              <w:lang w:eastAsia="fr-FR"/>
            </w:rPr>
          </w:pPr>
          <w:hyperlink w:anchor="_Toc518468083" w:history="1">
            <w:r w:rsidRPr="00553B37">
              <w:rPr>
                <w:rStyle w:val="Lienhypertexte"/>
                <w:rFonts w:ascii="Times New Roman" w:hAnsi="Times New Roman"/>
                <w:noProof/>
                <w:sz w:val="20"/>
              </w:rPr>
              <w:t>2.</w:t>
            </w:r>
            <w:r w:rsidRPr="00553B37">
              <w:rPr>
                <w:rFonts w:eastAsiaTheme="minorEastAsia"/>
                <w:noProof/>
                <w:lang w:eastAsia="fr-FR"/>
              </w:rPr>
              <w:tab/>
            </w:r>
            <w:r w:rsidRPr="00553B37">
              <w:rPr>
                <w:rStyle w:val="Lienhypertexte"/>
                <w:rFonts w:ascii="Times New Roman" w:hAnsi="Times New Roman"/>
                <w:noProof/>
                <w:sz w:val="20"/>
              </w:rPr>
              <w:t>Secteur Minier</w:t>
            </w:r>
            <w:r w:rsidRPr="00553B37">
              <w:rPr>
                <w:noProof/>
                <w:webHidden/>
              </w:rPr>
              <w:tab/>
            </w:r>
            <w:r w:rsidRPr="00553B37">
              <w:rPr>
                <w:noProof/>
                <w:webHidden/>
              </w:rPr>
              <w:fldChar w:fldCharType="begin"/>
            </w:r>
            <w:r w:rsidRPr="00553B37">
              <w:rPr>
                <w:noProof/>
                <w:webHidden/>
              </w:rPr>
              <w:instrText xml:space="preserve"> PAGEREF _Toc518468083 \h </w:instrText>
            </w:r>
            <w:r w:rsidRPr="00553B37">
              <w:rPr>
                <w:noProof/>
                <w:webHidden/>
              </w:rPr>
            </w:r>
            <w:r w:rsidRPr="00553B37">
              <w:rPr>
                <w:noProof/>
                <w:webHidden/>
              </w:rPr>
              <w:fldChar w:fldCharType="separate"/>
            </w:r>
            <w:r w:rsidRPr="00553B37">
              <w:rPr>
                <w:noProof/>
                <w:webHidden/>
              </w:rPr>
              <w:t>53</w:t>
            </w:r>
            <w:r w:rsidRPr="00553B37">
              <w:rPr>
                <w:noProof/>
                <w:webHidden/>
              </w:rPr>
              <w:fldChar w:fldCharType="end"/>
            </w:r>
          </w:hyperlink>
        </w:p>
        <w:p w14:paraId="05540937" w14:textId="77777777" w:rsidR="00553B37" w:rsidRPr="00553B37" w:rsidRDefault="00553B37" w:rsidP="00553B37">
          <w:pPr>
            <w:pStyle w:val="TM2"/>
            <w:rPr>
              <w:rFonts w:eastAsiaTheme="minorEastAsia"/>
              <w:noProof/>
              <w:lang w:eastAsia="fr-FR"/>
            </w:rPr>
          </w:pPr>
          <w:hyperlink w:anchor="_Toc518468084" w:history="1">
            <w:r w:rsidRPr="00553B37">
              <w:rPr>
                <w:rStyle w:val="Lienhypertexte"/>
                <w:rFonts w:ascii="Times New Roman" w:hAnsi="Times New Roman"/>
                <w:noProof/>
                <w:sz w:val="20"/>
              </w:rPr>
              <w:t>VI.2. Activité d’exploration</w:t>
            </w:r>
            <w:r w:rsidRPr="00553B37">
              <w:rPr>
                <w:noProof/>
                <w:webHidden/>
              </w:rPr>
              <w:tab/>
            </w:r>
            <w:r w:rsidRPr="00553B37">
              <w:rPr>
                <w:noProof/>
                <w:webHidden/>
              </w:rPr>
              <w:fldChar w:fldCharType="begin"/>
            </w:r>
            <w:r w:rsidRPr="00553B37">
              <w:rPr>
                <w:noProof/>
                <w:webHidden/>
              </w:rPr>
              <w:instrText xml:space="preserve"> PAGEREF _Toc518468084 \h </w:instrText>
            </w:r>
            <w:r w:rsidRPr="00553B37">
              <w:rPr>
                <w:noProof/>
                <w:webHidden/>
              </w:rPr>
            </w:r>
            <w:r w:rsidRPr="00553B37">
              <w:rPr>
                <w:noProof/>
                <w:webHidden/>
              </w:rPr>
              <w:fldChar w:fldCharType="separate"/>
            </w:r>
            <w:r w:rsidRPr="00553B37">
              <w:rPr>
                <w:noProof/>
                <w:webHidden/>
              </w:rPr>
              <w:t>54</w:t>
            </w:r>
            <w:r w:rsidRPr="00553B37">
              <w:rPr>
                <w:noProof/>
                <w:webHidden/>
              </w:rPr>
              <w:fldChar w:fldCharType="end"/>
            </w:r>
          </w:hyperlink>
        </w:p>
        <w:p w14:paraId="03F2242D" w14:textId="77777777" w:rsidR="00553B37" w:rsidRPr="00553B37" w:rsidRDefault="00553B37" w:rsidP="00553B37">
          <w:pPr>
            <w:pStyle w:val="TM3"/>
            <w:rPr>
              <w:rFonts w:eastAsiaTheme="minorEastAsia"/>
              <w:noProof/>
              <w:lang w:eastAsia="fr-FR"/>
            </w:rPr>
          </w:pPr>
          <w:hyperlink w:anchor="_Toc518468085" w:history="1">
            <w:r w:rsidRPr="00553B37">
              <w:rPr>
                <w:rStyle w:val="Lienhypertexte"/>
                <w:rFonts w:ascii="Times New Roman" w:hAnsi="Times New Roman"/>
                <w:noProof/>
                <w:sz w:val="20"/>
              </w:rPr>
              <w:t>1.</w:t>
            </w:r>
            <w:r w:rsidRPr="00553B37">
              <w:rPr>
                <w:rFonts w:eastAsiaTheme="minorEastAsia"/>
                <w:noProof/>
                <w:lang w:eastAsia="fr-FR"/>
              </w:rPr>
              <w:tab/>
            </w:r>
            <w:r w:rsidRPr="00553B37">
              <w:rPr>
                <w:rStyle w:val="Lienhypertexte"/>
                <w:rFonts w:ascii="Times New Roman" w:hAnsi="Times New Roman"/>
                <w:noProof/>
                <w:sz w:val="20"/>
              </w:rPr>
              <w:t>Secteur pétrolier</w:t>
            </w:r>
            <w:r w:rsidRPr="00553B37">
              <w:rPr>
                <w:noProof/>
                <w:webHidden/>
              </w:rPr>
              <w:tab/>
            </w:r>
            <w:r w:rsidRPr="00553B37">
              <w:rPr>
                <w:noProof/>
                <w:webHidden/>
              </w:rPr>
              <w:fldChar w:fldCharType="begin"/>
            </w:r>
            <w:r w:rsidRPr="00553B37">
              <w:rPr>
                <w:noProof/>
                <w:webHidden/>
              </w:rPr>
              <w:instrText xml:space="preserve"> PAGEREF _Toc518468085 \h </w:instrText>
            </w:r>
            <w:r w:rsidRPr="00553B37">
              <w:rPr>
                <w:noProof/>
                <w:webHidden/>
              </w:rPr>
            </w:r>
            <w:r w:rsidRPr="00553B37">
              <w:rPr>
                <w:noProof/>
                <w:webHidden/>
              </w:rPr>
              <w:fldChar w:fldCharType="separate"/>
            </w:r>
            <w:r w:rsidRPr="00553B37">
              <w:rPr>
                <w:noProof/>
                <w:webHidden/>
              </w:rPr>
              <w:t>54</w:t>
            </w:r>
            <w:r w:rsidRPr="00553B37">
              <w:rPr>
                <w:noProof/>
                <w:webHidden/>
              </w:rPr>
              <w:fldChar w:fldCharType="end"/>
            </w:r>
          </w:hyperlink>
        </w:p>
        <w:p w14:paraId="7B6297BA" w14:textId="77777777" w:rsidR="00553B37" w:rsidRPr="00553B37" w:rsidRDefault="00553B37" w:rsidP="00553B37">
          <w:pPr>
            <w:pStyle w:val="TM3"/>
            <w:rPr>
              <w:rFonts w:eastAsiaTheme="minorEastAsia"/>
              <w:noProof/>
              <w:lang w:eastAsia="fr-FR"/>
            </w:rPr>
          </w:pPr>
          <w:hyperlink w:anchor="_Toc518468086" w:history="1">
            <w:r w:rsidRPr="00553B37">
              <w:rPr>
                <w:rStyle w:val="Lienhypertexte"/>
                <w:rFonts w:ascii="Times New Roman" w:hAnsi="Times New Roman"/>
                <w:noProof/>
                <w:sz w:val="20"/>
              </w:rPr>
              <w:t>2.</w:t>
            </w:r>
            <w:r w:rsidRPr="00553B37">
              <w:rPr>
                <w:rFonts w:eastAsiaTheme="minorEastAsia"/>
                <w:noProof/>
                <w:lang w:eastAsia="fr-FR"/>
              </w:rPr>
              <w:tab/>
            </w:r>
            <w:r w:rsidRPr="00553B37">
              <w:rPr>
                <w:rStyle w:val="Lienhypertexte"/>
                <w:rFonts w:ascii="Times New Roman" w:hAnsi="Times New Roman"/>
                <w:noProof/>
                <w:sz w:val="20"/>
              </w:rPr>
              <w:t>Secteur Minier</w:t>
            </w:r>
            <w:r w:rsidRPr="00553B37">
              <w:rPr>
                <w:noProof/>
                <w:webHidden/>
              </w:rPr>
              <w:tab/>
            </w:r>
            <w:r w:rsidRPr="00553B37">
              <w:rPr>
                <w:noProof/>
                <w:webHidden/>
              </w:rPr>
              <w:fldChar w:fldCharType="begin"/>
            </w:r>
            <w:r w:rsidRPr="00553B37">
              <w:rPr>
                <w:noProof/>
                <w:webHidden/>
              </w:rPr>
              <w:instrText xml:space="preserve"> PAGEREF _Toc518468086 \h </w:instrText>
            </w:r>
            <w:r w:rsidRPr="00553B37">
              <w:rPr>
                <w:noProof/>
                <w:webHidden/>
              </w:rPr>
            </w:r>
            <w:r w:rsidRPr="00553B37">
              <w:rPr>
                <w:noProof/>
                <w:webHidden/>
              </w:rPr>
              <w:fldChar w:fldCharType="separate"/>
            </w:r>
            <w:r w:rsidRPr="00553B37">
              <w:rPr>
                <w:noProof/>
                <w:webHidden/>
              </w:rPr>
              <w:t>55</w:t>
            </w:r>
            <w:r w:rsidRPr="00553B37">
              <w:rPr>
                <w:noProof/>
                <w:webHidden/>
              </w:rPr>
              <w:fldChar w:fldCharType="end"/>
            </w:r>
          </w:hyperlink>
        </w:p>
        <w:p w14:paraId="1063C26B" w14:textId="77777777" w:rsidR="00553B37" w:rsidRPr="00553B37" w:rsidRDefault="00553B37" w:rsidP="00553B37">
          <w:pPr>
            <w:pStyle w:val="TM2"/>
            <w:rPr>
              <w:rFonts w:eastAsiaTheme="minorEastAsia"/>
              <w:noProof/>
              <w:lang w:eastAsia="fr-FR"/>
            </w:rPr>
          </w:pPr>
          <w:hyperlink w:anchor="_Toc518468087" w:history="1">
            <w:r w:rsidRPr="00553B37">
              <w:rPr>
                <w:rStyle w:val="Lienhypertexte"/>
                <w:rFonts w:ascii="Times New Roman" w:hAnsi="Times New Roman"/>
                <w:noProof/>
                <w:sz w:val="20"/>
              </w:rPr>
              <w:t>VI.3. La production et les exportations du secteur extractif</w:t>
            </w:r>
            <w:r w:rsidRPr="00553B37">
              <w:rPr>
                <w:noProof/>
                <w:webHidden/>
              </w:rPr>
              <w:tab/>
            </w:r>
            <w:r w:rsidRPr="00553B37">
              <w:rPr>
                <w:noProof/>
                <w:webHidden/>
              </w:rPr>
              <w:fldChar w:fldCharType="begin"/>
            </w:r>
            <w:r w:rsidRPr="00553B37">
              <w:rPr>
                <w:noProof/>
                <w:webHidden/>
              </w:rPr>
              <w:instrText xml:space="preserve"> PAGEREF _Toc518468087 \h </w:instrText>
            </w:r>
            <w:r w:rsidRPr="00553B37">
              <w:rPr>
                <w:noProof/>
                <w:webHidden/>
              </w:rPr>
            </w:r>
            <w:r w:rsidRPr="00553B37">
              <w:rPr>
                <w:noProof/>
                <w:webHidden/>
              </w:rPr>
              <w:fldChar w:fldCharType="separate"/>
            </w:r>
            <w:r w:rsidRPr="00553B37">
              <w:rPr>
                <w:noProof/>
                <w:webHidden/>
              </w:rPr>
              <w:t>56</w:t>
            </w:r>
            <w:r w:rsidRPr="00553B37">
              <w:rPr>
                <w:noProof/>
                <w:webHidden/>
              </w:rPr>
              <w:fldChar w:fldCharType="end"/>
            </w:r>
          </w:hyperlink>
        </w:p>
        <w:p w14:paraId="5E26427C" w14:textId="77777777" w:rsidR="00553B37" w:rsidRPr="00553B37" w:rsidRDefault="00553B37" w:rsidP="00553B37">
          <w:pPr>
            <w:pStyle w:val="TM3"/>
            <w:rPr>
              <w:rFonts w:eastAsiaTheme="minorEastAsia"/>
              <w:noProof/>
              <w:lang w:eastAsia="fr-FR"/>
            </w:rPr>
          </w:pPr>
          <w:hyperlink w:anchor="_Toc518468088" w:history="1">
            <w:r w:rsidRPr="00553B37">
              <w:rPr>
                <w:rStyle w:val="Lienhypertexte"/>
                <w:rFonts w:ascii="Times New Roman" w:hAnsi="Times New Roman"/>
                <w:noProof/>
                <w:sz w:val="20"/>
              </w:rPr>
              <w:t>3.1.  Secteur des Hydrocarbures</w:t>
            </w:r>
            <w:r w:rsidRPr="00553B37">
              <w:rPr>
                <w:noProof/>
                <w:webHidden/>
              </w:rPr>
              <w:tab/>
            </w:r>
            <w:r w:rsidRPr="00553B37">
              <w:rPr>
                <w:noProof/>
                <w:webHidden/>
              </w:rPr>
              <w:fldChar w:fldCharType="begin"/>
            </w:r>
            <w:r w:rsidRPr="00553B37">
              <w:rPr>
                <w:noProof/>
                <w:webHidden/>
              </w:rPr>
              <w:instrText xml:space="preserve"> PAGEREF _Toc518468088 \h </w:instrText>
            </w:r>
            <w:r w:rsidRPr="00553B37">
              <w:rPr>
                <w:noProof/>
                <w:webHidden/>
              </w:rPr>
            </w:r>
            <w:r w:rsidRPr="00553B37">
              <w:rPr>
                <w:noProof/>
                <w:webHidden/>
              </w:rPr>
              <w:fldChar w:fldCharType="separate"/>
            </w:r>
            <w:r w:rsidRPr="00553B37">
              <w:rPr>
                <w:noProof/>
                <w:webHidden/>
              </w:rPr>
              <w:t>56</w:t>
            </w:r>
            <w:r w:rsidRPr="00553B37">
              <w:rPr>
                <w:noProof/>
                <w:webHidden/>
              </w:rPr>
              <w:fldChar w:fldCharType="end"/>
            </w:r>
          </w:hyperlink>
        </w:p>
        <w:p w14:paraId="7CD1710D" w14:textId="77777777" w:rsidR="00553B37" w:rsidRPr="00553B37" w:rsidRDefault="00553B37" w:rsidP="00553B37">
          <w:pPr>
            <w:pStyle w:val="TM3"/>
            <w:rPr>
              <w:rFonts w:eastAsiaTheme="minorEastAsia"/>
              <w:noProof/>
              <w:lang w:eastAsia="fr-FR"/>
            </w:rPr>
          </w:pPr>
          <w:hyperlink w:anchor="_Toc518468089" w:history="1">
            <w:r w:rsidRPr="00553B37">
              <w:rPr>
                <w:rStyle w:val="Lienhypertexte"/>
                <w:rFonts w:ascii="Times New Roman" w:hAnsi="Times New Roman"/>
                <w:noProof/>
                <w:sz w:val="20"/>
              </w:rPr>
              <w:t>3.2. Secteur Minier</w:t>
            </w:r>
            <w:r w:rsidRPr="00553B37">
              <w:rPr>
                <w:noProof/>
                <w:webHidden/>
              </w:rPr>
              <w:tab/>
            </w:r>
            <w:r w:rsidRPr="00553B37">
              <w:rPr>
                <w:noProof/>
                <w:webHidden/>
              </w:rPr>
              <w:fldChar w:fldCharType="begin"/>
            </w:r>
            <w:r w:rsidRPr="00553B37">
              <w:rPr>
                <w:noProof/>
                <w:webHidden/>
              </w:rPr>
              <w:instrText xml:space="preserve"> PAGEREF _Toc518468089 \h </w:instrText>
            </w:r>
            <w:r w:rsidRPr="00553B37">
              <w:rPr>
                <w:noProof/>
                <w:webHidden/>
              </w:rPr>
            </w:r>
            <w:r w:rsidRPr="00553B37">
              <w:rPr>
                <w:noProof/>
                <w:webHidden/>
              </w:rPr>
              <w:fldChar w:fldCharType="separate"/>
            </w:r>
            <w:r w:rsidRPr="00553B37">
              <w:rPr>
                <w:noProof/>
                <w:webHidden/>
              </w:rPr>
              <w:t>57</w:t>
            </w:r>
            <w:r w:rsidRPr="00553B37">
              <w:rPr>
                <w:noProof/>
                <w:webHidden/>
              </w:rPr>
              <w:fldChar w:fldCharType="end"/>
            </w:r>
          </w:hyperlink>
        </w:p>
        <w:p w14:paraId="09EAF00B" w14:textId="77777777" w:rsidR="00553B37" w:rsidRPr="00553B37" w:rsidRDefault="00553B37">
          <w:pPr>
            <w:pStyle w:val="TM1"/>
            <w:rPr>
              <w:rFonts w:ascii="Times New Roman" w:eastAsiaTheme="minorEastAsia" w:hAnsi="Times New Roman" w:cs="Times New Roman"/>
              <w:noProof/>
              <w:sz w:val="20"/>
              <w:lang w:eastAsia="fr-FR"/>
            </w:rPr>
          </w:pPr>
          <w:hyperlink w:anchor="_Toc518468090" w:history="1">
            <w:r w:rsidRPr="00553B37">
              <w:rPr>
                <w:rStyle w:val="Lienhypertexte"/>
                <w:rFonts w:ascii="Times New Roman" w:hAnsi="Times New Roman"/>
                <w:noProof/>
                <w:sz w:val="20"/>
              </w:rPr>
              <w:t>VII.</w:t>
            </w:r>
            <w:r w:rsidRPr="00553B37">
              <w:rPr>
                <w:rFonts w:ascii="Times New Roman" w:eastAsiaTheme="minorEastAsia" w:hAnsi="Times New Roman" w:cs="Times New Roman"/>
                <w:noProof/>
                <w:sz w:val="20"/>
                <w:lang w:eastAsia="fr-FR"/>
              </w:rPr>
              <w:tab/>
            </w:r>
            <w:r w:rsidRPr="00553B37">
              <w:rPr>
                <w:rStyle w:val="Lienhypertexte"/>
                <w:rFonts w:ascii="Times New Roman" w:hAnsi="Times New Roman"/>
                <w:noProof/>
                <w:sz w:val="20"/>
              </w:rPr>
              <w:t>TRANSFERTS INFRANATIONAUX</w:t>
            </w:r>
            <w:r w:rsidRPr="00553B37">
              <w:rPr>
                <w:rFonts w:ascii="Times New Roman" w:hAnsi="Times New Roman" w:cs="Times New Roman"/>
                <w:noProof/>
                <w:webHidden/>
                <w:sz w:val="20"/>
              </w:rPr>
              <w:tab/>
            </w:r>
            <w:r w:rsidRPr="00553B37">
              <w:rPr>
                <w:rFonts w:ascii="Times New Roman" w:hAnsi="Times New Roman" w:cs="Times New Roman"/>
                <w:noProof/>
                <w:webHidden/>
                <w:sz w:val="20"/>
              </w:rPr>
              <w:fldChar w:fldCharType="begin"/>
            </w:r>
            <w:r w:rsidRPr="00553B37">
              <w:rPr>
                <w:rFonts w:ascii="Times New Roman" w:hAnsi="Times New Roman" w:cs="Times New Roman"/>
                <w:noProof/>
                <w:webHidden/>
                <w:sz w:val="20"/>
              </w:rPr>
              <w:instrText xml:space="preserve"> PAGEREF _Toc518468090 \h </w:instrText>
            </w:r>
            <w:r w:rsidRPr="00553B37">
              <w:rPr>
                <w:rFonts w:ascii="Times New Roman" w:hAnsi="Times New Roman" w:cs="Times New Roman"/>
                <w:noProof/>
                <w:webHidden/>
                <w:sz w:val="20"/>
              </w:rPr>
            </w:r>
            <w:r w:rsidRPr="00553B37">
              <w:rPr>
                <w:rFonts w:ascii="Times New Roman" w:hAnsi="Times New Roman" w:cs="Times New Roman"/>
                <w:noProof/>
                <w:webHidden/>
                <w:sz w:val="20"/>
              </w:rPr>
              <w:fldChar w:fldCharType="separate"/>
            </w:r>
            <w:r w:rsidRPr="00553B37">
              <w:rPr>
                <w:rFonts w:ascii="Times New Roman" w:hAnsi="Times New Roman" w:cs="Times New Roman"/>
                <w:noProof/>
                <w:webHidden/>
                <w:sz w:val="20"/>
              </w:rPr>
              <w:t>60</w:t>
            </w:r>
            <w:r w:rsidRPr="00553B37">
              <w:rPr>
                <w:rFonts w:ascii="Times New Roman" w:hAnsi="Times New Roman" w:cs="Times New Roman"/>
                <w:noProof/>
                <w:webHidden/>
                <w:sz w:val="20"/>
              </w:rPr>
              <w:fldChar w:fldCharType="end"/>
            </w:r>
          </w:hyperlink>
        </w:p>
        <w:p w14:paraId="15079444" w14:textId="77777777" w:rsidR="00553B37" w:rsidRPr="00553B37" w:rsidRDefault="00553B37" w:rsidP="00553B37">
          <w:pPr>
            <w:pStyle w:val="TM2"/>
            <w:rPr>
              <w:rFonts w:eastAsiaTheme="minorEastAsia"/>
              <w:noProof/>
              <w:lang w:eastAsia="fr-FR"/>
            </w:rPr>
          </w:pPr>
          <w:hyperlink w:anchor="_Toc518468091" w:history="1">
            <w:r w:rsidRPr="00553B37">
              <w:rPr>
                <w:rStyle w:val="Lienhypertexte"/>
                <w:rFonts w:ascii="Times New Roman" w:hAnsi="Times New Roman"/>
                <w:noProof/>
                <w:sz w:val="20"/>
              </w:rPr>
              <w:t>VII.1. De la législation sur les transferts infranationaux</w:t>
            </w:r>
            <w:r w:rsidRPr="00553B37">
              <w:rPr>
                <w:noProof/>
                <w:webHidden/>
              </w:rPr>
              <w:tab/>
            </w:r>
            <w:r w:rsidRPr="00553B37">
              <w:rPr>
                <w:noProof/>
                <w:webHidden/>
              </w:rPr>
              <w:fldChar w:fldCharType="begin"/>
            </w:r>
            <w:r w:rsidRPr="00553B37">
              <w:rPr>
                <w:noProof/>
                <w:webHidden/>
              </w:rPr>
              <w:instrText xml:space="preserve"> PAGEREF _Toc518468091 \h </w:instrText>
            </w:r>
            <w:r w:rsidRPr="00553B37">
              <w:rPr>
                <w:noProof/>
                <w:webHidden/>
              </w:rPr>
            </w:r>
            <w:r w:rsidRPr="00553B37">
              <w:rPr>
                <w:noProof/>
                <w:webHidden/>
              </w:rPr>
              <w:fldChar w:fldCharType="separate"/>
            </w:r>
            <w:r w:rsidRPr="00553B37">
              <w:rPr>
                <w:noProof/>
                <w:webHidden/>
              </w:rPr>
              <w:t>60</w:t>
            </w:r>
            <w:r w:rsidRPr="00553B37">
              <w:rPr>
                <w:noProof/>
                <w:webHidden/>
              </w:rPr>
              <w:fldChar w:fldCharType="end"/>
            </w:r>
          </w:hyperlink>
        </w:p>
        <w:p w14:paraId="5ECFA601" w14:textId="77777777" w:rsidR="00553B37" w:rsidRPr="00553B37" w:rsidRDefault="00553B37" w:rsidP="00553B37">
          <w:pPr>
            <w:pStyle w:val="TM2"/>
            <w:rPr>
              <w:rFonts w:eastAsiaTheme="minorEastAsia"/>
              <w:noProof/>
              <w:lang w:eastAsia="fr-FR"/>
            </w:rPr>
          </w:pPr>
          <w:hyperlink w:anchor="_Toc518468092" w:history="1">
            <w:r w:rsidRPr="00553B37">
              <w:rPr>
                <w:rStyle w:val="Lienhypertexte"/>
                <w:rFonts w:ascii="Times New Roman" w:hAnsi="Times New Roman"/>
                <w:noProof/>
                <w:sz w:val="20"/>
              </w:rPr>
              <w:t>VII.2. De la pratique des transferts infranationaux</w:t>
            </w:r>
            <w:r w:rsidRPr="00553B37">
              <w:rPr>
                <w:noProof/>
                <w:webHidden/>
              </w:rPr>
              <w:tab/>
            </w:r>
            <w:r w:rsidRPr="00553B37">
              <w:rPr>
                <w:noProof/>
                <w:webHidden/>
              </w:rPr>
              <w:fldChar w:fldCharType="begin"/>
            </w:r>
            <w:r w:rsidRPr="00553B37">
              <w:rPr>
                <w:noProof/>
                <w:webHidden/>
              </w:rPr>
              <w:instrText xml:space="preserve"> PAGEREF _Toc518468092 \h </w:instrText>
            </w:r>
            <w:r w:rsidRPr="00553B37">
              <w:rPr>
                <w:noProof/>
                <w:webHidden/>
              </w:rPr>
            </w:r>
            <w:r w:rsidRPr="00553B37">
              <w:rPr>
                <w:noProof/>
                <w:webHidden/>
              </w:rPr>
              <w:fldChar w:fldCharType="separate"/>
            </w:r>
            <w:r w:rsidRPr="00553B37">
              <w:rPr>
                <w:noProof/>
                <w:webHidden/>
              </w:rPr>
              <w:t>61</w:t>
            </w:r>
            <w:r w:rsidRPr="00553B37">
              <w:rPr>
                <w:noProof/>
                <w:webHidden/>
              </w:rPr>
              <w:fldChar w:fldCharType="end"/>
            </w:r>
          </w:hyperlink>
        </w:p>
        <w:p w14:paraId="5F206222" w14:textId="77777777" w:rsidR="00553B37" w:rsidRPr="00553B37" w:rsidRDefault="00553B37">
          <w:pPr>
            <w:pStyle w:val="TM1"/>
            <w:rPr>
              <w:rFonts w:ascii="Times New Roman" w:eastAsiaTheme="minorEastAsia" w:hAnsi="Times New Roman" w:cs="Times New Roman"/>
              <w:noProof/>
              <w:sz w:val="20"/>
              <w:lang w:eastAsia="fr-FR"/>
            </w:rPr>
          </w:pPr>
          <w:hyperlink w:anchor="_Toc518468093" w:history="1">
            <w:r w:rsidRPr="00553B37">
              <w:rPr>
                <w:rStyle w:val="Lienhypertexte"/>
                <w:rFonts w:ascii="Times New Roman" w:hAnsi="Times New Roman"/>
                <w:noProof/>
                <w:sz w:val="20"/>
              </w:rPr>
              <w:t>VIII.</w:t>
            </w:r>
            <w:r w:rsidRPr="00553B37">
              <w:rPr>
                <w:rFonts w:ascii="Times New Roman" w:eastAsiaTheme="minorEastAsia" w:hAnsi="Times New Roman" w:cs="Times New Roman"/>
                <w:noProof/>
                <w:sz w:val="20"/>
                <w:lang w:eastAsia="fr-FR"/>
              </w:rPr>
              <w:tab/>
            </w:r>
            <w:r w:rsidRPr="00553B37">
              <w:rPr>
                <w:rStyle w:val="Lienhypertexte"/>
                <w:rFonts w:ascii="Times New Roman" w:hAnsi="Times New Roman"/>
                <w:noProof/>
                <w:sz w:val="20"/>
              </w:rPr>
              <w:t>CONTRIBUTION SOCIALE ET ECONOMIQUE DU SECTEUR EXTRACTIF</w:t>
            </w:r>
            <w:r w:rsidRPr="00553B37">
              <w:rPr>
                <w:rFonts w:ascii="Times New Roman" w:hAnsi="Times New Roman" w:cs="Times New Roman"/>
                <w:noProof/>
                <w:webHidden/>
                <w:sz w:val="20"/>
              </w:rPr>
              <w:tab/>
            </w:r>
            <w:r w:rsidRPr="00553B37">
              <w:rPr>
                <w:rFonts w:ascii="Times New Roman" w:hAnsi="Times New Roman" w:cs="Times New Roman"/>
                <w:noProof/>
                <w:webHidden/>
                <w:sz w:val="20"/>
              </w:rPr>
              <w:fldChar w:fldCharType="begin"/>
            </w:r>
            <w:r w:rsidRPr="00553B37">
              <w:rPr>
                <w:rFonts w:ascii="Times New Roman" w:hAnsi="Times New Roman" w:cs="Times New Roman"/>
                <w:noProof/>
                <w:webHidden/>
                <w:sz w:val="20"/>
              </w:rPr>
              <w:instrText xml:space="preserve"> PAGEREF _Toc518468093 \h </w:instrText>
            </w:r>
            <w:r w:rsidRPr="00553B37">
              <w:rPr>
                <w:rFonts w:ascii="Times New Roman" w:hAnsi="Times New Roman" w:cs="Times New Roman"/>
                <w:noProof/>
                <w:webHidden/>
                <w:sz w:val="20"/>
              </w:rPr>
            </w:r>
            <w:r w:rsidRPr="00553B37">
              <w:rPr>
                <w:rFonts w:ascii="Times New Roman" w:hAnsi="Times New Roman" w:cs="Times New Roman"/>
                <w:noProof/>
                <w:webHidden/>
                <w:sz w:val="20"/>
              </w:rPr>
              <w:fldChar w:fldCharType="separate"/>
            </w:r>
            <w:r w:rsidRPr="00553B37">
              <w:rPr>
                <w:rFonts w:ascii="Times New Roman" w:hAnsi="Times New Roman" w:cs="Times New Roman"/>
                <w:noProof/>
                <w:webHidden/>
                <w:sz w:val="20"/>
              </w:rPr>
              <w:t>63</w:t>
            </w:r>
            <w:r w:rsidRPr="00553B37">
              <w:rPr>
                <w:rFonts w:ascii="Times New Roman" w:hAnsi="Times New Roman" w:cs="Times New Roman"/>
                <w:noProof/>
                <w:webHidden/>
                <w:sz w:val="20"/>
              </w:rPr>
              <w:fldChar w:fldCharType="end"/>
            </w:r>
          </w:hyperlink>
        </w:p>
        <w:p w14:paraId="78619029" w14:textId="77777777" w:rsidR="00553B37" w:rsidRPr="00553B37" w:rsidRDefault="00553B37" w:rsidP="00553B37">
          <w:pPr>
            <w:pStyle w:val="TM2"/>
            <w:rPr>
              <w:rFonts w:eastAsiaTheme="minorEastAsia"/>
              <w:noProof/>
              <w:lang w:eastAsia="fr-FR"/>
            </w:rPr>
          </w:pPr>
          <w:hyperlink w:anchor="_Toc518468094" w:history="1">
            <w:r w:rsidRPr="00553B37">
              <w:rPr>
                <w:rStyle w:val="Lienhypertexte"/>
                <w:rFonts w:ascii="Times New Roman" w:hAnsi="Times New Roman"/>
                <w:noProof/>
                <w:sz w:val="20"/>
              </w:rPr>
              <w:t>VIII.1. Dépense sociale</w:t>
            </w:r>
            <w:r w:rsidRPr="00553B37">
              <w:rPr>
                <w:noProof/>
                <w:webHidden/>
              </w:rPr>
              <w:tab/>
            </w:r>
            <w:r w:rsidRPr="00553B37">
              <w:rPr>
                <w:noProof/>
                <w:webHidden/>
              </w:rPr>
              <w:fldChar w:fldCharType="begin"/>
            </w:r>
            <w:r w:rsidRPr="00553B37">
              <w:rPr>
                <w:noProof/>
                <w:webHidden/>
              </w:rPr>
              <w:instrText xml:space="preserve"> PAGEREF _Toc518468094 \h </w:instrText>
            </w:r>
            <w:r w:rsidRPr="00553B37">
              <w:rPr>
                <w:noProof/>
                <w:webHidden/>
              </w:rPr>
            </w:r>
            <w:r w:rsidRPr="00553B37">
              <w:rPr>
                <w:noProof/>
                <w:webHidden/>
              </w:rPr>
              <w:fldChar w:fldCharType="separate"/>
            </w:r>
            <w:r w:rsidRPr="00553B37">
              <w:rPr>
                <w:noProof/>
                <w:webHidden/>
              </w:rPr>
              <w:t>63</w:t>
            </w:r>
            <w:r w:rsidRPr="00553B37">
              <w:rPr>
                <w:noProof/>
                <w:webHidden/>
              </w:rPr>
              <w:fldChar w:fldCharType="end"/>
            </w:r>
          </w:hyperlink>
        </w:p>
        <w:p w14:paraId="51E45E9E" w14:textId="77777777" w:rsidR="00553B37" w:rsidRPr="00553B37" w:rsidRDefault="00553B37" w:rsidP="00553B37">
          <w:pPr>
            <w:pStyle w:val="TM2"/>
            <w:rPr>
              <w:rFonts w:eastAsiaTheme="minorEastAsia"/>
              <w:noProof/>
              <w:lang w:eastAsia="fr-FR"/>
            </w:rPr>
          </w:pPr>
          <w:hyperlink w:anchor="_Toc518468095" w:history="1">
            <w:r w:rsidRPr="00553B37">
              <w:rPr>
                <w:rStyle w:val="Lienhypertexte"/>
                <w:rFonts w:ascii="Times New Roman" w:hAnsi="Times New Roman"/>
                <w:noProof/>
                <w:sz w:val="20"/>
              </w:rPr>
              <w:t>VIII.2. Contribution du secteur extractif au PIB</w:t>
            </w:r>
            <w:r w:rsidRPr="00553B37">
              <w:rPr>
                <w:noProof/>
                <w:webHidden/>
              </w:rPr>
              <w:tab/>
            </w:r>
            <w:r w:rsidRPr="00553B37">
              <w:rPr>
                <w:noProof/>
                <w:webHidden/>
              </w:rPr>
              <w:fldChar w:fldCharType="begin"/>
            </w:r>
            <w:r w:rsidRPr="00553B37">
              <w:rPr>
                <w:noProof/>
                <w:webHidden/>
              </w:rPr>
              <w:instrText xml:space="preserve"> PAGEREF _Toc518468095 \h </w:instrText>
            </w:r>
            <w:r w:rsidRPr="00553B37">
              <w:rPr>
                <w:noProof/>
                <w:webHidden/>
              </w:rPr>
            </w:r>
            <w:r w:rsidRPr="00553B37">
              <w:rPr>
                <w:noProof/>
                <w:webHidden/>
              </w:rPr>
              <w:fldChar w:fldCharType="separate"/>
            </w:r>
            <w:r w:rsidRPr="00553B37">
              <w:rPr>
                <w:noProof/>
                <w:webHidden/>
              </w:rPr>
              <w:t>66</w:t>
            </w:r>
            <w:r w:rsidRPr="00553B37">
              <w:rPr>
                <w:noProof/>
                <w:webHidden/>
              </w:rPr>
              <w:fldChar w:fldCharType="end"/>
            </w:r>
          </w:hyperlink>
        </w:p>
        <w:p w14:paraId="410EB8A0" w14:textId="77777777" w:rsidR="00553B37" w:rsidRPr="00553B37" w:rsidRDefault="00553B37" w:rsidP="00553B37">
          <w:pPr>
            <w:pStyle w:val="TM2"/>
            <w:rPr>
              <w:rFonts w:eastAsiaTheme="minorEastAsia"/>
              <w:noProof/>
              <w:lang w:eastAsia="fr-FR"/>
            </w:rPr>
          </w:pPr>
          <w:hyperlink w:anchor="_Toc518468096" w:history="1">
            <w:r w:rsidRPr="00553B37">
              <w:rPr>
                <w:rStyle w:val="Lienhypertexte"/>
                <w:rFonts w:ascii="Times New Roman" w:hAnsi="Times New Roman"/>
                <w:noProof/>
                <w:sz w:val="20"/>
              </w:rPr>
              <w:t>VIII.3. Contribution au budget de l’Etat</w:t>
            </w:r>
            <w:r w:rsidRPr="00553B37">
              <w:rPr>
                <w:noProof/>
                <w:webHidden/>
              </w:rPr>
              <w:tab/>
            </w:r>
            <w:r w:rsidRPr="00553B37">
              <w:rPr>
                <w:noProof/>
                <w:webHidden/>
              </w:rPr>
              <w:fldChar w:fldCharType="begin"/>
            </w:r>
            <w:r w:rsidRPr="00553B37">
              <w:rPr>
                <w:noProof/>
                <w:webHidden/>
              </w:rPr>
              <w:instrText xml:space="preserve"> PAGEREF _Toc518468096 \h </w:instrText>
            </w:r>
            <w:r w:rsidRPr="00553B37">
              <w:rPr>
                <w:noProof/>
                <w:webHidden/>
              </w:rPr>
            </w:r>
            <w:r w:rsidRPr="00553B37">
              <w:rPr>
                <w:noProof/>
                <w:webHidden/>
              </w:rPr>
              <w:fldChar w:fldCharType="separate"/>
            </w:r>
            <w:r w:rsidRPr="00553B37">
              <w:rPr>
                <w:noProof/>
                <w:webHidden/>
              </w:rPr>
              <w:t>67</w:t>
            </w:r>
            <w:r w:rsidRPr="00553B37">
              <w:rPr>
                <w:noProof/>
                <w:webHidden/>
              </w:rPr>
              <w:fldChar w:fldCharType="end"/>
            </w:r>
          </w:hyperlink>
        </w:p>
        <w:p w14:paraId="6CCDBB2C" w14:textId="77777777" w:rsidR="00553B37" w:rsidRPr="00553B37" w:rsidRDefault="00553B37" w:rsidP="00553B37">
          <w:pPr>
            <w:pStyle w:val="TM2"/>
            <w:rPr>
              <w:rFonts w:eastAsiaTheme="minorEastAsia"/>
              <w:noProof/>
              <w:lang w:eastAsia="fr-FR"/>
            </w:rPr>
          </w:pPr>
          <w:hyperlink w:anchor="_Toc518468097" w:history="1">
            <w:r w:rsidRPr="00553B37">
              <w:rPr>
                <w:rStyle w:val="Lienhypertexte"/>
                <w:rFonts w:ascii="Times New Roman" w:hAnsi="Times New Roman"/>
                <w:noProof/>
                <w:sz w:val="20"/>
              </w:rPr>
              <w:t>VIII.4. Contribution du secteur extractif aux exportations</w:t>
            </w:r>
            <w:r w:rsidRPr="00553B37">
              <w:rPr>
                <w:noProof/>
                <w:webHidden/>
              </w:rPr>
              <w:tab/>
            </w:r>
            <w:r w:rsidRPr="00553B37">
              <w:rPr>
                <w:noProof/>
                <w:webHidden/>
              </w:rPr>
              <w:fldChar w:fldCharType="begin"/>
            </w:r>
            <w:r w:rsidRPr="00553B37">
              <w:rPr>
                <w:noProof/>
                <w:webHidden/>
              </w:rPr>
              <w:instrText xml:space="preserve"> PAGEREF _Toc518468097 \h </w:instrText>
            </w:r>
            <w:r w:rsidRPr="00553B37">
              <w:rPr>
                <w:noProof/>
                <w:webHidden/>
              </w:rPr>
            </w:r>
            <w:r w:rsidRPr="00553B37">
              <w:rPr>
                <w:noProof/>
                <w:webHidden/>
              </w:rPr>
              <w:fldChar w:fldCharType="separate"/>
            </w:r>
            <w:r w:rsidRPr="00553B37">
              <w:rPr>
                <w:noProof/>
                <w:webHidden/>
              </w:rPr>
              <w:t>67</w:t>
            </w:r>
            <w:r w:rsidRPr="00553B37">
              <w:rPr>
                <w:noProof/>
                <w:webHidden/>
              </w:rPr>
              <w:fldChar w:fldCharType="end"/>
            </w:r>
          </w:hyperlink>
        </w:p>
        <w:p w14:paraId="2B927A27" w14:textId="77777777" w:rsidR="00553B37" w:rsidRPr="00553B37" w:rsidRDefault="00553B37" w:rsidP="00553B37">
          <w:pPr>
            <w:pStyle w:val="TM2"/>
            <w:rPr>
              <w:rFonts w:eastAsiaTheme="minorEastAsia"/>
              <w:noProof/>
              <w:lang w:eastAsia="fr-FR"/>
            </w:rPr>
          </w:pPr>
          <w:hyperlink w:anchor="_Toc518468098" w:history="1">
            <w:r w:rsidRPr="00553B37">
              <w:rPr>
                <w:rStyle w:val="Lienhypertexte"/>
                <w:rFonts w:ascii="Times New Roman" w:hAnsi="Times New Roman"/>
                <w:noProof/>
                <w:sz w:val="20"/>
              </w:rPr>
              <w:t>VIII.5. Contribution aux emplois</w:t>
            </w:r>
            <w:r w:rsidRPr="00553B37">
              <w:rPr>
                <w:noProof/>
                <w:webHidden/>
              </w:rPr>
              <w:tab/>
            </w:r>
            <w:r w:rsidRPr="00553B37">
              <w:rPr>
                <w:noProof/>
                <w:webHidden/>
              </w:rPr>
              <w:fldChar w:fldCharType="begin"/>
            </w:r>
            <w:r w:rsidRPr="00553B37">
              <w:rPr>
                <w:noProof/>
                <w:webHidden/>
              </w:rPr>
              <w:instrText xml:space="preserve"> PAGEREF _Toc518468098 \h </w:instrText>
            </w:r>
            <w:r w:rsidRPr="00553B37">
              <w:rPr>
                <w:noProof/>
                <w:webHidden/>
              </w:rPr>
            </w:r>
            <w:r w:rsidRPr="00553B37">
              <w:rPr>
                <w:noProof/>
                <w:webHidden/>
              </w:rPr>
              <w:fldChar w:fldCharType="separate"/>
            </w:r>
            <w:r w:rsidRPr="00553B37">
              <w:rPr>
                <w:noProof/>
                <w:webHidden/>
              </w:rPr>
              <w:t>68</w:t>
            </w:r>
            <w:r w:rsidRPr="00553B37">
              <w:rPr>
                <w:noProof/>
                <w:webHidden/>
              </w:rPr>
              <w:fldChar w:fldCharType="end"/>
            </w:r>
          </w:hyperlink>
        </w:p>
        <w:p w14:paraId="2D64E4B0" w14:textId="77777777" w:rsidR="00553B37" w:rsidRPr="00553B37" w:rsidRDefault="00553B37" w:rsidP="00553B37">
          <w:pPr>
            <w:pStyle w:val="TM2"/>
            <w:rPr>
              <w:rFonts w:eastAsiaTheme="minorEastAsia"/>
              <w:noProof/>
              <w:lang w:eastAsia="fr-FR"/>
            </w:rPr>
          </w:pPr>
          <w:hyperlink w:anchor="_Toc518468099" w:history="1">
            <w:r w:rsidRPr="00553B37">
              <w:rPr>
                <w:rStyle w:val="Lienhypertexte"/>
                <w:rFonts w:ascii="Times New Roman" w:hAnsi="Times New Roman"/>
                <w:noProof/>
                <w:sz w:val="20"/>
              </w:rPr>
              <w:t>VIII.6.  La production et zones d’extraction</w:t>
            </w:r>
            <w:r w:rsidRPr="00553B37">
              <w:rPr>
                <w:noProof/>
                <w:webHidden/>
              </w:rPr>
              <w:tab/>
            </w:r>
            <w:r w:rsidRPr="00553B37">
              <w:rPr>
                <w:noProof/>
                <w:webHidden/>
              </w:rPr>
              <w:fldChar w:fldCharType="begin"/>
            </w:r>
            <w:r w:rsidRPr="00553B37">
              <w:rPr>
                <w:noProof/>
                <w:webHidden/>
              </w:rPr>
              <w:instrText xml:space="preserve"> PAGEREF _Toc518468099 \h </w:instrText>
            </w:r>
            <w:r w:rsidRPr="00553B37">
              <w:rPr>
                <w:noProof/>
                <w:webHidden/>
              </w:rPr>
            </w:r>
            <w:r w:rsidRPr="00553B37">
              <w:rPr>
                <w:noProof/>
                <w:webHidden/>
              </w:rPr>
              <w:fldChar w:fldCharType="separate"/>
            </w:r>
            <w:r w:rsidRPr="00553B37">
              <w:rPr>
                <w:noProof/>
                <w:webHidden/>
              </w:rPr>
              <w:t>69</w:t>
            </w:r>
            <w:r w:rsidRPr="00553B37">
              <w:rPr>
                <w:noProof/>
                <w:webHidden/>
              </w:rPr>
              <w:fldChar w:fldCharType="end"/>
            </w:r>
          </w:hyperlink>
        </w:p>
        <w:p w14:paraId="12A60876" w14:textId="77777777" w:rsidR="00553B37" w:rsidRPr="00553B37" w:rsidRDefault="00553B37" w:rsidP="00553B37">
          <w:pPr>
            <w:pStyle w:val="TM2"/>
            <w:rPr>
              <w:rFonts w:eastAsiaTheme="minorEastAsia"/>
              <w:noProof/>
              <w:lang w:eastAsia="fr-FR"/>
            </w:rPr>
          </w:pPr>
          <w:hyperlink w:anchor="_Toc518468100" w:history="1">
            <w:r w:rsidRPr="00553B37">
              <w:rPr>
                <w:rStyle w:val="Lienhypertexte"/>
                <w:rFonts w:ascii="Times New Roman" w:hAnsi="Times New Roman"/>
                <w:noProof/>
                <w:sz w:val="20"/>
              </w:rPr>
              <w:t>VIII.7. Contribution de l’artisanat minier</w:t>
            </w:r>
            <w:r w:rsidRPr="00553B37">
              <w:rPr>
                <w:noProof/>
                <w:webHidden/>
              </w:rPr>
              <w:tab/>
            </w:r>
            <w:r w:rsidRPr="00553B37">
              <w:rPr>
                <w:noProof/>
                <w:webHidden/>
              </w:rPr>
              <w:fldChar w:fldCharType="begin"/>
            </w:r>
            <w:r w:rsidRPr="00553B37">
              <w:rPr>
                <w:noProof/>
                <w:webHidden/>
              </w:rPr>
              <w:instrText xml:space="preserve"> PAGEREF _Toc518468100 \h </w:instrText>
            </w:r>
            <w:r w:rsidRPr="00553B37">
              <w:rPr>
                <w:noProof/>
                <w:webHidden/>
              </w:rPr>
            </w:r>
            <w:r w:rsidRPr="00553B37">
              <w:rPr>
                <w:noProof/>
                <w:webHidden/>
              </w:rPr>
              <w:fldChar w:fldCharType="separate"/>
            </w:r>
            <w:r w:rsidRPr="00553B37">
              <w:rPr>
                <w:noProof/>
                <w:webHidden/>
              </w:rPr>
              <w:t>69</w:t>
            </w:r>
            <w:r w:rsidRPr="00553B37">
              <w:rPr>
                <w:noProof/>
                <w:webHidden/>
              </w:rPr>
              <w:fldChar w:fldCharType="end"/>
            </w:r>
          </w:hyperlink>
        </w:p>
        <w:p w14:paraId="069F4627" w14:textId="77777777" w:rsidR="00553B37" w:rsidRPr="00553B37" w:rsidRDefault="00553B37">
          <w:pPr>
            <w:pStyle w:val="TM1"/>
            <w:rPr>
              <w:rFonts w:ascii="Times New Roman" w:eastAsiaTheme="minorEastAsia" w:hAnsi="Times New Roman" w:cs="Times New Roman"/>
              <w:noProof/>
              <w:sz w:val="20"/>
              <w:lang w:eastAsia="fr-FR"/>
            </w:rPr>
          </w:pPr>
          <w:hyperlink w:anchor="_Toc518468101" w:history="1">
            <w:r w:rsidRPr="00553B37">
              <w:rPr>
                <w:rStyle w:val="Lienhypertexte"/>
                <w:rFonts w:ascii="Times New Roman" w:hAnsi="Times New Roman"/>
                <w:noProof/>
                <w:sz w:val="20"/>
              </w:rPr>
              <w:t>IX.</w:t>
            </w:r>
            <w:r w:rsidRPr="00553B37">
              <w:rPr>
                <w:rFonts w:ascii="Times New Roman" w:eastAsiaTheme="minorEastAsia" w:hAnsi="Times New Roman" w:cs="Times New Roman"/>
                <w:noProof/>
                <w:sz w:val="20"/>
                <w:lang w:eastAsia="fr-FR"/>
              </w:rPr>
              <w:tab/>
            </w:r>
            <w:r w:rsidRPr="00553B37">
              <w:rPr>
                <w:rStyle w:val="Lienhypertexte"/>
                <w:rFonts w:ascii="Times New Roman" w:hAnsi="Times New Roman"/>
                <w:noProof/>
                <w:sz w:val="20"/>
              </w:rPr>
              <w:t>PARTICIPATION DE L’ETAT ET SITUATION SPECIFIQUE DES  EPE</w:t>
            </w:r>
            <w:r w:rsidRPr="00553B37">
              <w:rPr>
                <w:rFonts w:ascii="Times New Roman" w:hAnsi="Times New Roman" w:cs="Times New Roman"/>
                <w:noProof/>
                <w:webHidden/>
                <w:sz w:val="20"/>
              </w:rPr>
              <w:tab/>
            </w:r>
            <w:r w:rsidRPr="00553B37">
              <w:rPr>
                <w:rFonts w:ascii="Times New Roman" w:hAnsi="Times New Roman" w:cs="Times New Roman"/>
                <w:noProof/>
                <w:webHidden/>
                <w:sz w:val="20"/>
              </w:rPr>
              <w:fldChar w:fldCharType="begin"/>
            </w:r>
            <w:r w:rsidRPr="00553B37">
              <w:rPr>
                <w:rFonts w:ascii="Times New Roman" w:hAnsi="Times New Roman" w:cs="Times New Roman"/>
                <w:noProof/>
                <w:webHidden/>
                <w:sz w:val="20"/>
              </w:rPr>
              <w:instrText xml:space="preserve"> PAGEREF _Toc518468101 \h </w:instrText>
            </w:r>
            <w:r w:rsidRPr="00553B37">
              <w:rPr>
                <w:rFonts w:ascii="Times New Roman" w:hAnsi="Times New Roman" w:cs="Times New Roman"/>
                <w:noProof/>
                <w:webHidden/>
                <w:sz w:val="20"/>
              </w:rPr>
            </w:r>
            <w:r w:rsidRPr="00553B37">
              <w:rPr>
                <w:rFonts w:ascii="Times New Roman" w:hAnsi="Times New Roman" w:cs="Times New Roman"/>
                <w:noProof/>
                <w:webHidden/>
                <w:sz w:val="20"/>
              </w:rPr>
              <w:fldChar w:fldCharType="separate"/>
            </w:r>
            <w:r w:rsidRPr="00553B37">
              <w:rPr>
                <w:rFonts w:ascii="Times New Roman" w:hAnsi="Times New Roman" w:cs="Times New Roman"/>
                <w:noProof/>
                <w:webHidden/>
                <w:sz w:val="20"/>
              </w:rPr>
              <w:t>71</w:t>
            </w:r>
            <w:r w:rsidRPr="00553B37">
              <w:rPr>
                <w:rFonts w:ascii="Times New Roman" w:hAnsi="Times New Roman" w:cs="Times New Roman"/>
                <w:noProof/>
                <w:webHidden/>
                <w:sz w:val="20"/>
              </w:rPr>
              <w:fldChar w:fldCharType="end"/>
            </w:r>
          </w:hyperlink>
        </w:p>
        <w:p w14:paraId="2752EAE2" w14:textId="77777777" w:rsidR="00553B37" w:rsidRPr="00553B37" w:rsidRDefault="00553B37" w:rsidP="00553B37">
          <w:pPr>
            <w:pStyle w:val="TM2"/>
            <w:rPr>
              <w:rFonts w:eastAsiaTheme="minorEastAsia"/>
              <w:noProof/>
              <w:lang w:eastAsia="fr-FR"/>
            </w:rPr>
          </w:pPr>
          <w:hyperlink w:anchor="_Toc518468102" w:history="1">
            <w:r w:rsidRPr="00553B37">
              <w:rPr>
                <w:rStyle w:val="Lienhypertexte"/>
                <w:rFonts w:ascii="Times New Roman" w:hAnsi="Times New Roman"/>
                <w:noProof/>
                <w:sz w:val="20"/>
              </w:rPr>
              <w:t>A.</w:t>
            </w:r>
            <w:r w:rsidRPr="00553B37">
              <w:rPr>
                <w:rFonts w:eastAsiaTheme="minorEastAsia"/>
                <w:noProof/>
                <w:lang w:eastAsia="fr-FR"/>
              </w:rPr>
              <w:tab/>
            </w:r>
            <w:r w:rsidRPr="00553B37">
              <w:rPr>
                <w:rStyle w:val="Lienhypertexte"/>
                <w:rFonts w:ascii="Times New Roman" w:hAnsi="Times New Roman"/>
                <w:noProof/>
                <w:sz w:val="20"/>
              </w:rPr>
              <w:t>Considérations générales sur la participation de l’Etat dans les industries extractives.</w:t>
            </w:r>
            <w:r w:rsidRPr="00553B37">
              <w:rPr>
                <w:noProof/>
                <w:webHidden/>
              </w:rPr>
              <w:tab/>
            </w:r>
            <w:r w:rsidRPr="00553B37">
              <w:rPr>
                <w:noProof/>
                <w:webHidden/>
              </w:rPr>
              <w:fldChar w:fldCharType="begin"/>
            </w:r>
            <w:r w:rsidRPr="00553B37">
              <w:rPr>
                <w:noProof/>
                <w:webHidden/>
              </w:rPr>
              <w:instrText xml:space="preserve"> PAGEREF _Toc518468102 \h </w:instrText>
            </w:r>
            <w:r w:rsidRPr="00553B37">
              <w:rPr>
                <w:noProof/>
                <w:webHidden/>
              </w:rPr>
            </w:r>
            <w:r w:rsidRPr="00553B37">
              <w:rPr>
                <w:noProof/>
                <w:webHidden/>
              </w:rPr>
              <w:fldChar w:fldCharType="separate"/>
            </w:r>
            <w:r w:rsidRPr="00553B37">
              <w:rPr>
                <w:noProof/>
                <w:webHidden/>
              </w:rPr>
              <w:t>71</w:t>
            </w:r>
            <w:r w:rsidRPr="00553B37">
              <w:rPr>
                <w:noProof/>
                <w:webHidden/>
              </w:rPr>
              <w:fldChar w:fldCharType="end"/>
            </w:r>
          </w:hyperlink>
        </w:p>
        <w:p w14:paraId="3309BA17" w14:textId="77777777" w:rsidR="00553B37" w:rsidRPr="00553B37" w:rsidRDefault="00553B37" w:rsidP="00553B37">
          <w:pPr>
            <w:pStyle w:val="TM3"/>
            <w:rPr>
              <w:rFonts w:eastAsiaTheme="minorEastAsia"/>
              <w:noProof/>
              <w:lang w:eastAsia="fr-FR"/>
            </w:rPr>
          </w:pPr>
          <w:hyperlink w:anchor="_Toc518468103" w:history="1">
            <w:r w:rsidRPr="00553B37">
              <w:rPr>
                <w:rStyle w:val="Lienhypertexte"/>
                <w:rFonts w:ascii="Times New Roman" w:hAnsi="Times New Roman"/>
                <w:noProof/>
                <w:sz w:val="20"/>
              </w:rPr>
              <w:t>IX.1. De la définition de l’entreprise du portefeuille de l’Etat</w:t>
            </w:r>
            <w:r w:rsidRPr="00553B37">
              <w:rPr>
                <w:noProof/>
                <w:webHidden/>
              </w:rPr>
              <w:tab/>
            </w:r>
            <w:r w:rsidRPr="00553B37">
              <w:rPr>
                <w:noProof/>
                <w:webHidden/>
              </w:rPr>
              <w:fldChar w:fldCharType="begin"/>
            </w:r>
            <w:r w:rsidRPr="00553B37">
              <w:rPr>
                <w:noProof/>
                <w:webHidden/>
              </w:rPr>
              <w:instrText xml:space="preserve"> PAGEREF _Toc518468103 \h </w:instrText>
            </w:r>
            <w:r w:rsidRPr="00553B37">
              <w:rPr>
                <w:noProof/>
                <w:webHidden/>
              </w:rPr>
            </w:r>
            <w:r w:rsidRPr="00553B37">
              <w:rPr>
                <w:noProof/>
                <w:webHidden/>
              </w:rPr>
              <w:fldChar w:fldCharType="separate"/>
            </w:r>
            <w:r w:rsidRPr="00553B37">
              <w:rPr>
                <w:noProof/>
                <w:webHidden/>
              </w:rPr>
              <w:t>71</w:t>
            </w:r>
            <w:r w:rsidRPr="00553B37">
              <w:rPr>
                <w:noProof/>
                <w:webHidden/>
              </w:rPr>
              <w:fldChar w:fldCharType="end"/>
            </w:r>
          </w:hyperlink>
        </w:p>
        <w:p w14:paraId="1734E3F7" w14:textId="77777777" w:rsidR="00553B37" w:rsidRPr="00553B37" w:rsidRDefault="00553B37" w:rsidP="00553B37">
          <w:pPr>
            <w:pStyle w:val="TM3"/>
            <w:rPr>
              <w:rFonts w:eastAsiaTheme="minorEastAsia"/>
              <w:noProof/>
              <w:lang w:eastAsia="fr-FR"/>
            </w:rPr>
          </w:pPr>
          <w:hyperlink w:anchor="_Toc518468104" w:history="1">
            <w:r w:rsidRPr="00553B37">
              <w:rPr>
                <w:rStyle w:val="Lienhypertexte"/>
                <w:rFonts w:ascii="Times New Roman" w:hAnsi="Times New Roman"/>
                <w:noProof/>
                <w:sz w:val="20"/>
              </w:rPr>
              <w:t>IX.2. Du cadre légal et règlementaire de la participation de l’Etat</w:t>
            </w:r>
            <w:r w:rsidRPr="00553B37">
              <w:rPr>
                <w:noProof/>
                <w:webHidden/>
              </w:rPr>
              <w:tab/>
            </w:r>
            <w:r w:rsidRPr="00553B37">
              <w:rPr>
                <w:noProof/>
                <w:webHidden/>
              </w:rPr>
              <w:fldChar w:fldCharType="begin"/>
            </w:r>
            <w:r w:rsidRPr="00553B37">
              <w:rPr>
                <w:noProof/>
                <w:webHidden/>
              </w:rPr>
              <w:instrText xml:space="preserve"> PAGEREF _Toc518468104 \h </w:instrText>
            </w:r>
            <w:r w:rsidRPr="00553B37">
              <w:rPr>
                <w:noProof/>
                <w:webHidden/>
              </w:rPr>
            </w:r>
            <w:r w:rsidRPr="00553B37">
              <w:rPr>
                <w:noProof/>
                <w:webHidden/>
              </w:rPr>
              <w:fldChar w:fldCharType="separate"/>
            </w:r>
            <w:r w:rsidRPr="00553B37">
              <w:rPr>
                <w:noProof/>
                <w:webHidden/>
              </w:rPr>
              <w:t>72</w:t>
            </w:r>
            <w:r w:rsidRPr="00553B37">
              <w:rPr>
                <w:noProof/>
                <w:webHidden/>
              </w:rPr>
              <w:fldChar w:fldCharType="end"/>
            </w:r>
          </w:hyperlink>
        </w:p>
        <w:p w14:paraId="631A4BE0" w14:textId="77777777" w:rsidR="00553B37" w:rsidRPr="00553B37" w:rsidRDefault="00553B37" w:rsidP="00553B37">
          <w:pPr>
            <w:pStyle w:val="TM3"/>
            <w:rPr>
              <w:rFonts w:eastAsiaTheme="minorEastAsia"/>
              <w:noProof/>
              <w:lang w:eastAsia="fr-FR"/>
            </w:rPr>
          </w:pPr>
          <w:hyperlink w:anchor="_Toc518468105" w:history="1">
            <w:r w:rsidRPr="00553B37">
              <w:rPr>
                <w:rStyle w:val="Lienhypertexte"/>
                <w:rFonts w:ascii="Times New Roman" w:hAnsi="Times New Roman"/>
                <w:noProof/>
                <w:sz w:val="20"/>
              </w:rPr>
              <w:t>IX.3. Du régime fiscal  et du statut des EPE  extractives</w:t>
            </w:r>
            <w:r w:rsidRPr="00553B37">
              <w:rPr>
                <w:noProof/>
                <w:webHidden/>
              </w:rPr>
              <w:tab/>
            </w:r>
            <w:r w:rsidRPr="00553B37">
              <w:rPr>
                <w:noProof/>
                <w:webHidden/>
              </w:rPr>
              <w:fldChar w:fldCharType="begin"/>
            </w:r>
            <w:r w:rsidRPr="00553B37">
              <w:rPr>
                <w:noProof/>
                <w:webHidden/>
              </w:rPr>
              <w:instrText xml:space="preserve"> PAGEREF _Toc518468105 \h </w:instrText>
            </w:r>
            <w:r w:rsidRPr="00553B37">
              <w:rPr>
                <w:noProof/>
                <w:webHidden/>
              </w:rPr>
            </w:r>
            <w:r w:rsidRPr="00553B37">
              <w:rPr>
                <w:noProof/>
                <w:webHidden/>
              </w:rPr>
              <w:fldChar w:fldCharType="separate"/>
            </w:r>
            <w:r w:rsidRPr="00553B37">
              <w:rPr>
                <w:noProof/>
                <w:webHidden/>
              </w:rPr>
              <w:t>72</w:t>
            </w:r>
            <w:r w:rsidRPr="00553B37">
              <w:rPr>
                <w:noProof/>
                <w:webHidden/>
              </w:rPr>
              <w:fldChar w:fldCharType="end"/>
            </w:r>
          </w:hyperlink>
        </w:p>
        <w:p w14:paraId="02DDC5B7" w14:textId="77777777" w:rsidR="00553B37" w:rsidRPr="00553B37" w:rsidRDefault="00553B37" w:rsidP="00553B37">
          <w:pPr>
            <w:pStyle w:val="TM3"/>
            <w:rPr>
              <w:rFonts w:eastAsiaTheme="minorEastAsia"/>
              <w:noProof/>
              <w:lang w:eastAsia="fr-FR"/>
            </w:rPr>
          </w:pPr>
          <w:hyperlink w:anchor="_Toc518468106" w:history="1">
            <w:r w:rsidRPr="00553B37">
              <w:rPr>
                <w:rStyle w:val="Lienhypertexte"/>
                <w:rFonts w:ascii="Times New Roman" w:hAnsi="Times New Roman"/>
                <w:noProof/>
                <w:sz w:val="20"/>
              </w:rPr>
              <w:t>IX.4. Des relations  financières entre l’EPE et l’Etat</w:t>
            </w:r>
            <w:r w:rsidRPr="00553B37">
              <w:rPr>
                <w:noProof/>
                <w:webHidden/>
              </w:rPr>
              <w:tab/>
            </w:r>
            <w:r w:rsidRPr="00553B37">
              <w:rPr>
                <w:noProof/>
                <w:webHidden/>
              </w:rPr>
              <w:fldChar w:fldCharType="begin"/>
            </w:r>
            <w:r w:rsidRPr="00553B37">
              <w:rPr>
                <w:noProof/>
                <w:webHidden/>
              </w:rPr>
              <w:instrText xml:space="preserve"> PAGEREF _Toc518468106 \h </w:instrText>
            </w:r>
            <w:r w:rsidRPr="00553B37">
              <w:rPr>
                <w:noProof/>
                <w:webHidden/>
              </w:rPr>
            </w:r>
            <w:r w:rsidRPr="00553B37">
              <w:rPr>
                <w:noProof/>
                <w:webHidden/>
              </w:rPr>
              <w:fldChar w:fldCharType="separate"/>
            </w:r>
            <w:r w:rsidRPr="00553B37">
              <w:rPr>
                <w:noProof/>
                <w:webHidden/>
              </w:rPr>
              <w:t>73</w:t>
            </w:r>
            <w:r w:rsidRPr="00553B37">
              <w:rPr>
                <w:noProof/>
                <w:webHidden/>
              </w:rPr>
              <w:fldChar w:fldCharType="end"/>
            </w:r>
          </w:hyperlink>
        </w:p>
        <w:p w14:paraId="10F6C231" w14:textId="77777777" w:rsidR="00553B37" w:rsidRPr="00553B37" w:rsidRDefault="00553B37" w:rsidP="00553B37">
          <w:pPr>
            <w:pStyle w:val="TM3"/>
            <w:rPr>
              <w:rFonts w:eastAsiaTheme="minorEastAsia"/>
              <w:noProof/>
              <w:lang w:eastAsia="fr-FR"/>
            </w:rPr>
          </w:pPr>
          <w:hyperlink w:anchor="_Toc518468107" w:history="1">
            <w:r w:rsidRPr="00553B37">
              <w:rPr>
                <w:rStyle w:val="Lienhypertexte"/>
                <w:rFonts w:ascii="Times New Roman" w:hAnsi="Times New Roman"/>
                <w:noProof/>
                <w:sz w:val="20"/>
              </w:rPr>
              <w:t>IX.5. De  la participation directe et indirecte  de l’Etat en 2016</w:t>
            </w:r>
            <w:r w:rsidRPr="00553B37">
              <w:rPr>
                <w:noProof/>
                <w:webHidden/>
              </w:rPr>
              <w:tab/>
            </w:r>
            <w:r w:rsidRPr="00553B37">
              <w:rPr>
                <w:noProof/>
                <w:webHidden/>
              </w:rPr>
              <w:fldChar w:fldCharType="begin"/>
            </w:r>
            <w:r w:rsidRPr="00553B37">
              <w:rPr>
                <w:noProof/>
                <w:webHidden/>
              </w:rPr>
              <w:instrText xml:space="preserve"> PAGEREF _Toc518468107 \h </w:instrText>
            </w:r>
            <w:r w:rsidRPr="00553B37">
              <w:rPr>
                <w:noProof/>
                <w:webHidden/>
              </w:rPr>
            </w:r>
            <w:r w:rsidRPr="00553B37">
              <w:rPr>
                <w:noProof/>
                <w:webHidden/>
              </w:rPr>
              <w:fldChar w:fldCharType="separate"/>
            </w:r>
            <w:r w:rsidRPr="00553B37">
              <w:rPr>
                <w:noProof/>
                <w:webHidden/>
              </w:rPr>
              <w:t>76</w:t>
            </w:r>
            <w:r w:rsidRPr="00553B37">
              <w:rPr>
                <w:noProof/>
                <w:webHidden/>
              </w:rPr>
              <w:fldChar w:fldCharType="end"/>
            </w:r>
          </w:hyperlink>
        </w:p>
        <w:p w14:paraId="65849AEE" w14:textId="77777777" w:rsidR="00553B37" w:rsidRPr="00553B37" w:rsidRDefault="00553B37" w:rsidP="00553B37">
          <w:pPr>
            <w:pStyle w:val="TM2"/>
            <w:rPr>
              <w:rFonts w:eastAsiaTheme="minorEastAsia"/>
              <w:noProof/>
              <w:lang w:eastAsia="fr-FR"/>
            </w:rPr>
          </w:pPr>
          <w:hyperlink w:anchor="_Toc518468108" w:history="1">
            <w:r w:rsidRPr="00553B37">
              <w:rPr>
                <w:rStyle w:val="Lienhypertexte"/>
                <w:rFonts w:ascii="Times New Roman" w:hAnsi="Times New Roman"/>
                <w:noProof/>
                <w:sz w:val="20"/>
              </w:rPr>
              <w:t>B.</w:t>
            </w:r>
            <w:r w:rsidRPr="00553B37">
              <w:rPr>
                <w:rFonts w:eastAsiaTheme="minorEastAsia"/>
                <w:noProof/>
                <w:lang w:eastAsia="fr-FR"/>
              </w:rPr>
              <w:tab/>
            </w:r>
            <w:r w:rsidRPr="00553B37">
              <w:rPr>
                <w:rStyle w:val="Lienhypertexte"/>
                <w:rFonts w:ascii="Times New Roman" w:hAnsi="Times New Roman"/>
                <w:noProof/>
                <w:sz w:val="20"/>
              </w:rPr>
              <w:t>Considérations particulières sur les EPE.</w:t>
            </w:r>
            <w:r w:rsidRPr="00553B37">
              <w:rPr>
                <w:noProof/>
                <w:webHidden/>
              </w:rPr>
              <w:tab/>
            </w:r>
            <w:r w:rsidRPr="00553B37">
              <w:rPr>
                <w:noProof/>
                <w:webHidden/>
              </w:rPr>
              <w:fldChar w:fldCharType="begin"/>
            </w:r>
            <w:r w:rsidRPr="00553B37">
              <w:rPr>
                <w:noProof/>
                <w:webHidden/>
              </w:rPr>
              <w:instrText xml:space="preserve"> PAGEREF _Toc518468108 \h </w:instrText>
            </w:r>
            <w:r w:rsidRPr="00553B37">
              <w:rPr>
                <w:noProof/>
                <w:webHidden/>
              </w:rPr>
            </w:r>
            <w:r w:rsidRPr="00553B37">
              <w:rPr>
                <w:noProof/>
                <w:webHidden/>
              </w:rPr>
              <w:fldChar w:fldCharType="separate"/>
            </w:r>
            <w:r w:rsidRPr="00553B37">
              <w:rPr>
                <w:noProof/>
                <w:webHidden/>
              </w:rPr>
              <w:t>81</w:t>
            </w:r>
            <w:r w:rsidRPr="00553B37">
              <w:rPr>
                <w:noProof/>
                <w:webHidden/>
              </w:rPr>
              <w:fldChar w:fldCharType="end"/>
            </w:r>
          </w:hyperlink>
        </w:p>
        <w:p w14:paraId="2B389818" w14:textId="77777777" w:rsidR="00553B37" w:rsidRPr="00553B37" w:rsidRDefault="00553B37" w:rsidP="00553B37">
          <w:pPr>
            <w:pStyle w:val="TM3"/>
            <w:rPr>
              <w:rFonts w:eastAsiaTheme="minorEastAsia"/>
              <w:noProof/>
              <w:lang w:eastAsia="fr-FR"/>
            </w:rPr>
          </w:pPr>
          <w:hyperlink w:anchor="_Toc518468109" w:history="1">
            <w:r w:rsidRPr="00553B37">
              <w:rPr>
                <w:rStyle w:val="Lienhypertexte"/>
                <w:rFonts w:ascii="Times New Roman" w:hAnsi="Times New Roman"/>
                <w:noProof/>
                <w:sz w:val="20"/>
              </w:rPr>
              <w:t>1.</w:t>
            </w:r>
            <w:r w:rsidRPr="00553B37">
              <w:rPr>
                <w:rFonts w:eastAsiaTheme="minorEastAsia"/>
                <w:noProof/>
                <w:lang w:eastAsia="fr-FR"/>
              </w:rPr>
              <w:tab/>
            </w:r>
            <w:r w:rsidRPr="00553B37">
              <w:rPr>
                <w:rStyle w:val="Lienhypertexte"/>
                <w:rFonts w:ascii="Times New Roman" w:hAnsi="Times New Roman"/>
                <w:noProof/>
                <w:sz w:val="20"/>
              </w:rPr>
              <w:t>Fiche signalétique des EPE</w:t>
            </w:r>
            <w:r w:rsidRPr="00553B37">
              <w:rPr>
                <w:noProof/>
                <w:webHidden/>
              </w:rPr>
              <w:tab/>
            </w:r>
            <w:r w:rsidRPr="00553B37">
              <w:rPr>
                <w:noProof/>
                <w:webHidden/>
              </w:rPr>
              <w:fldChar w:fldCharType="begin"/>
            </w:r>
            <w:r w:rsidRPr="00553B37">
              <w:rPr>
                <w:noProof/>
                <w:webHidden/>
              </w:rPr>
              <w:instrText xml:space="preserve"> PAGEREF _Toc518468109 \h </w:instrText>
            </w:r>
            <w:r w:rsidRPr="00553B37">
              <w:rPr>
                <w:noProof/>
                <w:webHidden/>
              </w:rPr>
            </w:r>
            <w:r w:rsidRPr="00553B37">
              <w:rPr>
                <w:noProof/>
                <w:webHidden/>
              </w:rPr>
              <w:fldChar w:fldCharType="separate"/>
            </w:r>
            <w:r w:rsidRPr="00553B37">
              <w:rPr>
                <w:noProof/>
                <w:webHidden/>
              </w:rPr>
              <w:t>81</w:t>
            </w:r>
            <w:r w:rsidRPr="00553B37">
              <w:rPr>
                <w:noProof/>
                <w:webHidden/>
              </w:rPr>
              <w:fldChar w:fldCharType="end"/>
            </w:r>
          </w:hyperlink>
        </w:p>
        <w:p w14:paraId="352F9F52" w14:textId="77777777" w:rsidR="00553B37" w:rsidRPr="00553B37" w:rsidRDefault="00553B37" w:rsidP="00553B37">
          <w:pPr>
            <w:pStyle w:val="TM3"/>
            <w:rPr>
              <w:rFonts w:eastAsiaTheme="minorEastAsia"/>
              <w:noProof/>
              <w:lang w:eastAsia="fr-FR"/>
            </w:rPr>
          </w:pPr>
          <w:hyperlink w:anchor="_Toc518468110" w:history="1">
            <w:r w:rsidRPr="00553B37">
              <w:rPr>
                <w:rStyle w:val="Lienhypertexte"/>
                <w:rFonts w:ascii="Times New Roman" w:hAnsi="Times New Roman"/>
                <w:noProof/>
                <w:sz w:val="20"/>
              </w:rPr>
              <w:t>2.</w:t>
            </w:r>
            <w:r w:rsidRPr="00553B37">
              <w:rPr>
                <w:rFonts w:eastAsiaTheme="minorEastAsia"/>
                <w:noProof/>
                <w:lang w:eastAsia="fr-FR"/>
              </w:rPr>
              <w:tab/>
            </w:r>
            <w:r w:rsidRPr="00553B37">
              <w:rPr>
                <w:rStyle w:val="Lienhypertexte"/>
                <w:rFonts w:ascii="Times New Roman" w:hAnsi="Times New Roman"/>
                <w:noProof/>
                <w:sz w:val="20"/>
              </w:rPr>
              <w:t>Règles et pratiques de la relation financière entre les EPE, l’Etat  et les JV</w:t>
            </w:r>
            <w:r w:rsidRPr="00553B37">
              <w:rPr>
                <w:noProof/>
                <w:webHidden/>
              </w:rPr>
              <w:tab/>
            </w:r>
            <w:r w:rsidRPr="00553B37">
              <w:rPr>
                <w:noProof/>
                <w:webHidden/>
              </w:rPr>
              <w:fldChar w:fldCharType="begin"/>
            </w:r>
            <w:r w:rsidRPr="00553B37">
              <w:rPr>
                <w:noProof/>
                <w:webHidden/>
              </w:rPr>
              <w:instrText xml:space="preserve"> PAGEREF _Toc518468110 \h </w:instrText>
            </w:r>
            <w:r w:rsidRPr="00553B37">
              <w:rPr>
                <w:noProof/>
                <w:webHidden/>
              </w:rPr>
            </w:r>
            <w:r w:rsidRPr="00553B37">
              <w:rPr>
                <w:noProof/>
                <w:webHidden/>
              </w:rPr>
              <w:fldChar w:fldCharType="separate"/>
            </w:r>
            <w:r w:rsidRPr="00553B37">
              <w:rPr>
                <w:noProof/>
                <w:webHidden/>
              </w:rPr>
              <w:t>81</w:t>
            </w:r>
            <w:r w:rsidRPr="00553B37">
              <w:rPr>
                <w:noProof/>
                <w:webHidden/>
              </w:rPr>
              <w:fldChar w:fldCharType="end"/>
            </w:r>
          </w:hyperlink>
        </w:p>
        <w:p w14:paraId="7EFFD504" w14:textId="77777777" w:rsidR="00553B37" w:rsidRPr="00553B37" w:rsidRDefault="00553B37" w:rsidP="00553B37">
          <w:pPr>
            <w:pStyle w:val="TM3"/>
            <w:rPr>
              <w:rFonts w:eastAsiaTheme="minorEastAsia"/>
              <w:noProof/>
              <w:lang w:eastAsia="fr-FR"/>
            </w:rPr>
          </w:pPr>
          <w:hyperlink w:anchor="_Toc518468111" w:history="1">
            <w:r w:rsidRPr="00553B37">
              <w:rPr>
                <w:rStyle w:val="Lienhypertexte"/>
                <w:rFonts w:ascii="Times New Roman" w:hAnsi="Times New Roman"/>
                <w:noProof/>
                <w:sz w:val="20"/>
              </w:rPr>
              <w:t>3.</w:t>
            </w:r>
            <w:r w:rsidRPr="00553B37">
              <w:rPr>
                <w:rFonts w:eastAsiaTheme="minorEastAsia"/>
                <w:noProof/>
                <w:lang w:eastAsia="fr-FR"/>
              </w:rPr>
              <w:tab/>
            </w:r>
            <w:r w:rsidRPr="00553B37">
              <w:rPr>
                <w:rStyle w:val="Lienhypertexte"/>
                <w:rFonts w:ascii="Times New Roman" w:hAnsi="Times New Roman"/>
                <w:noProof/>
                <w:sz w:val="20"/>
              </w:rPr>
              <w:t>Transactions des EPE</w:t>
            </w:r>
            <w:r w:rsidRPr="00553B37">
              <w:rPr>
                <w:noProof/>
                <w:webHidden/>
              </w:rPr>
              <w:tab/>
            </w:r>
            <w:r w:rsidRPr="00553B37">
              <w:rPr>
                <w:noProof/>
                <w:webHidden/>
              </w:rPr>
              <w:fldChar w:fldCharType="begin"/>
            </w:r>
            <w:r w:rsidRPr="00553B37">
              <w:rPr>
                <w:noProof/>
                <w:webHidden/>
              </w:rPr>
              <w:instrText xml:space="preserve"> PAGEREF _Toc518468111 \h </w:instrText>
            </w:r>
            <w:r w:rsidRPr="00553B37">
              <w:rPr>
                <w:noProof/>
                <w:webHidden/>
              </w:rPr>
            </w:r>
            <w:r w:rsidRPr="00553B37">
              <w:rPr>
                <w:noProof/>
                <w:webHidden/>
              </w:rPr>
              <w:fldChar w:fldCharType="separate"/>
            </w:r>
            <w:r w:rsidRPr="00553B37">
              <w:rPr>
                <w:noProof/>
                <w:webHidden/>
              </w:rPr>
              <w:t>81</w:t>
            </w:r>
            <w:r w:rsidRPr="00553B37">
              <w:rPr>
                <w:noProof/>
                <w:webHidden/>
              </w:rPr>
              <w:fldChar w:fldCharType="end"/>
            </w:r>
          </w:hyperlink>
        </w:p>
        <w:p w14:paraId="379BFE8D" w14:textId="77777777" w:rsidR="00553B37" w:rsidRPr="00553B37" w:rsidRDefault="00553B37" w:rsidP="00553B37">
          <w:pPr>
            <w:pStyle w:val="TM3"/>
            <w:rPr>
              <w:rFonts w:eastAsiaTheme="minorEastAsia"/>
              <w:noProof/>
              <w:lang w:eastAsia="fr-FR"/>
            </w:rPr>
          </w:pPr>
          <w:hyperlink w:anchor="_Toc518468112" w:history="1">
            <w:r w:rsidRPr="00553B37">
              <w:rPr>
                <w:rStyle w:val="Lienhypertexte"/>
                <w:rFonts w:ascii="Times New Roman" w:hAnsi="Times New Roman"/>
                <w:noProof/>
                <w:sz w:val="20"/>
              </w:rPr>
              <w:t>4.</w:t>
            </w:r>
            <w:r w:rsidRPr="00553B37">
              <w:rPr>
                <w:rFonts w:eastAsiaTheme="minorEastAsia"/>
                <w:noProof/>
                <w:lang w:eastAsia="fr-FR"/>
              </w:rPr>
              <w:tab/>
            </w:r>
            <w:r w:rsidRPr="00553B37">
              <w:rPr>
                <w:rStyle w:val="Lienhypertexte"/>
                <w:rFonts w:ascii="Times New Roman" w:hAnsi="Times New Roman"/>
                <w:noProof/>
                <w:sz w:val="20"/>
              </w:rPr>
              <w:t>Vente des parts de production de l’Etat</w:t>
            </w:r>
            <w:r w:rsidRPr="00553B37">
              <w:rPr>
                <w:noProof/>
                <w:webHidden/>
              </w:rPr>
              <w:tab/>
            </w:r>
            <w:r w:rsidRPr="00553B37">
              <w:rPr>
                <w:noProof/>
                <w:webHidden/>
              </w:rPr>
              <w:fldChar w:fldCharType="begin"/>
            </w:r>
            <w:r w:rsidRPr="00553B37">
              <w:rPr>
                <w:noProof/>
                <w:webHidden/>
              </w:rPr>
              <w:instrText xml:space="preserve"> PAGEREF _Toc518468112 \h </w:instrText>
            </w:r>
            <w:r w:rsidRPr="00553B37">
              <w:rPr>
                <w:noProof/>
                <w:webHidden/>
              </w:rPr>
            </w:r>
            <w:r w:rsidRPr="00553B37">
              <w:rPr>
                <w:noProof/>
                <w:webHidden/>
              </w:rPr>
              <w:fldChar w:fldCharType="separate"/>
            </w:r>
            <w:r w:rsidRPr="00553B37">
              <w:rPr>
                <w:noProof/>
                <w:webHidden/>
              </w:rPr>
              <w:t>83</w:t>
            </w:r>
            <w:r w:rsidRPr="00553B37">
              <w:rPr>
                <w:noProof/>
                <w:webHidden/>
              </w:rPr>
              <w:fldChar w:fldCharType="end"/>
            </w:r>
          </w:hyperlink>
        </w:p>
        <w:p w14:paraId="76814A0D" w14:textId="77777777" w:rsidR="00553B37" w:rsidRPr="00553B37" w:rsidRDefault="00553B37" w:rsidP="00553B37">
          <w:pPr>
            <w:pStyle w:val="TM3"/>
            <w:rPr>
              <w:rFonts w:eastAsiaTheme="minorEastAsia"/>
              <w:noProof/>
              <w:lang w:eastAsia="fr-FR"/>
            </w:rPr>
          </w:pPr>
          <w:hyperlink w:anchor="_Toc518468113" w:history="1">
            <w:r w:rsidRPr="00553B37">
              <w:rPr>
                <w:rStyle w:val="Lienhypertexte"/>
                <w:rFonts w:ascii="Times New Roman" w:hAnsi="Times New Roman"/>
                <w:noProof/>
                <w:sz w:val="20"/>
              </w:rPr>
              <w:t>5.</w:t>
            </w:r>
            <w:r w:rsidRPr="00553B37">
              <w:rPr>
                <w:rFonts w:eastAsiaTheme="minorEastAsia"/>
                <w:noProof/>
                <w:lang w:eastAsia="fr-FR"/>
              </w:rPr>
              <w:tab/>
            </w:r>
            <w:r w:rsidRPr="00553B37">
              <w:rPr>
                <w:rStyle w:val="Lienhypertexte"/>
                <w:rFonts w:ascii="Times New Roman" w:hAnsi="Times New Roman"/>
                <w:noProof/>
                <w:sz w:val="20"/>
              </w:rPr>
              <w:t>Dépenses quasi fiscales des EPE</w:t>
            </w:r>
            <w:r w:rsidRPr="00553B37">
              <w:rPr>
                <w:noProof/>
                <w:webHidden/>
              </w:rPr>
              <w:tab/>
            </w:r>
            <w:r w:rsidRPr="00553B37">
              <w:rPr>
                <w:noProof/>
                <w:webHidden/>
              </w:rPr>
              <w:fldChar w:fldCharType="begin"/>
            </w:r>
            <w:r w:rsidRPr="00553B37">
              <w:rPr>
                <w:noProof/>
                <w:webHidden/>
              </w:rPr>
              <w:instrText xml:space="preserve"> PAGEREF _Toc518468113 \h </w:instrText>
            </w:r>
            <w:r w:rsidRPr="00553B37">
              <w:rPr>
                <w:noProof/>
                <w:webHidden/>
              </w:rPr>
            </w:r>
            <w:r w:rsidRPr="00553B37">
              <w:rPr>
                <w:noProof/>
                <w:webHidden/>
              </w:rPr>
              <w:fldChar w:fldCharType="separate"/>
            </w:r>
            <w:r w:rsidRPr="00553B37">
              <w:rPr>
                <w:noProof/>
                <w:webHidden/>
              </w:rPr>
              <w:t>83</w:t>
            </w:r>
            <w:r w:rsidRPr="00553B37">
              <w:rPr>
                <w:noProof/>
                <w:webHidden/>
              </w:rPr>
              <w:fldChar w:fldCharType="end"/>
            </w:r>
          </w:hyperlink>
        </w:p>
        <w:p w14:paraId="5902C4F7" w14:textId="77777777" w:rsidR="00553B37" w:rsidRPr="00553B37" w:rsidRDefault="00553B37">
          <w:pPr>
            <w:pStyle w:val="TM1"/>
            <w:rPr>
              <w:rFonts w:ascii="Times New Roman" w:eastAsiaTheme="minorEastAsia" w:hAnsi="Times New Roman" w:cs="Times New Roman"/>
              <w:noProof/>
              <w:sz w:val="20"/>
              <w:lang w:eastAsia="fr-FR"/>
            </w:rPr>
          </w:pPr>
          <w:hyperlink w:anchor="_Toc518468114" w:history="1">
            <w:r w:rsidRPr="00553B37">
              <w:rPr>
                <w:rStyle w:val="Lienhypertexte"/>
                <w:rFonts w:ascii="Times New Roman" w:hAnsi="Times New Roman"/>
                <w:noProof/>
                <w:sz w:val="20"/>
              </w:rPr>
              <w:t>X.</w:t>
            </w:r>
            <w:r w:rsidRPr="00553B37">
              <w:rPr>
                <w:rFonts w:ascii="Times New Roman" w:eastAsiaTheme="minorEastAsia" w:hAnsi="Times New Roman" w:cs="Times New Roman"/>
                <w:noProof/>
                <w:sz w:val="20"/>
                <w:lang w:eastAsia="fr-FR"/>
              </w:rPr>
              <w:tab/>
            </w:r>
            <w:r w:rsidRPr="00553B37">
              <w:rPr>
                <w:rStyle w:val="Lienhypertexte"/>
                <w:rFonts w:ascii="Times New Roman" w:hAnsi="Times New Roman"/>
                <w:noProof/>
                <w:sz w:val="20"/>
              </w:rPr>
              <w:t>PROCESSUS D’ELABORATION DU BUDGET</w:t>
            </w:r>
            <w:r w:rsidRPr="00553B37">
              <w:rPr>
                <w:rFonts w:ascii="Times New Roman" w:hAnsi="Times New Roman" w:cs="Times New Roman"/>
                <w:noProof/>
                <w:webHidden/>
                <w:sz w:val="20"/>
              </w:rPr>
              <w:tab/>
            </w:r>
            <w:r w:rsidRPr="00553B37">
              <w:rPr>
                <w:rFonts w:ascii="Times New Roman" w:hAnsi="Times New Roman" w:cs="Times New Roman"/>
                <w:noProof/>
                <w:webHidden/>
                <w:sz w:val="20"/>
              </w:rPr>
              <w:fldChar w:fldCharType="begin"/>
            </w:r>
            <w:r w:rsidRPr="00553B37">
              <w:rPr>
                <w:rFonts w:ascii="Times New Roman" w:hAnsi="Times New Roman" w:cs="Times New Roman"/>
                <w:noProof/>
                <w:webHidden/>
                <w:sz w:val="20"/>
              </w:rPr>
              <w:instrText xml:space="preserve"> PAGEREF _Toc518468114 \h </w:instrText>
            </w:r>
            <w:r w:rsidRPr="00553B37">
              <w:rPr>
                <w:rFonts w:ascii="Times New Roman" w:hAnsi="Times New Roman" w:cs="Times New Roman"/>
                <w:noProof/>
                <w:webHidden/>
                <w:sz w:val="20"/>
              </w:rPr>
            </w:r>
            <w:r w:rsidRPr="00553B37">
              <w:rPr>
                <w:rFonts w:ascii="Times New Roman" w:hAnsi="Times New Roman" w:cs="Times New Roman"/>
                <w:noProof/>
                <w:webHidden/>
                <w:sz w:val="20"/>
              </w:rPr>
              <w:fldChar w:fldCharType="separate"/>
            </w:r>
            <w:r w:rsidRPr="00553B37">
              <w:rPr>
                <w:rFonts w:ascii="Times New Roman" w:hAnsi="Times New Roman" w:cs="Times New Roman"/>
                <w:noProof/>
                <w:webHidden/>
                <w:sz w:val="20"/>
              </w:rPr>
              <w:t>84</w:t>
            </w:r>
            <w:r w:rsidRPr="00553B37">
              <w:rPr>
                <w:rFonts w:ascii="Times New Roman" w:hAnsi="Times New Roman" w:cs="Times New Roman"/>
                <w:noProof/>
                <w:webHidden/>
                <w:sz w:val="20"/>
              </w:rPr>
              <w:fldChar w:fldCharType="end"/>
            </w:r>
          </w:hyperlink>
        </w:p>
        <w:p w14:paraId="5A4B1577" w14:textId="77777777" w:rsidR="00553B37" w:rsidRPr="00553B37" w:rsidRDefault="00553B37" w:rsidP="00553B37">
          <w:pPr>
            <w:pStyle w:val="TM2"/>
            <w:rPr>
              <w:rFonts w:eastAsiaTheme="minorEastAsia"/>
              <w:noProof/>
              <w:lang w:eastAsia="fr-FR"/>
            </w:rPr>
          </w:pPr>
          <w:hyperlink w:anchor="_Toc518468115" w:history="1">
            <w:r w:rsidRPr="00553B37">
              <w:rPr>
                <w:rStyle w:val="Lienhypertexte"/>
                <w:rFonts w:ascii="Times New Roman" w:hAnsi="Times New Roman"/>
                <w:noProof/>
                <w:sz w:val="20"/>
              </w:rPr>
              <w:t>A.</w:t>
            </w:r>
            <w:r w:rsidRPr="00553B37">
              <w:rPr>
                <w:rFonts w:eastAsiaTheme="minorEastAsia"/>
                <w:noProof/>
                <w:lang w:eastAsia="fr-FR"/>
              </w:rPr>
              <w:tab/>
            </w:r>
            <w:r w:rsidRPr="00553B37">
              <w:rPr>
                <w:rStyle w:val="Lienhypertexte"/>
                <w:rFonts w:ascii="Times New Roman" w:hAnsi="Times New Roman"/>
                <w:noProof/>
                <w:sz w:val="20"/>
              </w:rPr>
              <w:t>Budget de l’Etat</w:t>
            </w:r>
            <w:r w:rsidRPr="00553B37">
              <w:rPr>
                <w:noProof/>
                <w:webHidden/>
              </w:rPr>
              <w:tab/>
            </w:r>
            <w:r w:rsidRPr="00553B37">
              <w:rPr>
                <w:noProof/>
                <w:webHidden/>
              </w:rPr>
              <w:fldChar w:fldCharType="begin"/>
            </w:r>
            <w:r w:rsidRPr="00553B37">
              <w:rPr>
                <w:noProof/>
                <w:webHidden/>
              </w:rPr>
              <w:instrText xml:space="preserve"> PAGEREF _Toc518468115 \h </w:instrText>
            </w:r>
            <w:r w:rsidRPr="00553B37">
              <w:rPr>
                <w:noProof/>
                <w:webHidden/>
              </w:rPr>
            </w:r>
            <w:r w:rsidRPr="00553B37">
              <w:rPr>
                <w:noProof/>
                <w:webHidden/>
              </w:rPr>
              <w:fldChar w:fldCharType="separate"/>
            </w:r>
            <w:r w:rsidRPr="00553B37">
              <w:rPr>
                <w:noProof/>
                <w:webHidden/>
              </w:rPr>
              <w:t>84</w:t>
            </w:r>
            <w:r w:rsidRPr="00553B37">
              <w:rPr>
                <w:noProof/>
                <w:webHidden/>
              </w:rPr>
              <w:fldChar w:fldCharType="end"/>
            </w:r>
          </w:hyperlink>
        </w:p>
        <w:p w14:paraId="0D8358FD" w14:textId="77777777" w:rsidR="00553B37" w:rsidRPr="00553B37" w:rsidRDefault="00553B37" w:rsidP="00553B37">
          <w:pPr>
            <w:pStyle w:val="TM2"/>
            <w:rPr>
              <w:rFonts w:eastAsiaTheme="minorEastAsia"/>
              <w:noProof/>
              <w:lang w:eastAsia="fr-FR"/>
            </w:rPr>
          </w:pPr>
          <w:hyperlink w:anchor="_Toc518468116" w:history="1">
            <w:r w:rsidRPr="00553B37">
              <w:rPr>
                <w:rStyle w:val="Lienhypertexte"/>
                <w:rFonts w:ascii="Times New Roman" w:hAnsi="Times New Roman"/>
                <w:noProof/>
                <w:sz w:val="20"/>
              </w:rPr>
              <w:t>B.</w:t>
            </w:r>
            <w:r w:rsidRPr="00553B37">
              <w:rPr>
                <w:rFonts w:eastAsiaTheme="minorEastAsia"/>
                <w:noProof/>
                <w:lang w:eastAsia="fr-FR"/>
              </w:rPr>
              <w:tab/>
            </w:r>
            <w:r w:rsidRPr="00553B37">
              <w:rPr>
                <w:rStyle w:val="Lienhypertexte"/>
                <w:rFonts w:ascii="Times New Roman" w:hAnsi="Times New Roman"/>
                <w:noProof/>
                <w:sz w:val="20"/>
              </w:rPr>
              <w:t>Budget des provinces et des Entités Territoriales Décentralisées (ETD)</w:t>
            </w:r>
            <w:r w:rsidRPr="00553B37">
              <w:rPr>
                <w:noProof/>
                <w:webHidden/>
              </w:rPr>
              <w:tab/>
            </w:r>
            <w:r w:rsidRPr="00553B37">
              <w:rPr>
                <w:noProof/>
                <w:webHidden/>
              </w:rPr>
              <w:fldChar w:fldCharType="begin"/>
            </w:r>
            <w:r w:rsidRPr="00553B37">
              <w:rPr>
                <w:noProof/>
                <w:webHidden/>
              </w:rPr>
              <w:instrText xml:space="preserve"> PAGEREF _Toc518468116 \h </w:instrText>
            </w:r>
            <w:r w:rsidRPr="00553B37">
              <w:rPr>
                <w:noProof/>
                <w:webHidden/>
              </w:rPr>
            </w:r>
            <w:r w:rsidRPr="00553B37">
              <w:rPr>
                <w:noProof/>
                <w:webHidden/>
              </w:rPr>
              <w:fldChar w:fldCharType="separate"/>
            </w:r>
            <w:r w:rsidRPr="00553B37">
              <w:rPr>
                <w:noProof/>
                <w:webHidden/>
              </w:rPr>
              <w:t>85</w:t>
            </w:r>
            <w:r w:rsidRPr="00553B37">
              <w:rPr>
                <w:noProof/>
                <w:webHidden/>
              </w:rPr>
              <w:fldChar w:fldCharType="end"/>
            </w:r>
          </w:hyperlink>
        </w:p>
        <w:p w14:paraId="02F9A4D3" w14:textId="77777777" w:rsidR="00553B37" w:rsidRPr="00553B37" w:rsidRDefault="00553B37">
          <w:pPr>
            <w:pStyle w:val="TM1"/>
            <w:rPr>
              <w:rFonts w:ascii="Times New Roman" w:eastAsiaTheme="minorEastAsia" w:hAnsi="Times New Roman" w:cs="Times New Roman"/>
              <w:noProof/>
              <w:sz w:val="20"/>
              <w:lang w:eastAsia="fr-FR"/>
            </w:rPr>
          </w:pPr>
          <w:hyperlink w:anchor="_Toc518468117" w:history="1">
            <w:r w:rsidRPr="00553B37">
              <w:rPr>
                <w:rStyle w:val="Lienhypertexte"/>
                <w:rFonts w:ascii="Times New Roman" w:hAnsi="Times New Roman"/>
                <w:noProof/>
                <w:sz w:val="20"/>
              </w:rPr>
              <w:t>XI.</w:t>
            </w:r>
            <w:r w:rsidRPr="00553B37">
              <w:rPr>
                <w:rFonts w:ascii="Times New Roman" w:eastAsiaTheme="minorEastAsia" w:hAnsi="Times New Roman" w:cs="Times New Roman"/>
                <w:noProof/>
                <w:sz w:val="20"/>
                <w:lang w:eastAsia="fr-FR"/>
              </w:rPr>
              <w:tab/>
            </w:r>
            <w:r w:rsidRPr="00553B37">
              <w:rPr>
                <w:rStyle w:val="Lienhypertexte"/>
                <w:rFonts w:ascii="Times New Roman" w:hAnsi="Times New Roman"/>
                <w:noProof/>
                <w:sz w:val="20"/>
              </w:rPr>
              <w:t>SUIVI DES RECOMMANDATIONS ISSUES DU RAPPORTAGE ITIE</w:t>
            </w:r>
            <w:r w:rsidRPr="00553B37">
              <w:rPr>
                <w:rFonts w:ascii="Times New Roman" w:hAnsi="Times New Roman" w:cs="Times New Roman"/>
                <w:noProof/>
                <w:webHidden/>
                <w:sz w:val="20"/>
              </w:rPr>
              <w:tab/>
            </w:r>
            <w:r w:rsidRPr="00553B37">
              <w:rPr>
                <w:rFonts w:ascii="Times New Roman" w:hAnsi="Times New Roman" w:cs="Times New Roman"/>
                <w:noProof/>
                <w:webHidden/>
                <w:sz w:val="20"/>
              </w:rPr>
              <w:fldChar w:fldCharType="begin"/>
            </w:r>
            <w:r w:rsidRPr="00553B37">
              <w:rPr>
                <w:rFonts w:ascii="Times New Roman" w:hAnsi="Times New Roman" w:cs="Times New Roman"/>
                <w:noProof/>
                <w:webHidden/>
                <w:sz w:val="20"/>
              </w:rPr>
              <w:instrText xml:space="preserve"> PAGEREF _Toc518468117 \h </w:instrText>
            </w:r>
            <w:r w:rsidRPr="00553B37">
              <w:rPr>
                <w:rFonts w:ascii="Times New Roman" w:hAnsi="Times New Roman" w:cs="Times New Roman"/>
                <w:noProof/>
                <w:webHidden/>
                <w:sz w:val="20"/>
              </w:rPr>
            </w:r>
            <w:r w:rsidRPr="00553B37">
              <w:rPr>
                <w:rFonts w:ascii="Times New Roman" w:hAnsi="Times New Roman" w:cs="Times New Roman"/>
                <w:noProof/>
                <w:webHidden/>
                <w:sz w:val="20"/>
              </w:rPr>
              <w:fldChar w:fldCharType="separate"/>
            </w:r>
            <w:r w:rsidRPr="00553B37">
              <w:rPr>
                <w:rFonts w:ascii="Times New Roman" w:hAnsi="Times New Roman" w:cs="Times New Roman"/>
                <w:noProof/>
                <w:webHidden/>
                <w:sz w:val="20"/>
              </w:rPr>
              <w:t>86</w:t>
            </w:r>
            <w:r w:rsidRPr="00553B37">
              <w:rPr>
                <w:rFonts w:ascii="Times New Roman" w:hAnsi="Times New Roman" w:cs="Times New Roman"/>
                <w:noProof/>
                <w:webHidden/>
                <w:sz w:val="20"/>
              </w:rPr>
              <w:fldChar w:fldCharType="end"/>
            </w:r>
          </w:hyperlink>
        </w:p>
        <w:p w14:paraId="19F5EC6E" w14:textId="0706DE17" w:rsidR="007C4ABA" w:rsidRDefault="007C4ABA">
          <w:r w:rsidRPr="00553B37">
            <w:rPr>
              <w:rFonts w:ascii="Times New Roman" w:hAnsi="Times New Roman"/>
              <w:b/>
              <w:bCs/>
              <w:sz w:val="20"/>
            </w:rPr>
            <w:fldChar w:fldCharType="end"/>
          </w:r>
        </w:p>
      </w:sdtContent>
    </w:sdt>
    <w:p w14:paraId="2A7157EE" w14:textId="08DD6398" w:rsidR="00A66C88" w:rsidRDefault="00295E3B">
      <w:pPr>
        <w:rPr>
          <w:rFonts w:ascii="Times New Roman" w:eastAsiaTheme="majorEastAsia" w:hAnsi="Times New Roman" w:cstheme="majorBidi"/>
          <w:caps/>
          <w:color w:val="5B9BD5" w:themeColor="accent1"/>
          <w:spacing w:val="14"/>
          <w:sz w:val="28"/>
          <w:szCs w:val="28"/>
        </w:rPr>
      </w:pPr>
      <w:r>
        <w:rPr>
          <w:rFonts w:ascii="Times New Roman" w:hAnsi="Times New Roman"/>
          <w:sz w:val="28"/>
          <w:szCs w:val="28"/>
        </w:rPr>
        <w:br w:type="page"/>
      </w:r>
      <w:bookmarkStart w:id="4" w:name="_Toc492630352"/>
    </w:p>
    <w:tbl>
      <w:tblPr>
        <w:tblStyle w:val="Tableausimple31"/>
        <w:tblW w:w="5000" w:type="pct"/>
        <w:tblLook w:val="04A0" w:firstRow="1" w:lastRow="0" w:firstColumn="1" w:lastColumn="0" w:noHBand="0" w:noVBand="1"/>
      </w:tblPr>
      <w:tblGrid>
        <w:gridCol w:w="1647"/>
        <w:gridCol w:w="7993"/>
      </w:tblGrid>
      <w:tr w:rsidR="000F6775" w:rsidRPr="000F6775" w14:paraId="18C21C10" w14:textId="77777777" w:rsidTr="000F6775">
        <w:trPr>
          <w:cnfStyle w:val="100000000000" w:firstRow="1" w:lastRow="0" w:firstColumn="0" w:lastColumn="0" w:oddVBand="0" w:evenVBand="0" w:oddHBand="0" w:evenHBand="0" w:firstRowFirstColumn="0" w:firstRowLastColumn="0" w:lastRowFirstColumn="0" w:lastRowLastColumn="0"/>
          <w:trHeight w:val="113"/>
        </w:trPr>
        <w:tc>
          <w:tcPr>
            <w:cnfStyle w:val="001000000100" w:firstRow="0" w:lastRow="0" w:firstColumn="1" w:lastColumn="0" w:oddVBand="0" w:evenVBand="0" w:oddHBand="0" w:evenHBand="0" w:firstRowFirstColumn="1" w:firstRowLastColumn="0" w:lastRowFirstColumn="0" w:lastRowLastColumn="0"/>
            <w:tcW w:w="5000" w:type="pct"/>
            <w:gridSpan w:val="2"/>
            <w:hideMark/>
          </w:tcPr>
          <w:p w14:paraId="594720CC" w14:textId="77777777" w:rsidR="00A66C88" w:rsidRPr="000F6775" w:rsidRDefault="00A66C88" w:rsidP="004521CD">
            <w:pPr>
              <w:rPr>
                <w:b w:val="0"/>
                <w:color w:val="171717" w:themeColor="background2" w:themeShade="1A"/>
                <w:szCs w:val="20"/>
                <w:lang w:eastAsia="en-GB"/>
              </w:rPr>
            </w:pPr>
            <w:r w:rsidRPr="000F6775">
              <w:rPr>
                <w:color w:val="171717" w:themeColor="background2" w:themeShade="1A"/>
                <w:szCs w:val="20"/>
                <w:lang w:eastAsia="fr-FR"/>
              </w:rPr>
              <w:lastRenderedPageBreak/>
              <w:t>Abréviations</w:t>
            </w:r>
          </w:p>
        </w:tc>
      </w:tr>
      <w:tr w:rsidR="00DA26B6" w:rsidRPr="007523BD" w14:paraId="49ECC643"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tcPr>
          <w:p w14:paraId="06A01BC5" w14:textId="1B7EE417" w:rsidR="00DA26B6" w:rsidRPr="007523BD" w:rsidRDefault="00DA26B6" w:rsidP="0054038F">
            <w:pPr>
              <w:rPr>
                <w:color w:val="000000"/>
                <w:sz w:val="18"/>
                <w:szCs w:val="18"/>
                <w:lang w:eastAsia="en-GB"/>
              </w:rPr>
            </w:pPr>
            <w:r>
              <w:rPr>
                <w:color w:val="000000"/>
                <w:sz w:val="18"/>
                <w:szCs w:val="18"/>
                <w:lang w:eastAsia="en-GB"/>
              </w:rPr>
              <w:t>AECP</w:t>
            </w:r>
          </w:p>
        </w:tc>
        <w:tc>
          <w:tcPr>
            <w:tcW w:w="4146" w:type="pct"/>
          </w:tcPr>
          <w:p w14:paraId="47560438" w14:textId="2365C174" w:rsidR="00DA26B6" w:rsidRPr="007523BD" w:rsidRDefault="00DA26B6" w:rsidP="0054038F">
            <w:pPr>
              <w:cnfStyle w:val="000000100000" w:firstRow="0" w:lastRow="0" w:firstColumn="0" w:lastColumn="0" w:oddVBand="0" w:evenVBand="0" w:oddHBand="1" w:evenHBand="0" w:firstRowFirstColumn="0" w:firstRowLastColumn="0" w:lastRowFirstColumn="0" w:lastRowLastColumn="0"/>
              <w:rPr>
                <w:color w:val="000000"/>
                <w:sz w:val="18"/>
                <w:szCs w:val="18"/>
                <w:lang w:eastAsia="en-GB"/>
              </w:rPr>
            </w:pPr>
            <w:r>
              <w:rPr>
                <w:color w:val="000000"/>
                <w:sz w:val="18"/>
                <w:szCs w:val="18"/>
                <w:lang w:eastAsia="en-GB"/>
              </w:rPr>
              <w:t>Autorisation d’Exploitation de Carrière Permanente</w:t>
            </w:r>
          </w:p>
        </w:tc>
      </w:tr>
      <w:tr w:rsidR="00CB5CFC" w:rsidRPr="007523BD" w14:paraId="4DA6058B"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tcPr>
          <w:p w14:paraId="56E36ABD" w14:textId="752F9669" w:rsidR="00CB5CFC" w:rsidRDefault="00CB5CFC" w:rsidP="0054038F">
            <w:pPr>
              <w:rPr>
                <w:color w:val="000000"/>
                <w:sz w:val="18"/>
                <w:szCs w:val="18"/>
                <w:lang w:eastAsia="en-GB"/>
              </w:rPr>
            </w:pPr>
            <w:r>
              <w:rPr>
                <w:color w:val="000000"/>
                <w:sz w:val="18"/>
                <w:szCs w:val="18"/>
                <w:lang w:eastAsia="en-GB"/>
              </w:rPr>
              <w:t>ARPC</w:t>
            </w:r>
          </w:p>
        </w:tc>
        <w:tc>
          <w:tcPr>
            <w:tcW w:w="4146" w:type="pct"/>
          </w:tcPr>
          <w:p w14:paraId="6D82CAAB" w14:textId="2F4E2679" w:rsidR="00CB5CFC" w:rsidRDefault="00CB5CFC" w:rsidP="0054038F">
            <w:pPr>
              <w:cnfStyle w:val="000000000000" w:firstRow="0" w:lastRow="0" w:firstColumn="0" w:lastColumn="0" w:oddVBand="0" w:evenVBand="0" w:oddHBand="0" w:evenHBand="0" w:firstRowFirstColumn="0" w:firstRowLastColumn="0" w:lastRowFirstColumn="0" w:lastRowLastColumn="0"/>
              <w:rPr>
                <w:color w:val="000000"/>
                <w:sz w:val="18"/>
                <w:szCs w:val="18"/>
                <w:lang w:eastAsia="en-GB"/>
              </w:rPr>
            </w:pPr>
            <w:r>
              <w:rPr>
                <w:color w:val="000000"/>
                <w:sz w:val="18"/>
                <w:szCs w:val="18"/>
                <w:lang w:eastAsia="en-GB"/>
              </w:rPr>
              <w:t>Autorisation de Recherche des Produits de Carrières</w:t>
            </w:r>
          </w:p>
        </w:tc>
      </w:tr>
      <w:tr w:rsidR="00A66C88" w:rsidRPr="007523BD" w14:paraId="782DC3EC"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3A83B56B" w14:textId="77777777" w:rsidR="00A66C88" w:rsidRPr="007523BD" w:rsidRDefault="00A66C88" w:rsidP="0054038F">
            <w:pPr>
              <w:rPr>
                <w:bCs w:val="0"/>
                <w:color w:val="000000"/>
                <w:sz w:val="18"/>
                <w:szCs w:val="18"/>
                <w:lang w:eastAsia="en-GB"/>
              </w:rPr>
            </w:pPr>
            <w:r w:rsidRPr="007523BD">
              <w:rPr>
                <w:bCs w:val="0"/>
                <w:color w:val="000000"/>
                <w:sz w:val="18"/>
                <w:szCs w:val="18"/>
                <w:lang w:eastAsia="en-GB"/>
              </w:rPr>
              <w:t>AFE</w:t>
            </w:r>
          </w:p>
        </w:tc>
        <w:tc>
          <w:tcPr>
            <w:tcW w:w="4146" w:type="pct"/>
            <w:hideMark/>
          </w:tcPr>
          <w:p w14:paraId="69D3AA00"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en-GB"/>
              </w:rPr>
            </w:pPr>
            <w:r w:rsidRPr="007523BD">
              <w:rPr>
                <w:color w:val="000000"/>
                <w:sz w:val="18"/>
                <w:szCs w:val="18"/>
                <w:lang w:eastAsia="en-GB"/>
              </w:rPr>
              <w:t xml:space="preserve">Agence Financière de l'Etat </w:t>
            </w:r>
          </w:p>
        </w:tc>
      </w:tr>
      <w:tr w:rsidR="00A66C88" w:rsidRPr="007523BD" w14:paraId="00975A66"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6E0C8A87"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BCC</w:t>
            </w:r>
          </w:p>
        </w:tc>
        <w:tc>
          <w:tcPr>
            <w:tcW w:w="4146" w:type="pct"/>
            <w:hideMark/>
          </w:tcPr>
          <w:p w14:paraId="722B4232" w14:textId="77777777"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en-GB"/>
              </w:rPr>
            </w:pPr>
            <w:r w:rsidRPr="007523BD">
              <w:rPr>
                <w:color w:val="000000"/>
                <w:sz w:val="18"/>
                <w:szCs w:val="18"/>
                <w:lang w:eastAsia="fr-FR"/>
              </w:rPr>
              <w:t>Banque Centrale du Congo</w:t>
            </w:r>
          </w:p>
        </w:tc>
      </w:tr>
      <w:tr w:rsidR="00A66C88" w:rsidRPr="007523BD" w14:paraId="13AF29B0"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4973B3A0"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CAMI</w:t>
            </w:r>
          </w:p>
        </w:tc>
        <w:tc>
          <w:tcPr>
            <w:tcW w:w="4146" w:type="pct"/>
            <w:hideMark/>
          </w:tcPr>
          <w:p w14:paraId="76BEE048"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en-GB"/>
              </w:rPr>
            </w:pPr>
            <w:r w:rsidRPr="007523BD">
              <w:rPr>
                <w:color w:val="000000"/>
                <w:sz w:val="18"/>
                <w:szCs w:val="18"/>
                <w:lang w:eastAsia="fr-FR"/>
              </w:rPr>
              <w:t>Cadastre Minier</w:t>
            </w:r>
          </w:p>
        </w:tc>
      </w:tr>
      <w:tr w:rsidR="00A66C88" w:rsidRPr="007523BD" w14:paraId="0A62F15B"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41DEFE68"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CDF</w:t>
            </w:r>
          </w:p>
        </w:tc>
        <w:tc>
          <w:tcPr>
            <w:tcW w:w="4146" w:type="pct"/>
            <w:hideMark/>
          </w:tcPr>
          <w:p w14:paraId="22D2C1D6" w14:textId="50531790"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en-GB"/>
              </w:rPr>
            </w:pPr>
            <w:r w:rsidRPr="007523BD">
              <w:rPr>
                <w:color w:val="000000"/>
                <w:sz w:val="18"/>
                <w:szCs w:val="18"/>
                <w:lang w:eastAsia="fr-FR"/>
              </w:rPr>
              <w:t>Franc Congolais (</w:t>
            </w:r>
            <w:proofErr w:type="spellStart"/>
            <w:r w:rsidRPr="007523BD">
              <w:rPr>
                <w:color w:val="000000"/>
                <w:sz w:val="18"/>
                <w:szCs w:val="18"/>
                <w:lang w:eastAsia="fr-FR"/>
              </w:rPr>
              <w:t>Congolese</w:t>
            </w:r>
            <w:proofErr w:type="spellEnd"/>
            <w:r w:rsidRPr="007523BD">
              <w:rPr>
                <w:color w:val="000000"/>
                <w:sz w:val="18"/>
                <w:szCs w:val="18"/>
                <w:lang w:eastAsia="fr-FR"/>
              </w:rPr>
              <w:t xml:space="preserve"> </w:t>
            </w:r>
            <w:proofErr w:type="spellStart"/>
            <w:r w:rsidRPr="007523BD">
              <w:rPr>
                <w:color w:val="000000"/>
                <w:sz w:val="18"/>
                <w:szCs w:val="18"/>
                <w:lang w:eastAsia="fr-FR"/>
              </w:rPr>
              <w:t>Democratic</w:t>
            </w:r>
            <w:proofErr w:type="spellEnd"/>
            <w:r w:rsidRPr="007523BD">
              <w:rPr>
                <w:color w:val="000000"/>
                <w:sz w:val="18"/>
                <w:szCs w:val="18"/>
                <w:lang w:eastAsia="fr-FR"/>
              </w:rPr>
              <w:t xml:space="preserve"> Franc)</w:t>
            </w:r>
          </w:p>
        </w:tc>
      </w:tr>
      <w:tr w:rsidR="00A66C88" w:rsidRPr="007523BD" w14:paraId="7936AFA6"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10D1F5E5"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CE</w:t>
            </w:r>
          </w:p>
        </w:tc>
        <w:tc>
          <w:tcPr>
            <w:tcW w:w="4146" w:type="pct"/>
            <w:hideMark/>
          </w:tcPr>
          <w:p w14:paraId="61D310C1"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en-GB"/>
              </w:rPr>
            </w:pPr>
            <w:r w:rsidRPr="007523BD">
              <w:rPr>
                <w:color w:val="000000"/>
                <w:sz w:val="18"/>
                <w:szCs w:val="18"/>
                <w:lang w:eastAsia="fr-FR"/>
              </w:rPr>
              <w:t>Comité Exécutif</w:t>
            </w:r>
          </w:p>
        </w:tc>
      </w:tr>
      <w:tr w:rsidR="00A66C88" w:rsidRPr="007523BD" w14:paraId="4CC31EC9"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tcPr>
          <w:p w14:paraId="41FD76F4" w14:textId="77777777" w:rsidR="00A66C88" w:rsidRPr="007523BD" w:rsidRDefault="00A66C88" w:rsidP="0054038F">
            <w:pPr>
              <w:rPr>
                <w:bCs w:val="0"/>
                <w:color w:val="000000"/>
                <w:sz w:val="18"/>
                <w:szCs w:val="18"/>
                <w:lang w:eastAsia="fr-FR"/>
              </w:rPr>
            </w:pPr>
            <w:r>
              <w:rPr>
                <w:bCs w:val="0"/>
                <w:color w:val="000000"/>
                <w:sz w:val="18"/>
                <w:szCs w:val="18"/>
                <w:lang w:eastAsia="fr-FR"/>
              </w:rPr>
              <w:t>CEEC</w:t>
            </w:r>
          </w:p>
        </w:tc>
        <w:tc>
          <w:tcPr>
            <w:tcW w:w="4146" w:type="pct"/>
          </w:tcPr>
          <w:p w14:paraId="33C94E07" w14:textId="77777777"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fr-FR"/>
              </w:rPr>
            </w:pPr>
            <w:r w:rsidRPr="00A271BE">
              <w:rPr>
                <w:color w:val="000000"/>
                <w:sz w:val="18"/>
                <w:szCs w:val="18"/>
                <w:lang w:eastAsia="fr-FR"/>
              </w:rPr>
              <w:t>Centre d'Evaluation, d'Expertise et de Certification</w:t>
            </w:r>
          </w:p>
        </w:tc>
      </w:tr>
      <w:tr w:rsidR="00A66C88" w:rsidRPr="007523BD" w14:paraId="23303993"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tcPr>
          <w:p w14:paraId="7480E05B" w14:textId="77777777" w:rsidR="00A66C88" w:rsidRPr="007523BD" w:rsidRDefault="00A66C88" w:rsidP="0054038F">
            <w:pPr>
              <w:rPr>
                <w:bCs w:val="0"/>
                <w:color w:val="000000"/>
                <w:sz w:val="18"/>
                <w:szCs w:val="18"/>
                <w:lang w:eastAsia="fr-FR"/>
              </w:rPr>
            </w:pPr>
            <w:r w:rsidRPr="007523BD">
              <w:rPr>
                <w:bCs w:val="0"/>
                <w:color w:val="000000"/>
                <w:sz w:val="18"/>
                <w:szCs w:val="18"/>
                <w:lang w:eastAsia="fr-FR"/>
              </w:rPr>
              <w:t>CPP</w:t>
            </w:r>
          </w:p>
        </w:tc>
        <w:tc>
          <w:tcPr>
            <w:tcW w:w="4146" w:type="pct"/>
          </w:tcPr>
          <w:p w14:paraId="0F2BED03"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fr-FR"/>
              </w:rPr>
            </w:pPr>
            <w:r w:rsidRPr="007523BD">
              <w:rPr>
                <w:color w:val="000000"/>
                <w:sz w:val="18"/>
                <w:szCs w:val="18"/>
                <w:lang w:eastAsia="fr-FR"/>
              </w:rPr>
              <w:t>Contrat de Partage de Production</w:t>
            </w:r>
          </w:p>
        </w:tc>
      </w:tr>
      <w:tr w:rsidR="00A66C88" w:rsidRPr="007523BD" w14:paraId="25E8AE78"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tcPr>
          <w:p w14:paraId="746014E2" w14:textId="6A79EA63" w:rsidR="00A66C88" w:rsidRPr="007523BD" w:rsidRDefault="00A66C88" w:rsidP="0054038F">
            <w:pPr>
              <w:rPr>
                <w:color w:val="000000"/>
                <w:sz w:val="18"/>
                <w:szCs w:val="18"/>
                <w:lang w:eastAsia="fr-FR"/>
              </w:rPr>
            </w:pPr>
            <w:r>
              <w:rPr>
                <w:color w:val="000000"/>
                <w:sz w:val="18"/>
                <w:szCs w:val="18"/>
                <w:lang w:eastAsia="fr-FR"/>
              </w:rPr>
              <w:t>CTCPM</w:t>
            </w:r>
          </w:p>
        </w:tc>
        <w:tc>
          <w:tcPr>
            <w:tcW w:w="4146" w:type="pct"/>
          </w:tcPr>
          <w:p w14:paraId="250E0529" w14:textId="5100C064" w:rsidR="00A66C88" w:rsidRPr="00A66C88" w:rsidRDefault="00A66C88" w:rsidP="0054038F">
            <w:pPr>
              <w:cnfStyle w:val="000000000000" w:firstRow="0" w:lastRow="0" w:firstColumn="0" w:lastColumn="0" w:oddVBand="0" w:evenVBand="0" w:oddHBand="0" w:evenHBand="0" w:firstRowFirstColumn="0" w:firstRowLastColumn="0" w:lastRowFirstColumn="0" w:lastRowLastColumn="0"/>
              <w:rPr>
                <w:color w:val="000000"/>
                <w:sz w:val="18"/>
                <w:szCs w:val="18"/>
                <w:lang w:eastAsia="fr-FR"/>
              </w:rPr>
            </w:pPr>
            <w:r w:rsidRPr="00A66C88">
              <w:rPr>
                <w:color w:val="000000"/>
                <w:sz w:val="18"/>
                <w:szCs w:val="18"/>
                <w:lang w:eastAsia="fr-FR"/>
              </w:rPr>
              <w:t>Cellule Technique de Coordination et de Planification Minière</w:t>
            </w:r>
          </w:p>
        </w:tc>
      </w:tr>
      <w:tr w:rsidR="00A66C88" w:rsidRPr="007523BD" w14:paraId="6071B136"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tcPr>
          <w:p w14:paraId="0C1D79B2" w14:textId="77777777" w:rsidR="00A66C88" w:rsidRPr="007523BD" w:rsidRDefault="00A66C88" w:rsidP="0054038F">
            <w:pPr>
              <w:rPr>
                <w:bCs w:val="0"/>
                <w:color w:val="000000"/>
                <w:sz w:val="18"/>
                <w:szCs w:val="18"/>
                <w:lang w:eastAsia="fr-FR"/>
              </w:rPr>
            </w:pPr>
            <w:r w:rsidRPr="007523BD">
              <w:rPr>
                <w:bCs w:val="0"/>
                <w:color w:val="000000"/>
                <w:sz w:val="18"/>
                <w:szCs w:val="18"/>
                <w:lang w:eastAsia="fr-FR"/>
              </w:rPr>
              <w:t>CTR</w:t>
            </w:r>
          </w:p>
        </w:tc>
        <w:tc>
          <w:tcPr>
            <w:tcW w:w="4146" w:type="pct"/>
          </w:tcPr>
          <w:p w14:paraId="61D26B77" w14:textId="77777777" w:rsidR="00A66C88" w:rsidRPr="00A66C88" w:rsidRDefault="00A66C88" w:rsidP="0054038F">
            <w:pPr>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A66C88">
              <w:rPr>
                <w:color w:val="000000"/>
                <w:sz w:val="18"/>
                <w:szCs w:val="18"/>
                <w:lang w:eastAsia="fr-FR"/>
              </w:rPr>
              <w:t>Comité Technique de suivi et évaluation des Réformes</w:t>
            </w:r>
          </w:p>
        </w:tc>
      </w:tr>
      <w:tr w:rsidR="00A66C88" w:rsidRPr="007523BD" w14:paraId="5C1F40D2"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2D1A1FFE"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DGDA</w:t>
            </w:r>
          </w:p>
        </w:tc>
        <w:tc>
          <w:tcPr>
            <w:tcW w:w="4146" w:type="pct"/>
            <w:hideMark/>
          </w:tcPr>
          <w:p w14:paraId="5E4A1BF4" w14:textId="77777777"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en-GB"/>
              </w:rPr>
            </w:pPr>
            <w:r w:rsidRPr="007523BD">
              <w:rPr>
                <w:color w:val="000000"/>
                <w:sz w:val="18"/>
                <w:szCs w:val="18"/>
                <w:lang w:eastAsia="fr-FR"/>
              </w:rPr>
              <w:t>Direction Générale des Douanes et Accises</w:t>
            </w:r>
          </w:p>
        </w:tc>
      </w:tr>
      <w:tr w:rsidR="00A66C88" w:rsidRPr="007523BD" w14:paraId="6F4926DF"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3606A8AF"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DGI</w:t>
            </w:r>
          </w:p>
        </w:tc>
        <w:tc>
          <w:tcPr>
            <w:tcW w:w="4146" w:type="pct"/>
            <w:hideMark/>
          </w:tcPr>
          <w:p w14:paraId="388206BC"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en-GB"/>
              </w:rPr>
            </w:pPr>
            <w:r w:rsidRPr="007523BD">
              <w:rPr>
                <w:color w:val="000000"/>
                <w:sz w:val="18"/>
                <w:szCs w:val="18"/>
                <w:lang w:eastAsia="fr-FR"/>
              </w:rPr>
              <w:t xml:space="preserve">Direction Générale des Impôts </w:t>
            </w:r>
          </w:p>
        </w:tc>
      </w:tr>
      <w:tr w:rsidR="00A66C88" w:rsidRPr="007523BD" w14:paraId="086F0445"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64652B47"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 xml:space="preserve">DGRAD </w:t>
            </w:r>
          </w:p>
        </w:tc>
        <w:tc>
          <w:tcPr>
            <w:tcW w:w="4146" w:type="pct"/>
            <w:hideMark/>
          </w:tcPr>
          <w:p w14:paraId="183A1CC9" w14:textId="77777777"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en-GB"/>
              </w:rPr>
            </w:pPr>
            <w:r w:rsidRPr="007523BD">
              <w:rPr>
                <w:color w:val="000000"/>
                <w:sz w:val="18"/>
                <w:szCs w:val="18"/>
                <w:lang w:eastAsia="fr-FR"/>
              </w:rPr>
              <w:t xml:space="preserve">Direction Générale des Recettes Administratives, Judiciaires, Domaniales et de Participation </w:t>
            </w:r>
          </w:p>
        </w:tc>
      </w:tr>
      <w:tr w:rsidR="00A66C88" w:rsidRPr="007523BD" w14:paraId="6BCC8BB1"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tcPr>
          <w:p w14:paraId="260375DA" w14:textId="77777777" w:rsidR="00A66C88" w:rsidRPr="007523BD" w:rsidRDefault="00A66C88" w:rsidP="0054038F">
            <w:pPr>
              <w:rPr>
                <w:bCs w:val="0"/>
                <w:color w:val="000000"/>
                <w:sz w:val="18"/>
                <w:szCs w:val="18"/>
                <w:lang w:eastAsia="fr-FR"/>
              </w:rPr>
            </w:pPr>
            <w:r>
              <w:rPr>
                <w:bCs w:val="0"/>
                <w:color w:val="000000"/>
                <w:sz w:val="18"/>
                <w:szCs w:val="18"/>
                <w:lang w:eastAsia="fr-FR"/>
              </w:rPr>
              <w:t>DPSB</w:t>
            </w:r>
          </w:p>
        </w:tc>
        <w:tc>
          <w:tcPr>
            <w:tcW w:w="4146" w:type="pct"/>
          </w:tcPr>
          <w:p w14:paraId="6DCCFB2B"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fr-FR"/>
              </w:rPr>
            </w:pPr>
            <w:r w:rsidRPr="00002CA8">
              <w:rPr>
                <w:color w:val="000000"/>
                <w:sz w:val="18"/>
                <w:szCs w:val="18"/>
                <w:lang w:eastAsia="fr-FR"/>
              </w:rPr>
              <w:t>Direction de la Préparation et du Suivi du Budget</w:t>
            </w:r>
          </w:p>
        </w:tc>
      </w:tr>
      <w:tr w:rsidR="00A66C88" w:rsidRPr="007523BD" w14:paraId="0CF3284E"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2117F4DF" w14:textId="44EA7865" w:rsidR="00A66C88" w:rsidRPr="007523BD" w:rsidRDefault="00A66C88" w:rsidP="0054038F">
            <w:pPr>
              <w:rPr>
                <w:bCs w:val="0"/>
                <w:color w:val="000000"/>
                <w:sz w:val="18"/>
                <w:szCs w:val="18"/>
                <w:lang w:eastAsia="en-GB"/>
              </w:rPr>
            </w:pPr>
            <w:r w:rsidRPr="007523BD">
              <w:rPr>
                <w:bCs w:val="0"/>
                <w:color w:val="000000"/>
                <w:sz w:val="18"/>
                <w:szCs w:val="18"/>
                <w:lang w:eastAsia="fr-FR"/>
              </w:rPr>
              <w:t>DR</w:t>
            </w:r>
            <w:r>
              <w:rPr>
                <w:color w:val="000000"/>
                <w:sz w:val="18"/>
                <w:szCs w:val="18"/>
                <w:lang w:eastAsia="fr-FR"/>
              </w:rPr>
              <w:t>H</w:t>
            </w:r>
            <w:r w:rsidRPr="007523BD">
              <w:rPr>
                <w:bCs w:val="0"/>
                <w:color w:val="000000"/>
                <w:sz w:val="18"/>
                <w:szCs w:val="18"/>
                <w:lang w:eastAsia="fr-FR"/>
              </w:rPr>
              <w:t>KAT</w:t>
            </w:r>
          </w:p>
        </w:tc>
        <w:tc>
          <w:tcPr>
            <w:tcW w:w="4146" w:type="pct"/>
            <w:hideMark/>
          </w:tcPr>
          <w:p w14:paraId="2F19D452" w14:textId="5C805EC3" w:rsidR="00A66C88" w:rsidRPr="007523BD" w:rsidRDefault="00A66C88" w:rsidP="00A66C88">
            <w:pPr>
              <w:cnfStyle w:val="000000000000" w:firstRow="0" w:lastRow="0" w:firstColumn="0" w:lastColumn="0" w:oddVBand="0" w:evenVBand="0" w:oddHBand="0" w:evenHBand="0" w:firstRowFirstColumn="0" w:firstRowLastColumn="0" w:lastRowFirstColumn="0" w:lastRowLastColumn="0"/>
              <w:rPr>
                <w:bCs/>
                <w:color w:val="000000"/>
                <w:sz w:val="18"/>
                <w:szCs w:val="18"/>
                <w:lang w:eastAsia="en-GB"/>
              </w:rPr>
            </w:pPr>
            <w:r w:rsidRPr="007523BD">
              <w:rPr>
                <w:color w:val="000000"/>
                <w:sz w:val="18"/>
                <w:szCs w:val="18"/>
                <w:lang w:eastAsia="fr-FR"/>
              </w:rPr>
              <w:t>Direction Provinciale des Recettes du</w:t>
            </w:r>
            <w:r>
              <w:rPr>
                <w:color w:val="000000"/>
                <w:sz w:val="18"/>
                <w:szCs w:val="18"/>
                <w:lang w:eastAsia="fr-FR"/>
              </w:rPr>
              <w:t xml:space="preserve"> Haut-</w:t>
            </w:r>
            <w:r w:rsidRPr="007523BD">
              <w:rPr>
                <w:color w:val="000000"/>
                <w:sz w:val="18"/>
                <w:szCs w:val="18"/>
                <w:lang w:eastAsia="fr-FR"/>
              </w:rPr>
              <w:t>Katanga</w:t>
            </w:r>
          </w:p>
        </w:tc>
      </w:tr>
      <w:tr w:rsidR="00A66C88" w:rsidRPr="007523BD" w14:paraId="1509D591"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tcPr>
          <w:p w14:paraId="12CA6BBC" w14:textId="3552C590" w:rsidR="00A66C88" w:rsidRDefault="00A66C88" w:rsidP="0054038F">
            <w:pPr>
              <w:rPr>
                <w:color w:val="000000"/>
                <w:sz w:val="18"/>
                <w:szCs w:val="18"/>
                <w:lang w:eastAsia="fr-FR"/>
              </w:rPr>
            </w:pPr>
            <w:r>
              <w:rPr>
                <w:color w:val="000000"/>
                <w:sz w:val="18"/>
                <w:szCs w:val="18"/>
                <w:lang w:eastAsia="fr-FR"/>
              </w:rPr>
              <w:t>DRLU</w:t>
            </w:r>
          </w:p>
        </w:tc>
        <w:tc>
          <w:tcPr>
            <w:tcW w:w="4146" w:type="pct"/>
          </w:tcPr>
          <w:p w14:paraId="7A93D972" w14:textId="7D9EA568" w:rsidR="00A66C88" w:rsidRDefault="00A66C88" w:rsidP="0054038F">
            <w:pPr>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7523BD">
              <w:rPr>
                <w:color w:val="000000"/>
                <w:sz w:val="18"/>
                <w:szCs w:val="18"/>
                <w:lang w:eastAsia="fr-FR"/>
              </w:rPr>
              <w:t>Direction Provinciale des Recettes du</w:t>
            </w:r>
            <w:r>
              <w:rPr>
                <w:color w:val="000000"/>
                <w:sz w:val="18"/>
                <w:szCs w:val="18"/>
                <w:lang w:eastAsia="fr-FR"/>
              </w:rPr>
              <w:t xml:space="preserve"> Lualaba</w:t>
            </w:r>
          </w:p>
        </w:tc>
      </w:tr>
      <w:tr w:rsidR="00A66C88" w:rsidRPr="007523BD" w14:paraId="31B9D77B"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tcPr>
          <w:p w14:paraId="441D6819" w14:textId="418C67F2" w:rsidR="00A66C88" w:rsidRPr="007523BD" w:rsidRDefault="00A66C88" w:rsidP="0054038F">
            <w:pPr>
              <w:rPr>
                <w:color w:val="000000"/>
                <w:sz w:val="18"/>
                <w:szCs w:val="18"/>
                <w:lang w:eastAsia="fr-FR"/>
              </w:rPr>
            </w:pPr>
            <w:r>
              <w:rPr>
                <w:color w:val="000000"/>
                <w:sz w:val="18"/>
                <w:szCs w:val="18"/>
                <w:lang w:eastAsia="fr-FR"/>
              </w:rPr>
              <w:t>EIES</w:t>
            </w:r>
          </w:p>
        </w:tc>
        <w:tc>
          <w:tcPr>
            <w:tcW w:w="4146" w:type="pct"/>
          </w:tcPr>
          <w:p w14:paraId="372F6EC9" w14:textId="6ACE1BDD"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color w:val="000000"/>
                <w:sz w:val="18"/>
                <w:szCs w:val="18"/>
                <w:lang w:eastAsia="fr-FR"/>
              </w:rPr>
            </w:pPr>
            <w:r>
              <w:rPr>
                <w:color w:val="000000"/>
                <w:sz w:val="18"/>
                <w:szCs w:val="18"/>
                <w:lang w:eastAsia="fr-FR"/>
              </w:rPr>
              <w:t>Etude d’impact environnemental et Social</w:t>
            </w:r>
          </w:p>
        </w:tc>
      </w:tr>
      <w:tr w:rsidR="00A66C88" w:rsidRPr="007523BD" w14:paraId="68C57691"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302A30EC"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EPE</w:t>
            </w:r>
          </w:p>
        </w:tc>
        <w:tc>
          <w:tcPr>
            <w:tcW w:w="4146" w:type="pct"/>
            <w:hideMark/>
          </w:tcPr>
          <w:p w14:paraId="5DA39CDB"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en-GB"/>
              </w:rPr>
            </w:pPr>
            <w:r w:rsidRPr="007523BD">
              <w:rPr>
                <w:color w:val="000000"/>
                <w:sz w:val="18"/>
                <w:szCs w:val="18"/>
                <w:lang w:eastAsia="fr-FR"/>
              </w:rPr>
              <w:t>Entreprise du Portefeuille de l’Etat</w:t>
            </w:r>
          </w:p>
        </w:tc>
      </w:tr>
      <w:tr w:rsidR="00A66C88" w:rsidRPr="007523BD" w14:paraId="3B63F505"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tcPr>
          <w:p w14:paraId="7A627FEC" w14:textId="77777777" w:rsidR="00A66C88" w:rsidRPr="007523BD" w:rsidRDefault="00A66C88" w:rsidP="0054038F">
            <w:pPr>
              <w:rPr>
                <w:bCs w:val="0"/>
                <w:color w:val="000000"/>
                <w:sz w:val="18"/>
                <w:szCs w:val="18"/>
                <w:lang w:eastAsia="fr-FR"/>
              </w:rPr>
            </w:pPr>
            <w:r>
              <w:rPr>
                <w:bCs w:val="0"/>
                <w:color w:val="000000"/>
                <w:sz w:val="18"/>
                <w:szCs w:val="18"/>
                <w:lang w:eastAsia="fr-FR"/>
              </w:rPr>
              <w:t>ETD</w:t>
            </w:r>
          </w:p>
        </w:tc>
        <w:tc>
          <w:tcPr>
            <w:tcW w:w="4146" w:type="pct"/>
          </w:tcPr>
          <w:p w14:paraId="2FD28C7A" w14:textId="77777777"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fr-FR"/>
              </w:rPr>
            </w:pPr>
            <w:r w:rsidRPr="00A271BE">
              <w:rPr>
                <w:color w:val="000000"/>
                <w:sz w:val="18"/>
                <w:szCs w:val="18"/>
                <w:lang w:eastAsia="fr-FR"/>
              </w:rPr>
              <w:t>Entités Territoriales Décentralisés</w:t>
            </w:r>
          </w:p>
        </w:tc>
      </w:tr>
      <w:tr w:rsidR="00A66C88" w:rsidRPr="007523BD" w14:paraId="731E01A9"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04BB8C59"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GMP</w:t>
            </w:r>
          </w:p>
        </w:tc>
        <w:tc>
          <w:tcPr>
            <w:tcW w:w="4146" w:type="pct"/>
            <w:hideMark/>
          </w:tcPr>
          <w:p w14:paraId="2A03E968"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en-GB"/>
              </w:rPr>
            </w:pPr>
            <w:r w:rsidRPr="007523BD">
              <w:rPr>
                <w:color w:val="000000"/>
                <w:sz w:val="18"/>
                <w:szCs w:val="18"/>
                <w:lang w:eastAsia="fr-FR"/>
              </w:rPr>
              <w:t>Groupe Multipartite de l'ITIE</w:t>
            </w:r>
          </w:p>
        </w:tc>
      </w:tr>
      <w:tr w:rsidR="00A66C88" w:rsidRPr="007523BD" w14:paraId="46847747"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6132AA27"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IBP</w:t>
            </w:r>
          </w:p>
        </w:tc>
        <w:tc>
          <w:tcPr>
            <w:tcW w:w="4146" w:type="pct"/>
            <w:hideMark/>
          </w:tcPr>
          <w:p w14:paraId="6FB67A73" w14:textId="77777777"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en-GB"/>
              </w:rPr>
            </w:pPr>
            <w:r w:rsidRPr="007523BD">
              <w:rPr>
                <w:color w:val="000000"/>
                <w:sz w:val="18"/>
                <w:szCs w:val="18"/>
                <w:lang w:eastAsia="fr-FR"/>
              </w:rPr>
              <w:t>Impôt sur les Bénéfices et Profits</w:t>
            </w:r>
          </w:p>
        </w:tc>
      </w:tr>
      <w:tr w:rsidR="00A66C88" w:rsidRPr="007523BD" w14:paraId="5BF86708"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742D4CCF"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IGF</w:t>
            </w:r>
          </w:p>
        </w:tc>
        <w:tc>
          <w:tcPr>
            <w:tcW w:w="4146" w:type="pct"/>
            <w:hideMark/>
          </w:tcPr>
          <w:p w14:paraId="08E889BA"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en-GB"/>
              </w:rPr>
            </w:pPr>
            <w:r w:rsidRPr="007523BD">
              <w:rPr>
                <w:color w:val="000000"/>
                <w:sz w:val="18"/>
                <w:szCs w:val="18"/>
                <w:lang w:eastAsia="fr-FR"/>
              </w:rPr>
              <w:t>Inspection Générale des Finances</w:t>
            </w:r>
          </w:p>
        </w:tc>
      </w:tr>
      <w:tr w:rsidR="000F6775" w:rsidRPr="007523BD" w14:paraId="7E51627D"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tcPr>
          <w:p w14:paraId="61CF7C1D" w14:textId="133C55EA" w:rsidR="000F6775" w:rsidRPr="007523BD" w:rsidRDefault="000F6775" w:rsidP="0054038F">
            <w:pPr>
              <w:rPr>
                <w:color w:val="000000"/>
                <w:sz w:val="18"/>
                <w:szCs w:val="18"/>
                <w:lang w:eastAsia="fr-FR"/>
              </w:rPr>
            </w:pPr>
            <w:r>
              <w:rPr>
                <w:color w:val="000000"/>
                <w:sz w:val="18"/>
                <w:szCs w:val="18"/>
                <w:lang w:eastAsia="fr-FR"/>
              </w:rPr>
              <w:t>INS</w:t>
            </w:r>
          </w:p>
        </w:tc>
        <w:tc>
          <w:tcPr>
            <w:tcW w:w="4146" w:type="pct"/>
          </w:tcPr>
          <w:p w14:paraId="6FD94C4F" w14:textId="0CB8B945" w:rsidR="000F6775" w:rsidRPr="007523BD" w:rsidRDefault="000F6775" w:rsidP="0054038F">
            <w:pPr>
              <w:cnfStyle w:val="000000000000" w:firstRow="0" w:lastRow="0" w:firstColumn="0" w:lastColumn="0" w:oddVBand="0" w:evenVBand="0" w:oddHBand="0" w:evenHBand="0" w:firstRowFirstColumn="0" w:firstRowLastColumn="0" w:lastRowFirstColumn="0" w:lastRowLastColumn="0"/>
              <w:rPr>
                <w:color w:val="000000"/>
                <w:sz w:val="18"/>
                <w:szCs w:val="18"/>
                <w:lang w:eastAsia="fr-FR"/>
              </w:rPr>
            </w:pPr>
            <w:r>
              <w:rPr>
                <w:color w:val="000000"/>
                <w:sz w:val="18"/>
                <w:szCs w:val="18"/>
                <w:lang w:eastAsia="fr-FR"/>
              </w:rPr>
              <w:t>Institut National des Statistiques</w:t>
            </w:r>
          </w:p>
        </w:tc>
      </w:tr>
      <w:tr w:rsidR="00A66C88" w:rsidRPr="007523BD" w14:paraId="5C52FC63"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tcPr>
          <w:p w14:paraId="63957C2A" w14:textId="77777777" w:rsidR="00A66C88" w:rsidRPr="007523BD" w:rsidRDefault="00A66C88" w:rsidP="0054038F">
            <w:pPr>
              <w:rPr>
                <w:bCs w:val="0"/>
                <w:color w:val="000000"/>
                <w:sz w:val="18"/>
                <w:szCs w:val="18"/>
                <w:lang w:eastAsia="fr-FR"/>
              </w:rPr>
            </w:pPr>
            <w:r w:rsidRPr="007523BD">
              <w:rPr>
                <w:bCs w:val="0"/>
                <w:color w:val="000000"/>
                <w:sz w:val="18"/>
                <w:szCs w:val="18"/>
                <w:lang w:eastAsia="fr-FR"/>
              </w:rPr>
              <w:t>INSS</w:t>
            </w:r>
          </w:p>
        </w:tc>
        <w:tc>
          <w:tcPr>
            <w:tcW w:w="4146" w:type="pct"/>
          </w:tcPr>
          <w:p w14:paraId="78C9446D"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fr-FR"/>
              </w:rPr>
            </w:pPr>
            <w:r w:rsidRPr="007523BD">
              <w:rPr>
                <w:color w:val="000000"/>
                <w:sz w:val="18"/>
                <w:szCs w:val="18"/>
                <w:lang w:eastAsia="fr-FR"/>
              </w:rPr>
              <w:t>Institut National de Sécurité Sociale</w:t>
            </w:r>
          </w:p>
        </w:tc>
      </w:tr>
      <w:tr w:rsidR="00A66C88" w:rsidRPr="007523BD" w14:paraId="5BC2F37E"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16F004AB"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ITIE</w:t>
            </w:r>
          </w:p>
        </w:tc>
        <w:tc>
          <w:tcPr>
            <w:tcW w:w="4146" w:type="pct"/>
            <w:hideMark/>
          </w:tcPr>
          <w:p w14:paraId="10EFD4CA" w14:textId="77777777"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en-GB"/>
              </w:rPr>
            </w:pPr>
            <w:r w:rsidRPr="007523BD">
              <w:rPr>
                <w:color w:val="000000"/>
                <w:sz w:val="18"/>
                <w:szCs w:val="18"/>
                <w:lang w:eastAsia="fr-FR"/>
              </w:rPr>
              <w:t>Initiative pour la Transparence dans les Industries Extractives</w:t>
            </w:r>
          </w:p>
        </w:tc>
      </w:tr>
      <w:tr w:rsidR="00A66C88" w:rsidRPr="007523BD" w14:paraId="1398E28E"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610405C2"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JV</w:t>
            </w:r>
          </w:p>
        </w:tc>
        <w:tc>
          <w:tcPr>
            <w:tcW w:w="4146" w:type="pct"/>
            <w:hideMark/>
          </w:tcPr>
          <w:p w14:paraId="725DCD46"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en-GB"/>
              </w:rPr>
            </w:pPr>
            <w:r w:rsidRPr="007523BD">
              <w:rPr>
                <w:color w:val="000000"/>
                <w:sz w:val="18"/>
                <w:szCs w:val="18"/>
                <w:lang w:eastAsia="fr-FR"/>
              </w:rPr>
              <w:t>Contrat d'association (Joint-Venture)</w:t>
            </w:r>
          </w:p>
        </w:tc>
      </w:tr>
      <w:tr w:rsidR="000F6775" w:rsidRPr="007523BD" w14:paraId="594B2235"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tcPr>
          <w:p w14:paraId="51CA5B85" w14:textId="326C229F" w:rsidR="000F6775" w:rsidRDefault="000F6775" w:rsidP="0054038F">
            <w:pPr>
              <w:rPr>
                <w:color w:val="000000"/>
                <w:sz w:val="18"/>
                <w:szCs w:val="18"/>
                <w:lang w:eastAsia="fr-FR"/>
              </w:rPr>
            </w:pPr>
            <w:r>
              <w:rPr>
                <w:color w:val="000000"/>
                <w:sz w:val="18"/>
                <w:szCs w:val="18"/>
                <w:lang w:eastAsia="fr-FR"/>
              </w:rPr>
              <w:t>LMB</w:t>
            </w:r>
          </w:p>
        </w:tc>
        <w:tc>
          <w:tcPr>
            <w:tcW w:w="4146" w:type="pct"/>
          </w:tcPr>
          <w:p w14:paraId="5B25EEE8" w14:textId="7978FFA8" w:rsidR="000F6775" w:rsidRDefault="000F6775" w:rsidP="000F6775">
            <w:pPr>
              <w:cnfStyle w:val="000000000000" w:firstRow="0" w:lastRow="0" w:firstColumn="0" w:lastColumn="0" w:oddVBand="0" w:evenVBand="0" w:oddHBand="0" w:evenHBand="0" w:firstRowFirstColumn="0" w:firstRowLastColumn="0" w:lastRowFirstColumn="0" w:lastRowLastColumn="0"/>
              <w:rPr>
                <w:color w:val="000000"/>
                <w:sz w:val="18"/>
                <w:szCs w:val="18"/>
                <w:lang w:eastAsia="fr-FR"/>
              </w:rPr>
            </w:pPr>
            <w:r>
              <w:rPr>
                <w:color w:val="000000"/>
                <w:sz w:val="18"/>
                <w:szCs w:val="18"/>
                <w:lang w:eastAsia="fr-FR"/>
              </w:rPr>
              <w:t xml:space="preserve">London </w:t>
            </w:r>
            <w:proofErr w:type="spellStart"/>
            <w:r>
              <w:rPr>
                <w:color w:val="000000"/>
                <w:sz w:val="18"/>
                <w:szCs w:val="18"/>
                <w:lang w:eastAsia="fr-FR"/>
              </w:rPr>
              <w:t>Metal</w:t>
            </w:r>
            <w:proofErr w:type="spellEnd"/>
            <w:r>
              <w:rPr>
                <w:color w:val="000000"/>
                <w:sz w:val="18"/>
                <w:szCs w:val="18"/>
                <w:lang w:eastAsia="fr-FR"/>
              </w:rPr>
              <w:t xml:space="preserve"> Bulletin</w:t>
            </w:r>
          </w:p>
        </w:tc>
      </w:tr>
      <w:tr w:rsidR="000F6775" w:rsidRPr="007523BD" w14:paraId="7E860045"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tcPr>
          <w:p w14:paraId="54485DD0" w14:textId="75C54894" w:rsidR="000F6775" w:rsidRPr="007523BD" w:rsidRDefault="000F6775" w:rsidP="0054038F">
            <w:pPr>
              <w:rPr>
                <w:color w:val="000000"/>
                <w:sz w:val="18"/>
                <w:szCs w:val="18"/>
                <w:lang w:eastAsia="fr-FR"/>
              </w:rPr>
            </w:pPr>
            <w:r>
              <w:rPr>
                <w:color w:val="000000"/>
                <w:sz w:val="18"/>
                <w:szCs w:val="18"/>
                <w:lang w:eastAsia="fr-FR"/>
              </w:rPr>
              <w:t>LME</w:t>
            </w:r>
          </w:p>
        </w:tc>
        <w:tc>
          <w:tcPr>
            <w:tcW w:w="4146" w:type="pct"/>
          </w:tcPr>
          <w:p w14:paraId="7743C914" w14:textId="42AC59CB" w:rsidR="000F6775" w:rsidRPr="007523BD" w:rsidRDefault="000F6775" w:rsidP="000F6775">
            <w:pPr>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Pr>
                <w:color w:val="000000"/>
                <w:sz w:val="18"/>
                <w:szCs w:val="18"/>
                <w:lang w:eastAsia="fr-FR"/>
              </w:rPr>
              <w:t xml:space="preserve">London </w:t>
            </w:r>
            <w:proofErr w:type="spellStart"/>
            <w:r>
              <w:rPr>
                <w:color w:val="000000"/>
                <w:sz w:val="18"/>
                <w:szCs w:val="18"/>
                <w:lang w:eastAsia="fr-FR"/>
              </w:rPr>
              <w:t>Metal</w:t>
            </w:r>
            <w:proofErr w:type="spellEnd"/>
            <w:r>
              <w:rPr>
                <w:color w:val="000000"/>
                <w:sz w:val="18"/>
                <w:szCs w:val="18"/>
                <w:lang w:eastAsia="fr-FR"/>
              </w:rPr>
              <w:t xml:space="preserve"> Exchange</w:t>
            </w:r>
          </w:p>
        </w:tc>
      </w:tr>
      <w:tr w:rsidR="00A66C88" w:rsidRPr="007523BD" w14:paraId="12C11077"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tcPr>
          <w:p w14:paraId="6B381941" w14:textId="77777777" w:rsidR="00A66C88" w:rsidRPr="007523BD" w:rsidRDefault="00A66C88" w:rsidP="0054038F">
            <w:pPr>
              <w:rPr>
                <w:bCs w:val="0"/>
                <w:color w:val="000000"/>
                <w:sz w:val="18"/>
                <w:szCs w:val="18"/>
                <w:lang w:eastAsia="fr-FR"/>
              </w:rPr>
            </w:pPr>
            <w:r w:rsidRPr="007523BD">
              <w:rPr>
                <w:bCs w:val="0"/>
                <w:color w:val="000000"/>
                <w:sz w:val="18"/>
                <w:szCs w:val="18"/>
                <w:lang w:eastAsia="fr-FR"/>
              </w:rPr>
              <w:t>MEDD</w:t>
            </w:r>
          </w:p>
        </w:tc>
        <w:tc>
          <w:tcPr>
            <w:tcW w:w="4146" w:type="pct"/>
          </w:tcPr>
          <w:p w14:paraId="622DD13E" w14:textId="77777777"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fr-FR"/>
              </w:rPr>
            </w:pPr>
            <w:r w:rsidRPr="007523BD">
              <w:rPr>
                <w:color w:val="000000"/>
                <w:sz w:val="18"/>
                <w:szCs w:val="18"/>
                <w:lang w:eastAsia="fr-FR"/>
              </w:rPr>
              <w:t>Ministère de l’</w:t>
            </w:r>
            <w:r w:rsidRPr="00002CA8">
              <w:rPr>
                <w:color w:val="000000"/>
                <w:sz w:val="18"/>
                <w:szCs w:val="18"/>
                <w:lang w:eastAsia="fr-FR"/>
              </w:rPr>
              <w:t>Environ</w:t>
            </w:r>
            <w:r w:rsidRPr="007523BD">
              <w:rPr>
                <w:color w:val="000000"/>
                <w:sz w:val="18"/>
                <w:szCs w:val="18"/>
                <w:lang w:eastAsia="fr-FR"/>
              </w:rPr>
              <w:t>nement et Développement Durable</w:t>
            </w:r>
          </w:p>
        </w:tc>
      </w:tr>
      <w:tr w:rsidR="00522415" w:rsidRPr="007523BD" w14:paraId="3EA55A67"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tcPr>
          <w:p w14:paraId="537BC6EA" w14:textId="6889F64F" w:rsidR="00522415" w:rsidRDefault="00522415" w:rsidP="0054038F">
            <w:pPr>
              <w:rPr>
                <w:color w:val="000000"/>
                <w:sz w:val="18"/>
                <w:szCs w:val="18"/>
                <w:lang w:eastAsia="fr-FR"/>
              </w:rPr>
            </w:pPr>
            <w:r>
              <w:rPr>
                <w:color w:val="000000"/>
                <w:sz w:val="18"/>
                <w:szCs w:val="18"/>
                <w:lang w:eastAsia="fr-FR"/>
              </w:rPr>
              <w:t>NIF</w:t>
            </w:r>
          </w:p>
        </w:tc>
        <w:tc>
          <w:tcPr>
            <w:tcW w:w="4146" w:type="pct"/>
          </w:tcPr>
          <w:p w14:paraId="4E8AD1F4" w14:textId="0FBB2D30" w:rsidR="00522415" w:rsidRPr="00A271BE" w:rsidRDefault="00522415" w:rsidP="0054038F">
            <w:pPr>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Pr>
                <w:color w:val="000000"/>
                <w:sz w:val="18"/>
                <w:szCs w:val="18"/>
                <w:lang w:eastAsia="fr-FR"/>
              </w:rPr>
              <w:t>Numéro Identifiant Fiscal</w:t>
            </w:r>
          </w:p>
        </w:tc>
      </w:tr>
      <w:tr w:rsidR="00A66C88" w:rsidRPr="007523BD" w14:paraId="0D9677FD"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tcPr>
          <w:p w14:paraId="13A17003" w14:textId="77777777" w:rsidR="00A66C88" w:rsidRPr="007523BD" w:rsidRDefault="00A66C88" w:rsidP="0054038F">
            <w:pPr>
              <w:rPr>
                <w:bCs w:val="0"/>
                <w:color w:val="000000"/>
                <w:sz w:val="18"/>
                <w:szCs w:val="18"/>
                <w:lang w:eastAsia="fr-FR"/>
              </w:rPr>
            </w:pPr>
            <w:r>
              <w:rPr>
                <w:bCs w:val="0"/>
                <w:color w:val="000000"/>
                <w:sz w:val="18"/>
                <w:szCs w:val="18"/>
                <w:lang w:eastAsia="fr-FR"/>
              </w:rPr>
              <w:t>OCC</w:t>
            </w:r>
          </w:p>
        </w:tc>
        <w:tc>
          <w:tcPr>
            <w:tcW w:w="4146" w:type="pct"/>
          </w:tcPr>
          <w:p w14:paraId="3352E135" w14:textId="77777777"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fr-FR"/>
              </w:rPr>
            </w:pPr>
            <w:r w:rsidRPr="00A271BE">
              <w:rPr>
                <w:color w:val="000000"/>
                <w:sz w:val="18"/>
                <w:szCs w:val="18"/>
                <w:lang w:eastAsia="fr-FR"/>
              </w:rPr>
              <w:t>Office Congolais de Contrôle</w:t>
            </w:r>
          </w:p>
        </w:tc>
      </w:tr>
      <w:tr w:rsidR="00A66C88" w:rsidRPr="007523BD" w14:paraId="3B21487A"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tcPr>
          <w:p w14:paraId="6085CE32" w14:textId="77777777" w:rsidR="00A66C88" w:rsidRPr="007523BD" w:rsidRDefault="00A66C88" w:rsidP="0054038F">
            <w:pPr>
              <w:rPr>
                <w:bCs w:val="0"/>
                <w:color w:val="000000"/>
                <w:sz w:val="18"/>
                <w:szCs w:val="18"/>
                <w:lang w:eastAsia="fr-FR"/>
              </w:rPr>
            </w:pPr>
            <w:r>
              <w:rPr>
                <w:bCs w:val="0"/>
                <w:color w:val="000000"/>
                <w:sz w:val="18"/>
                <w:szCs w:val="18"/>
                <w:lang w:eastAsia="fr-FR"/>
              </w:rPr>
              <w:t>OHADA</w:t>
            </w:r>
          </w:p>
        </w:tc>
        <w:tc>
          <w:tcPr>
            <w:tcW w:w="4146" w:type="pct"/>
          </w:tcPr>
          <w:p w14:paraId="0844313B"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fr-FR"/>
              </w:rPr>
            </w:pPr>
            <w:r w:rsidRPr="00002CA8">
              <w:rPr>
                <w:color w:val="000000"/>
                <w:sz w:val="18"/>
                <w:szCs w:val="18"/>
                <w:lang w:eastAsia="fr-FR"/>
              </w:rPr>
              <w:t>Organisation pour l’Harmonisation en Afrique du Droit des Affaires</w:t>
            </w:r>
          </w:p>
        </w:tc>
      </w:tr>
      <w:tr w:rsidR="004521CD" w:rsidRPr="007523BD" w14:paraId="596A9C53"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tcPr>
          <w:p w14:paraId="7668A3FC" w14:textId="69FBF337" w:rsidR="004521CD" w:rsidRPr="007523BD" w:rsidRDefault="004521CD" w:rsidP="0054038F">
            <w:pPr>
              <w:rPr>
                <w:color w:val="000000"/>
                <w:sz w:val="18"/>
                <w:szCs w:val="18"/>
                <w:lang w:eastAsia="fr-FR"/>
              </w:rPr>
            </w:pPr>
            <w:r>
              <w:rPr>
                <w:color w:val="000000"/>
                <w:sz w:val="18"/>
                <w:szCs w:val="18"/>
                <w:lang w:eastAsia="fr-FR"/>
              </w:rPr>
              <w:t>ONEM</w:t>
            </w:r>
          </w:p>
        </w:tc>
        <w:tc>
          <w:tcPr>
            <w:tcW w:w="4146" w:type="pct"/>
          </w:tcPr>
          <w:p w14:paraId="2767EFE3" w14:textId="66B684A3" w:rsidR="004521CD" w:rsidRPr="007523BD" w:rsidRDefault="004521CD" w:rsidP="0054038F">
            <w:pPr>
              <w:cnfStyle w:val="000000000000" w:firstRow="0" w:lastRow="0" w:firstColumn="0" w:lastColumn="0" w:oddVBand="0" w:evenVBand="0" w:oddHBand="0" w:evenHBand="0" w:firstRowFirstColumn="0" w:firstRowLastColumn="0" w:lastRowFirstColumn="0" w:lastRowLastColumn="0"/>
              <w:rPr>
                <w:color w:val="000000"/>
                <w:sz w:val="18"/>
                <w:szCs w:val="18"/>
                <w:lang w:eastAsia="fr-FR"/>
              </w:rPr>
            </w:pPr>
            <w:r>
              <w:rPr>
                <w:color w:val="000000"/>
                <w:sz w:val="18"/>
                <w:szCs w:val="18"/>
                <w:lang w:eastAsia="fr-FR"/>
              </w:rPr>
              <w:t>Office National de l’Emploi</w:t>
            </w:r>
          </w:p>
        </w:tc>
      </w:tr>
      <w:tr w:rsidR="00A66C88" w:rsidRPr="007523BD" w14:paraId="44247162"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06E631F6"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PAR</w:t>
            </w:r>
          </w:p>
        </w:tc>
        <w:tc>
          <w:tcPr>
            <w:tcW w:w="4146" w:type="pct"/>
            <w:hideMark/>
          </w:tcPr>
          <w:p w14:paraId="48176257"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en-GB"/>
              </w:rPr>
            </w:pPr>
            <w:r w:rsidRPr="007523BD">
              <w:rPr>
                <w:color w:val="000000"/>
                <w:sz w:val="18"/>
                <w:szCs w:val="18"/>
                <w:lang w:eastAsia="fr-FR"/>
              </w:rPr>
              <w:t>Programme d’Atténuation et de Réhabilitation</w:t>
            </w:r>
          </w:p>
        </w:tc>
      </w:tr>
      <w:tr w:rsidR="00A66C88" w:rsidRPr="007523BD" w14:paraId="157D0F84"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5CB0245C" w14:textId="43C05740" w:rsidR="00A66C88" w:rsidRPr="007523BD" w:rsidRDefault="00A66C88" w:rsidP="0054038F">
            <w:pPr>
              <w:rPr>
                <w:bCs w:val="0"/>
                <w:color w:val="000000"/>
                <w:sz w:val="18"/>
                <w:szCs w:val="18"/>
                <w:lang w:eastAsia="en-GB"/>
              </w:rPr>
            </w:pPr>
            <w:r w:rsidRPr="007523BD">
              <w:rPr>
                <w:bCs w:val="0"/>
                <w:color w:val="000000"/>
                <w:sz w:val="18"/>
                <w:szCs w:val="18"/>
                <w:lang w:eastAsia="fr-FR"/>
              </w:rPr>
              <w:t>PGE</w:t>
            </w:r>
            <w:r>
              <w:rPr>
                <w:color w:val="000000"/>
                <w:sz w:val="18"/>
                <w:szCs w:val="18"/>
                <w:lang w:eastAsia="fr-FR"/>
              </w:rPr>
              <w:t>S</w:t>
            </w:r>
          </w:p>
        </w:tc>
        <w:tc>
          <w:tcPr>
            <w:tcW w:w="4146" w:type="pct"/>
            <w:hideMark/>
          </w:tcPr>
          <w:p w14:paraId="6C6FBB9B" w14:textId="44E0081E"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en-GB"/>
              </w:rPr>
            </w:pPr>
            <w:r w:rsidRPr="007523BD">
              <w:rPr>
                <w:color w:val="000000"/>
                <w:sz w:val="18"/>
                <w:szCs w:val="18"/>
                <w:lang w:eastAsia="fr-FR"/>
              </w:rPr>
              <w:t>Plan de Gestion Environnemental</w:t>
            </w:r>
            <w:r>
              <w:rPr>
                <w:color w:val="000000"/>
                <w:sz w:val="18"/>
                <w:szCs w:val="18"/>
                <w:lang w:eastAsia="fr-FR"/>
              </w:rPr>
              <w:t xml:space="preserve"> et Social</w:t>
            </w:r>
          </w:p>
        </w:tc>
      </w:tr>
      <w:tr w:rsidR="00A66C88" w:rsidRPr="007523BD" w14:paraId="6C95ACF2"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79C8E522"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PE</w:t>
            </w:r>
          </w:p>
        </w:tc>
        <w:tc>
          <w:tcPr>
            <w:tcW w:w="4146" w:type="pct"/>
            <w:hideMark/>
          </w:tcPr>
          <w:p w14:paraId="2B0B53AC"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en-GB"/>
              </w:rPr>
            </w:pPr>
            <w:r w:rsidRPr="007523BD">
              <w:rPr>
                <w:color w:val="000000"/>
                <w:sz w:val="18"/>
                <w:szCs w:val="18"/>
                <w:lang w:eastAsia="fr-FR"/>
              </w:rPr>
              <w:t>Permis d'Exploitation</w:t>
            </w:r>
          </w:p>
        </w:tc>
      </w:tr>
      <w:tr w:rsidR="00A66C88" w:rsidRPr="007523BD" w14:paraId="1D537097"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4518BA59"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PER</w:t>
            </w:r>
          </w:p>
        </w:tc>
        <w:tc>
          <w:tcPr>
            <w:tcW w:w="4146" w:type="pct"/>
            <w:hideMark/>
          </w:tcPr>
          <w:p w14:paraId="60B1BAAD" w14:textId="77777777"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en-GB"/>
              </w:rPr>
            </w:pPr>
            <w:r w:rsidRPr="007523BD">
              <w:rPr>
                <w:color w:val="000000"/>
                <w:sz w:val="18"/>
                <w:szCs w:val="18"/>
                <w:lang w:eastAsia="fr-FR"/>
              </w:rPr>
              <w:t>Permis d'Exploitation des Rejets</w:t>
            </w:r>
          </w:p>
        </w:tc>
      </w:tr>
      <w:tr w:rsidR="004521CD" w:rsidRPr="007523BD" w14:paraId="19B0F22B"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tcPr>
          <w:p w14:paraId="511CC7C2" w14:textId="34472A39" w:rsidR="004521CD" w:rsidRPr="007523BD" w:rsidRDefault="004521CD" w:rsidP="0054038F">
            <w:pPr>
              <w:rPr>
                <w:color w:val="000000"/>
                <w:sz w:val="18"/>
                <w:szCs w:val="18"/>
                <w:lang w:eastAsia="fr-FR"/>
              </w:rPr>
            </w:pPr>
            <w:r>
              <w:rPr>
                <w:color w:val="000000"/>
                <w:sz w:val="18"/>
                <w:szCs w:val="18"/>
                <w:lang w:eastAsia="fr-FR"/>
              </w:rPr>
              <w:t>PIB</w:t>
            </w:r>
          </w:p>
        </w:tc>
        <w:tc>
          <w:tcPr>
            <w:tcW w:w="4146" w:type="pct"/>
          </w:tcPr>
          <w:p w14:paraId="5828361E" w14:textId="0C7B3CB0" w:rsidR="004521CD" w:rsidRPr="007523BD" w:rsidRDefault="004521CD" w:rsidP="0054038F">
            <w:pPr>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Pr>
                <w:color w:val="000000"/>
                <w:sz w:val="18"/>
                <w:szCs w:val="18"/>
                <w:lang w:eastAsia="fr-FR"/>
              </w:rPr>
              <w:t>Produit Intérieur Brut</w:t>
            </w:r>
          </w:p>
        </w:tc>
      </w:tr>
      <w:tr w:rsidR="00A66C88" w:rsidRPr="007523BD" w14:paraId="7B3F67B8"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2513205B"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PR</w:t>
            </w:r>
          </w:p>
        </w:tc>
        <w:tc>
          <w:tcPr>
            <w:tcW w:w="4146" w:type="pct"/>
            <w:hideMark/>
          </w:tcPr>
          <w:p w14:paraId="69CD122E" w14:textId="77777777"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en-GB"/>
              </w:rPr>
            </w:pPr>
            <w:r w:rsidRPr="007523BD">
              <w:rPr>
                <w:color w:val="000000"/>
                <w:sz w:val="18"/>
                <w:szCs w:val="18"/>
                <w:lang w:eastAsia="fr-FR"/>
              </w:rPr>
              <w:t>Permis de Recherche</w:t>
            </w:r>
          </w:p>
        </w:tc>
      </w:tr>
      <w:tr w:rsidR="00A66C88" w:rsidRPr="007523BD" w14:paraId="7356E272"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4A7AE518"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PEPM</w:t>
            </w:r>
          </w:p>
        </w:tc>
        <w:tc>
          <w:tcPr>
            <w:tcW w:w="4146" w:type="pct"/>
            <w:hideMark/>
          </w:tcPr>
          <w:p w14:paraId="67B3AF3F"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en-GB"/>
              </w:rPr>
            </w:pPr>
            <w:r w:rsidRPr="007523BD">
              <w:rPr>
                <w:color w:val="000000"/>
                <w:sz w:val="18"/>
                <w:szCs w:val="18"/>
                <w:lang w:eastAsia="fr-FR"/>
              </w:rPr>
              <w:t>Permis d'Exploitation de Petite Mine</w:t>
            </w:r>
          </w:p>
        </w:tc>
      </w:tr>
      <w:tr w:rsidR="00A66C88" w:rsidRPr="007523BD" w14:paraId="3DD3F083"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519093B0"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RDC</w:t>
            </w:r>
          </w:p>
        </w:tc>
        <w:tc>
          <w:tcPr>
            <w:tcW w:w="4146" w:type="pct"/>
            <w:hideMark/>
          </w:tcPr>
          <w:p w14:paraId="327E9982" w14:textId="77777777"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en-GB"/>
              </w:rPr>
            </w:pPr>
            <w:r w:rsidRPr="007523BD">
              <w:rPr>
                <w:color w:val="000000"/>
                <w:sz w:val="18"/>
                <w:szCs w:val="18"/>
                <w:lang w:eastAsia="fr-FR"/>
              </w:rPr>
              <w:t xml:space="preserve">République Démocratique du Congo </w:t>
            </w:r>
          </w:p>
        </w:tc>
      </w:tr>
      <w:tr w:rsidR="004521CD" w:rsidRPr="007523BD" w14:paraId="36C12A61"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tcPr>
          <w:p w14:paraId="6FA400E4" w14:textId="2B839BB7" w:rsidR="004521CD" w:rsidRDefault="004521CD" w:rsidP="0054038F">
            <w:pPr>
              <w:rPr>
                <w:color w:val="000000"/>
                <w:sz w:val="18"/>
                <w:szCs w:val="18"/>
                <w:lang w:eastAsia="fr-FR"/>
              </w:rPr>
            </w:pPr>
            <w:r>
              <w:rPr>
                <w:color w:val="000000"/>
                <w:sz w:val="18"/>
                <w:szCs w:val="18"/>
                <w:lang w:eastAsia="fr-FR"/>
              </w:rPr>
              <w:t>SACIM</w:t>
            </w:r>
          </w:p>
        </w:tc>
        <w:tc>
          <w:tcPr>
            <w:tcW w:w="4146" w:type="pct"/>
          </w:tcPr>
          <w:p w14:paraId="01C32723" w14:textId="226F4C1B" w:rsidR="004521CD" w:rsidRDefault="004521CD" w:rsidP="0054038F">
            <w:pPr>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Pr>
                <w:color w:val="000000"/>
                <w:sz w:val="18"/>
                <w:szCs w:val="18"/>
                <w:lang w:eastAsia="fr-FR"/>
              </w:rPr>
              <w:t>Société Anhui Congo d’Investissement Minière</w:t>
            </w:r>
          </w:p>
        </w:tc>
      </w:tr>
      <w:tr w:rsidR="00A66C88" w:rsidRPr="007523BD" w14:paraId="68505E08"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tcPr>
          <w:p w14:paraId="521EBF27" w14:textId="6E343D3C" w:rsidR="00A66C88" w:rsidRPr="007523BD" w:rsidRDefault="00A66C88" w:rsidP="0054038F">
            <w:pPr>
              <w:rPr>
                <w:color w:val="000000"/>
                <w:sz w:val="18"/>
                <w:szCs w:val="18"/>
                <w:lang w:eastAsia="fr-FR"/>
              </w:rPr>
            </w:pPr>
            <w:r>
              <w:rPr>
                <w:color w:val="000000"/>
                <w:sz w:val="18"/>
                <w:szCs w:val="18"/>
                <w:lang w:eastAsia="fr-FR"/>
              </w:rPr>
              <w:t>SAEMAP (ex SAESSCAM)</w:t>
            </w:r>
          </w:p>
        </w:tc>
        <w:tc>
          <w:tcPr>
            <w:tcW w:w="4146" w:type="pct"/>
          </w:tcPr>
          <w:p w14:paraId="00982858" w14:textId="24A511B3"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color w:val="000000"/>
                <w:sz w:val="18"/>
                <w:szCs w:val="18"/>
                <w:lang w:eastAsia="fr-FR"/>
              </w:rPr>
            </w:pPr>
            <w:r>
              <w:rPr>
                <w:color w:val="000000"/>
                <w:sz w:val="18"/>
                <w:szCs w:val="18"/>
                <w:lang w:eastAsia="fr-FR"/>
              </w:rPr>
              <w:t>Service d’Assistance et d’encadrement de l’exploitation Minière à Petite échelle</w:t>
            </w:r>
          </w:p>
        </w:tc>
      </w:tr>
      <w:tr w:rsidR="004521CD" w:rsidRPr="007523BD" w14:paraId="6AABD78F"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tcPr>
          <w:p w14:paraId="0C19A3F7" w14:textId="5D796D47" w:rsidR="004521CD" w:rsidRPr="007523BD" w:rsidRDefault="004521CD" w:rsidP="0054038F">
            <w:pPr>
              <w:rPr>
                <w:color w:val="000000"/>
                <w:sz w:val="18"/>
                <w:szCs w:val="18"/>
                <w:lang w:eastAsia="fr-FR"/>
              </w:rPr>
            </w:pPr>
            <w:r>
              <w:rPr>
                <w:color w:val="000000"/>
                <w:sz w:val="18"/>
                <w:szCs w:val="18"/>
                <w:lang w:eastAsia="fr-FR"/>
              </w:rPr>
              <w:t>SAKIMA</w:t>
            </w:r>
          </w:p>
        </w:tc>
        <w:tc>
          <w:tcPr>
            <w:tcW w:w="4146" w:type="pct"/>
          </w:tcPr>
          <w:p w14:paraId="4EB4018A" w14:textId="30F3D5EF" w:rsidR="004521CD" w:rsidRPr="007523BD" w:rsidRDefault="004521CD" w:rsidP="0054038F">
            <w:pPr>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Pr>
                <w:color w:val="000000"/>
                <w:sz w:val="18"/>
                <w:szCs w:val="18"/>
                <w:lang w:eastAsia="fr-FR"/>
              </w:rPr>
              <w:t>Société Aurifère du Kivu et de Maniema</w:t>
            </w:r>
          </w:p>
        </w:tc>
      </w:tr>
      <w:tr w:rsidR="00A66C88" w:rsidRPr="007523BD" w14:paraId="6DD4075E"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06BE94BB"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SGH</w:t>
            </w:r>
          </w:p>
        </w:tc>
        <w:tc>
          <w:tcPr>
            <w:tcW w:w="4146" w:type="pct"/>
            <w:hideMark/>
          </w:tcPr>
          <w:p w14:paraId="585C73D1" w14:textId="77777777"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en-GB"/>
              </w:rPr>
            </w:pPr>
            <w:r w:rsidRPr="007523BD">
              <w:rPr>
                <w:color w:val="000000"/>
                <w:sz w:val="18"/>
                <w:szCs w:val="18"/>
                <w:lang w:eastAsia="fr-FR"/>
              </w:rPr>
              <w:t>Secrétariat Général des Hydrocarbures</w:t>
            </w:r>
          </w:p>
        </w:tc>
      </w:tr>
      <w:tr w:rsidR="004521CD" w:rsidRPr="007523BD" w14:paraId="05D03B33"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tcPr>
          <w:p w14:paraId="38A7231F" w14:textId="207BC881" w:rsidR="004521CD" w:rsidRPr="007523BD" w:rsidRDefault="004521CD" w:rsidP="0054038F">
            <w:pPr>
              <w:rPr>
                <w:color w:val="000000"/>
                <w:sz w:val="18"/>
                <w:szCs w:val="18"/>
                <w:lang w:eastAsia="fr-FR"/>
              </w:rPr>
            </w:pPr>
            <w:r>
              <w:rPr>
                <w:color w:val="000000"/>
                <w:sz w:val="18"/>
                <w:szCs w:val="18"/>
                <w:lang w:eastAsia="fr-FR"/>
              </w:rPr>
              <w:t>SICOMINES</w:t>
            </w:r>
          </w:p>
        </w:tc>
        <w:tc>
          <w:tcPr>
            <w:tcW w:w="4146" w:type="pct"/>
          </w:tcPr>
          <w:p w14:paraId="7EFB3293" w14:textId="47C7C073" w:rsidR="004521CD" w:rsidRPr="007523BD" w:rsidRDefault="004521CD" w:rsidP="0054038F">
            <w:pPr>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Pr>
                <w:color w:val="000000"/>
                <w:sz w:val="18"/>
                <w:szCs w:val="18"/>
                <w:lang w:eastAsia="fr-FR"/>
              </w:rPr>
              <w:t>Sino-congolaise des Mines</w:t>
            </w:r>
          </w:p>
        </w:tc>
      </w:tr>
      <w:tr w:rsidR="00A66C88" w:rsidRPr="007523BD" w14:paraId="63832122"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7A2B974F"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ST</w:t>
            </w:r>
          </w:p>
        </w:tc>
        <w:tc>
          <w:tcPr>
            <w:tcW w:w="4146" w:type="pct"/>
            <w:hideMark/>
          </w:tcPr>
          <w:p w14:paraId="75589CC5" w14:textId="77777777"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en-GB"/>
              </w:rPr>
            </w:pPr>
            <w:r w:rsidRPr="007523BD">
              <w:rPr>
                <w:color w:val="000000"/>
                <w:sz w:val="18"/>
                <w:szCs w:val="18"/>
                <w:lang w:eastAsia="fr-FR"/>
              </w:rPr>
              <w:t>Secrétariat Technique</w:t>
            </w:r>
          </w:p>
        </w:tc>
      </w:tr>
      <w:tr w:rsidR="00A66C88" w:rsidRPr="007523BD" w14:paraId="1A16F954"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389B0106"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TVA</w:t>
            </w:r>
          </w:p>
        </w:tc>
        <w:tc>
          <w:tcPr>
            <w:tcW w:w="4146" w:type="pct"/>
            <w:hideMark/>
          </w:tcPr>
          <w:p w14:paraId="2D831DB2"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en-GB"/>
              </w:rPr>
            </w:pPr>
            <w:r w:rsidRPr="007523BD">
              <w:rPr>
                <w:color w:val="000000"/>
                <w:sz w:val="18"/>
                <w:szCs w:val="18"/>
                <w:lang w:eastAsia="fr-FR"/>
              </w:rPr>
              <w:t>Taxe sur la Valeur Ajoutée</w:t>
            </w:r>
          </w:p>
        </w:tc>
      </w:tr>
      <w:tr w:rsidR="00A66C88" w:rsidRPr="007523BD" w14:paraId="5FD3952D"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tcPr>
          <w:p w14:paraId="7E67BFD0" w14:textId="77777777" w:rsidR="00A66C88" w:rsidRPr="007523BD" w:rsidRDefault="00A66C88" w:rsidP="0054038F">
            <w:pPr>
              <w:rPr>
                <w:bCs w:val="0"/>
                <w:color w:val="000000"/>
                <w:sz w:val="18"/>
                <w:szCs w:val="18"/>
                <w:lang w:eastAsia="fr-FR"/>
              </w:rPr>
            </w:pPr>
            <w:r w:rsidRPr="007523BD">
              <w:rPr>
                <w:bCs w:val="0"/>
                <w:color w:val="000000"/>
                <w:sz w:val="18"/>
                <w:szCs w:val="18"/>
                <w:lang w:eastAsia="fr-FR"/>
              </w:rPr>
              <w:t>TVD</w:t>
            </w:r>
          </w:p>
        </w:tc>
        <w:tc>
          <w:tcPr>
            <w:tcW w:w="4146" w:type="pct"/>
          </w:tcPr>
          <w:p w14:paraId="6D368685" w14:textId="77777777"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fr-FR"/>
              </w:rPr>
            </w:pPr>
            <w:r w:rsidRPr="007523BD">
              <w:rPr>
                <w:color w:val="000000"/>
                <w:sz w:val="18"/>
                <w:szCs w:val="18"/>
                <w:lang w:eastAsia="fr-FR"/>
              </w:rPr>
              <w:t>Taxe voiries et drainage</w:t>
            </w:r>
          </w:p>
        </w:tc>
      </w:tr>
      <w:tr w:rsidR="00A66C88" w:rsidRPr="007523BD" w14:paraId="7045E837"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530EB8BC"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USD</w:t>
            </w:r>
          </w:p>
        </w:tc>
        <w:tc>
          <w:tcPr>
            <w:tcW w:w="4146" w:type="pct"/>
            <w:hideMark/>
          </w:tcPr>
          <w:p w14:paraId="76D1F8E2"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en-GB"/>
              </w:rPr>
            </w:pPr>
            <w:r w:rsidRPr="007523BD">
              <w:rPr>
                <w:color w:val="000000"/>
                <w:sz w:val="18"/>
                <w:szCs w:val="18"/>
                <w:lang w:eastAsia="fr-FR"/>
              </w:rPr>
              <w:t>Dollar des Etats-Unis d’Amérique (KUSD = mille dollars américains)</w:t>
            </w:r>
          </w:p>
        </w:tc>
      </w:tr>
    </w:tbl>
    <w:p w14:paraId="14748638" w14:textId="77777777" w:rsidR="00112CA3" w:rsidRDefault="00112CA3" w:rsidP="009F0B58">
      <w:pPr>
        <w:rPr>
          <w:rFonts w:ascii="Times New Roman" w:hAnsi="Times New Roman"/>
          <w:b/>
        </w:rPr>
      </w:pPr>
    </w:p>
    <w:p w14:paraId="6BF79E81" w14:textId="554DC166" w:rsidR="009F0B58" w:rsidRPr="00112CA3" w:rsidRDefault="009F0B58" w:rsidP="00112CA3">
      <w:pPr>
        <w:pStyle w:val="Titre1"/>
        <w:spacing w:line="360" w:lineRule="auto"/>
        <w:rPr>
          <w:rFonts w:ascii="Times New Roman" w:hAnsi="Times New Roman" w:cs="Times New Roman"/>
          <w:sz w:val="32"/>
        </w:rPr>
      </w:pPr>
      <w:bookmarkStart w:id="5" w:name="_Toc518468043"/>
      <w:r w:rsidRPr="00112CA3">
        <w:rPr>
          <w:rFonts w:ascii="Times New Roman" w:hAnsi="Times New Roman" w:cs="Times New Roman"/>
          <w:sz w:val="32"/>
        </w:rPr>
        <w:lastRenderedPageBreak/>
        <w:t>Résumé exécutif</w:t>
      </w:r>
      <w:bookmarkEnd w:id="5"/>
    </w:p>
    <w:p w14:paraId="25013D85" w14:textId="77777777" w:rsidR="009F0B58" w:rsidRPr="00533CC7" w:rsidRDefault="009F0B58" w:rsidP="00997119">
      <w:pPr>
        <w:spacing w:line="276" w:lineRule="auto"/>
        <w:jc w:val="both"/>
        <w:rPr>
          <w:rFonts w:ascii="Times New Roman" w:hAnsi="Times New Roman"/>
          <w:sz w:val="24"/>
          <w:szCs w:val="24"/>
        </w:rPr>
      </w:pPr>
      <w:r w:rsidRPr="00533CC7">
        <w:rPr>
          <w:rFonts w:ascii="Times New Roman" w:hAnsi="Times New Roman"/>
          <w:sz w:val="24"/>
          <w:szCs w:val="24"/>
        </w:rPr>
        <w:t>Le présent rapport est dit « </w:t>
      </w:r>
      <w:r w:rsidRPr="00E2672E">
        <w:rPr>
          <w:rFonts w:ascii="Times New Roman" w:hAnsi="Times New Roman"/>
          <w:b/>
          <w:color w:val="171717" w:themeColor="background2" w:themeShade="1A"/>
          <w:sz w:val="24"/>
          <w:szCs w:val="24"/>
        </w:rPr>
        <w:t>contextuel</w:t>
      </w:r>
      <w:r w:rsidRPr="00533CC7">
        <w:rPr>
          <w:rFonts w:ascii="Times New Roman" w:hAnsi="Times New Roman"/>
          <w:sz w:val="24"/>
          <w:szCs w:val="24"/>
        </w:rPr>
        <w:t xml:space="preserve"> » parce qu’il contient des informations qui facilitent la compréhension et la bonne utilisation des données du Rapport de conciliation ITIE-RDC 2016 en élaboration. </w:t>
      </w:r>
    </w:p>
    <w:p w14:paraId="3BA1E5D8" w14:textId="77777777" w:rsidR="009F0B58" w:rsidRPr="00533CC7" w:rsidRDefault="009F0B58" w:rsidP="00997119">
      <w:pPr>
        <w:spacing w:line="276" w:lineRule="auto"/>
        <w:jc w:val="both"/>
        <w:rPr>
          <w:rFonts w:ascii="Times New Roman" w:hAnsi="Times New Roman"/>
          <w:sz w:val="24"/>
          <w:szCs w:val="24"/>
        </w:rPr>
      </w:pPr>
      <w:r w:rsidRPr="00533CC7">
        <w:rPr>
          <w:rFonts w:ascii="Times New Roman" w:hAnsi="Times New Roman"/>
          <w:sz w:val="24"/>
          <w:szCs w:val="24"/>
        </w:rPr>
        <w:t>Il permet aux citoyens de cerner le contexte dans lequel seront fournies les informations dudit rapport de conciliation, c’est-à-dire les paiements effectués par les industries extractives et les revenus collectés par les régies financières et les autres entités de l’Etat.</w:t>
      </w:r>
    </w:p>
    <w:p w14:paraId="4CFB50BB" w14:textId="04AB9017" w:rsidR="009F0B58" w:rsidRPr="00533CC7" w:rsidRDefault="009F0B58" w:rsidP="00997119">
      <w:pPr>
        <w:spacing w:line="276" w:lineRule="auto"/>
        <w:jc w:val="both"/>
        <w:rPr>
          <w:rFonts w:ascii="Times New Roman" w:hAnsi="Times New Roman"/>
        </w:rPr>
      </w:pPr>
      <w:r w:rsidRPr="00533CC7">
        <w:rPr>
          <w:rFonts w:ascii="Times New Roman" w:hAnsi="Times New Roman"/>
          <w:sz w:val="24"/>
          <w:szCs w:val="24"/>
        </w:rPr>
        <w:t xml:space="preserve">Il fournit les informations disponibles les plus récentes sur les points suivants articulés en onze chapitres : </w:t>
      </w:r>
      <w:r w:rsidRPr="00533CC7">
        <w:rPr>
          <w:rFonts w:ascii="Times New Roman" w:hAnsi="Times New Roman"/>
          <w:i/>
          <w:sz w:val="16"/>
          <w:szCs w:val="16"/>
        </w:rPr>
        <w:t>(1)</w:t>
      </w:r>
      <w:r w:rsidRPr="00533CC7">
        <w:rPr>
          <w:rFonts w:ascii="Times New Roman" w:hAnsi="Times New Roman"/>
          <w:sz w:val="24"/>
          <w:szCs w:val="24"/>
        </w:rPr>
        <w:t xml:space="preserve"> </w:t>
      </w:r>
      <w:bookmarkStart w:id="6" w:name="_Toc518314059"/>
      <w:r w:rsidRPr="00533CC7">
        <w:rPr>
          <w:rFonts w:ascii="Times New Roman" w:hAnsi="Times New Roman"/>
        </w:rPr>
        <w:t>cadre légal et régime fiscal applicables aux industries minières et pétrolières en RDC</w:t>
      </w:r>
      <w:bookmarkEnd w:id="6"/>
      <w:r w:rsidRPr="00533CC7">
        <w:rPr>
          <w:rFonts w:ascii="Times New Roman" w:hAnsi="Times New Roman"/>
        </w:rPr>
        <w:t xml:space="preserve"> ; </w:t>
      </w:r>
      <w:r w:rsidRPr="00533CC7">
        <w:rPr>
          <w:rFonts w:ascii="Times New Roman" w:hAnsi="Times New Roman"/>
          <w:i/>
          <w:sz w:val="16"/>
          <w:szCs w:val="16"/>
        </w:rPr>
        <w:t>(2)</w:t>
      </w:r>
      <w:r w:rsidRPr="00533CC7">
        <w:rPr>
          <w:rFonts w:ascii="Times New Roman" w:hAnsi="Times New Roman"/>
        </w:rPr>
        <w:t xml:space="preserve"> </w:t>
      </w:r>
      <w:bookmarkStart w:id="7" w:name="_Toc518314073"/>
      <w:r w:rsidRPr="00533CC7">
        <w:rPr>
          <w:rFonts w:ascii="Times New Roman" w:hAnsi="Times New Roman"/>
        </w:rPr>
        <w:t xml:space="preserve">octroi des droits miniers et </w:t>
      </w:r>
      <w:bookmarkEnd w:id="7"/>
      <w:r w:rsidRPr="00533CC7">
        <w:rPr>
          <w:rFonts w:ascii="Times New Roman" w:hAnsi="Times New Roman"/>
        </w:rPr>
        <w:t>pétroliers ;</w:t>
      </w:r>
      <w:bookmarkStart w:id="8" w:name="_Toc518314082"/>
      <w:r w:rsidRPr="00533CC7">
        <w:rPr>
          <w:rFonts w:ascii="Times New Roman" w:hAnsi="Times New Roman"/>
        </w:rPr>
        <w:t xml:space="preserve"> </w:t>
      </w:r>
      <w:r w:rsidRPr="00533CC7">
        <w:rPr>
          <w:rFonts w:ascii="Times New Roman" w:hAnsi="Times New Roman"/>
          <w:i/>
          <w:sz w:val="16"/>
          <w:szCs w:val="16"/>
        </w:rPr>
        <w:t>(3)</w:t>
      </w:r>
      <w:r w:rsidRPr="00533CC7">
        <w:rPr>
          <w:rFonts w:ascii="Times New Roman" w:hAnsi="Times New Roman"/>
        </w:rPr>
        <w:t xml:space="preserve"> Registre des droits</w:t>
      </w:r>
      <w:bookmarkEnd w:id="8"/>
      <w:r w:rsidRPr="00533CC7">
        <w:rPr>
          <w:rFonts w:ascii="Times New Roman" w:hAnsi="Times New Roman"/>
        </w:rPr>
        <w:t xml:space="preserve"> ; </w:t>
      </w:r>
      <w:bookmarkStart w:id="9" w:name="_Toc518314085"/>
      <w:r w:rsidRPr="00533CC7">
        <w:rPr>
          <w:rFonts w:ascii="Times New Roman" w:hAnsi="Times New Roman"/>
          <w:i/>
          <w:sz w:val="16"/>
          <w:szCs w:val="16"/>
        </w:rPr>
        <w:t>(4)</w:t>
      </w:r>
      <w:r w:rsidRPr="00533CC7">
        <w:rPr>
          <w:rFonts w:ascii="Times New Roman" w:hAnsi="Times New Roman"/>
          <w:i/>
          <w:sz w:val="24"/>
          <w:szCs w:val="24"/>
        </w:rPr>
        <w:t xml:space="preserve"> </w:t>
      </w:r>
      <w:r w:rsidRPr="00533CC7">
        <w:rPr>
          <w:rFonts w:ascii="Times New Roman" w:hAnsi="Times New Roman"/>
        </w:rPr>
        <w:t xml:space="preserve">politique de publication des contrats miniers et </w:t>
      </w:r>
      <w:bookmarkEnd w:id="9"/>
      <w:r w:rsidRPr="00533CC7">
        <w:rPr>
          <w:rFonts w:ascii="Times New Roman" w:hAnsi="Times New Roman"/>
        </w:rPr>
        <w:t xml:space="preserve">pétroliers ; </w:t>
      </w:r>
      <w:bookmarkStart w:id="10" w:name="_Toc518314086"/>
      <w:r w:rsidRPr="00533CC7">
        <w:rPr>
          <w:rFonts w:ascii="Times New Roman" w:hAnsi="Times New Roman"/>
          <w:i/>
          <w:sz w:val="16"/>
          <w:szCs w:val="16"/>
        </w:rPr>
        <w:t>(5)</w:t>
      </w:r>
      <w:r w:rsidRPr="00533CC7">
        <w:rPr>
          <w:rFonts w:ascii="Times New Roman" w:hAnsi="Times New Roman"/>
        </w:rPr>
        <w:t xml:space="preserve"> propriété réelle</w:t>
      </w:r>
      <w:bookmarkEnd w:id="10"/>
      <w:r w:rsidRPr="00533CC7">
        <w:rPr>
          <w:rFonts w:ascii="Times New Roman" w:hAnsi="Times New Roman"/>
        </w:rPr>
        <w:t> ;</w:t>
      </w:r>
      <w:bookmarkStart w:id="11" w:name="_Toc518314089"/>
      <w:r w:rsidRPr="00533CC7">
        <w:rPr>
          <w:rFonts w:ascii="Times New Roman" w:hAnsi="Times New Roman"/>
        </w:rPr>
        <w:t xml:space="preserve"> </w:t>
      </w:r>
      <w:r w:rsidRPr="00533CC7">
        <w:rPr>
          <w:rFonts w:ascii="Times New Roman" w:hAnsi="Times New Roman"/>
          <w:i/>
          <w:sz w:val="16"/>
          <w:szCs w:val="16"/>
        </w:rPr>
        <w:t>(6)</w:t>
      </w:r>
      <w:r w:rsidRPr="00533CC7">
        <w:rPr>
          <w:rFonts w:ascii="Times New Roman" w:hAnsi="Times New Roman"/>
          <w:i/>
          <w:sz w:val="24"/>
          <w:szCs w:val="24"/>
        </w:rPr>
        <w:t xml:space="preserve"> </w:t>
      </w:r>
      <w:r w:rsidRPr="00533CC7">
        <w:rPr>
          <w:rFonts w:ascii="Times New Roman" w:hAnsi="Times New Roman"/>
        </w:rPr>
        <w:t>prospection, production et exportation</w:t>
      </w:r>
      <w:bookmarkEnd w:id="11"/>
      <w:r w:rsidRPr="00533CC7">
        <w:rPr>
          <w:rFonts w:ascii="Times New Roman" w:hAnsi="Times New Roman"/>
        </w:rPr>
        <w:t>s ;</w:t>
      </w:r>
      <w:bookmarkStart w:id="12" w:name="_Toc518314099"/>
      <w:r w:rsidRPr="00533CC7">
        <w:rPr>
          <w:rFonts w:ascii="Times New Roman" w:hAnsi="Times New Roman"/>
        </w:rPr>
        <w:t xml:space="preserve"> </w:t>
      </w:r>
      <w:r w:rsidRPr="00533CC7">
        <w:rPr>
          <w:rFonts w:ascii="Times New Roman" w:hAnsi="Times New Roman"/>
          <w:i/>
          <w:sz w:val="16"/>
          <w:szCs w:val="16"/>
        </w:rPr>
        <w:t>(7)</w:t>
      </w:r>
      <w:r w:rsidRPr="00533CC7">
        <w:rPr>
          <w:rFonts w:ascii="Times New Roman" w:hAnsi="Times New Roman"/>
        </w:rPr>
        <w:t xml:space="preserve"> transferts infranationaux</w:t>
      </w:r>
      <w:bookmarkStart w:id="13" w:name="_Toc518314102"/>
      <w:bookmarkEnd w:id="12"/>
      <w:r w:rsidRPr="00533CC7">
        <w:rPr>
          <w:rFonts w:ascii="Times New Roman" w:hAnsi="Times New Roman"/>
        </w:rPr>
        <w:t xml:space="preserve"> ; </w:t>
      </w:r>
      <w:r w:rsidRPr="00533CC7">
        <w:rPr>
          <w:rFonts w:ascii="Times New Roman" w:hAnsi="Times New Roman"/>
          <w:i/>
          <w:sz w:val="16"/>
          <w:szCs w:val="16"/>
        </w:rPr>
        <w:t>(8)</w:t>
      </w:r>
      <w:r w:rsidRPr="00533CC7">
        <w:rPr>
          <w:rFonts w:ascii="Times New Roman" w:hAnsi="Times New Roman"/>
        </w:rPr>
        <w:t xml:space="preserve"> </w:t>
      </w:r>
      <w:bookmarkStart w:id="14" w:name="_Toc518314103"/>
      <w:bookmarkEnd w:id="13"/>
      <w:r w:rsidRPr="00533CC7">
        <w:rPr>
          <w:rFonts w:ascii="Times New Roman" w:hAnsi="Times New Roman"/>
        </w:rPr>
        <w:t>contribution économique et sociale du secteur extractif </w:t>
      </w:r>
      <w:bookmarkEnd w:id="14"/>
      <w:r w:rsidRPr="00533CC7">
        <w:rPr>
          <w:rFonts w:ascii="Times New Roman" w:hAnsi="Times New Roman"/>
        </w:rPr>
        <w:t xml:space="preserve">; </w:t>
      </w:r>
      <w:r w:rsidRPr="00533CC7">
        <w:rPr>
          <w:rFonts w:ascii="Times New Roman" w:hAnsi="Times New Roman"/>
          <w:i/>
          <w:sz w:val="16"/>
          <w:szCs w:val="16"/>
        </w:rPr>
        <w:t>(9)</w:t>
      </w:r>
      <w:bookmarkStart w:id="15" w:name="_Toc518314110"/>
      <w:r w:rsidRPr="00533CC7">
        <w:rPr>
          <w:rFonts w:ascii="Times New Roman" w:hAnsi="Times New Roman"/>
        </w:rPr>
        <w:t xml:space="preserve"> participation de l’Etat et </w:t>
      </w:r>
      <w:r w:rsidR="00E62198">
        <w:rPr>
          <w:rFonts w:ascii="Times New Roman" w:hAnsi="Times New Roman"/>
        </w:rPr>
        <w:t xml:space="preserve">la </w:t>
      </w:r>
      <w:r w:rsidRPr="00533CC7">
        <w:rPr>
          <w:rFonts w:ascii="Times New Roman" w:hAnsi="Times New Roman"/>
        </w:rPr>
        <w:t>situation spécifique des  EPE</w:t>
      </w:r>
      <w:bookmarkEnd w:id="15"/>
      <w:r w:rsidRPr="00533CC7">
        <w:rPr>
          <w:rFonts w:ascii="Times New Roman" w:hAnsi="Times New Roman"/>
        </w:rPr>
        <w:t xml:space="preserve"> ; </w:t>
      </w:r>
      <w:r w:rsidRPr="00533CC7">
        <w:rPr>
          <w:rFonts w:ascii="Times New Roman" w:hAnsi="Times New Roman"/>
          <w:i/>
          <w:sz w:val="16"/>
          <w:szCs w:val="16"/>
        </w:rPr>
        <w:t>(10)</w:t>
      </w:r>
      <w:r w:rsidRPr="00533CC7">
        <w:rPr>
          <w:rFonts w:ascii="Times New Roman" w:hAnsi="Times New Roman"/>
        </w:rPr>
        <w:t xml:space="preserve"> </w:t>
      </w:r>
      <w:bookmarkStart w:id="16" w:name="_Toc518314123"/>
      <w:r w:rsidRPr="00533CC7">
        <w:rPr>
          <w:rFonts w:ascii="Times New Roman" w:hAnsi="Times New Roman"/>
        </w:rPr>
        <w:t xml:space="preserve">processus </w:t>
      </w:r>
      <w:bookmarkEnd w:id="16"/>
      <w:r w:rsidR="00764894">
        <w:rPr>
          <w:rFonts w:ascii="Times New Roman" w:hAnsi="Times New Roman"/>
        </w:rPr>
        <w:t>d’élaboration du budget</w:t>
      </w:r>
      <w:r w:rsidRPr="00533CC7">
        <w:rPr>
          <w:rFonts w:ascii="Times New Roman" w:hAnsi="Times New Roman"/>
        </w:rPr>
        <w:t xml:space="preserve"> et </w:t>
      </w:r>
      <w:bookmarkStart w:id="17" w:name="_Toc518314126"/>
      <w:r w:rsidRPr="00533CC7">
        <w:rPr>
          <w:rFonts w:ascii="Times New Roman" w:hAnsi="Times New Roman"/>
          <w:i/>
          <w:sz w:val="16"/>
          <w:szCs w:val="16"/>
        </w:rPr>
        <w:t>(11)</w:t>
      </w:r>
      <w:r w:rsidRPr="00533CC7">
        <w:rPr>
          <w:rFonts w:ascii="Times New Roman" w:hAnsi="Times New Roman"/>
        </w:rPr>
        <w:t xml:space="preserve"> </w:t>
      </w:r>
      <w:r w:rsidR="00764894">
        <w:rPr>
          <w:rFonts w:ascii="Times New Roman" w:hAnsi="Times New Roman"/>
        </w:rPr>
        <w:t>évaluation de l’exécution</w:t>
      </w:r>
      <w:r w:rsidRPr="00533CC7">
        <w:rPr>
          <w:rFonts w:ascii="Times New Roman" w:hAnsi="Times New Roman"/>
        </w:rPr>
        <w:t xml:space="preserve"> des recommandations issues du rapportage ITIE</w:t>
      </w:r>
      <w:bookmarkEnd w:id="17"/>
      <w:r w:rsidRPr="00533CC7">
        <w:rPr>
          <w:rFonts w:ascii="Times New Roman" w:hAnsi="Times New Roman"/>
        </w:rPr>
        <w:t>.</w:t>
      </w:r>
    </w:p>
    <w:p w14:paraId="6054F7CA" w14:textId="77777777" w:rsidR="009F0B58" w:rsidRPr="00533CC7" w:rsidRDefault="009F0B58" w:rsidP="00997119">
      <w:pPr>
        <w:spacing w:line="276" w:lineRule="auto"/>
        <w:jc w:val="both"/>
        <w:rPr>
          <w:rFonts w:ascii="Times New Roman" w:hAnsi="Times New Roman"/>
        </w:rPr>
      </w:pPr>
      <w:r w:rsidRPr="00533CC7">
        <w:rPr>
          <w:rFonts w:ascii="Times New Roman" w:hAnsi="Times New Roman"/>
        </w:rPr>
        <w:t>Le chapitre relatif au cadre légal et au régime fiscal applicables aux industries minières et pétrolières en RDC donne un aperçu des lois et règlements appliqués dans les secteurs minier et pétrolier congolais tout en confrontant, au besoin, la théorie à la pratique.  Il souligne également les réformes qui sont entreprises ou envisagées dans ces secteurs et décrit, dans des tableaux annexes, les flux des revenus nationaux, infranationaux et ceux encadrés par les Entreprises du Portefeuille de l’Etat (EPE).</w:t>
      </w:r>
    </w:p>
    <w:p w14:paraId="36B2E2C4" w14:textId="77777777" w:rsidR="009F0B58" w:rsidRPr="00533CC7" w:rsidRDefault="009F0B58" w:rsidP="00997119">
      <w:pPr>
        <w:spacing w:line="276" w:lineRule="auto"/>
        <w:jc w:val="both"/>
        <w:rPr>
          <w:rFonts w:ascii="Times New Roman" w:hAnsi="Times New Roman"/>
        </w:rPr>
      </w:pPr>
      <w:r w:rsidRPr="00533CC7">
        <w:rPr>
          <w:rFonts w:ascii="Times New Roman" w:eastAsia="Times New Roman" w:hAnsi="Times New Roman"/>
          <w:sz w:val="24"/>
          <w:szCs w:val="24"/>
          <w:lang w:eastAsia="fr-FR"/>
        </w:rPr>
        <w:t>Les chapitres 2 et 3 fournissent des informations sur les procédures d'attribution des droits miniers et pétroliers appliquées par le CAMI et le SGH. A cet effet, le rapport décrit les procédures par appel d’offres pour les deux secteurs et la procédure par demande des droits pour le secteur minier. Il présente aussi les registres ainsi que les informations qu’ils contiennent.</w:t>
      </w:r>
    </w:p>
    <w:p w14:paraId="07B23FA4" w14:textId="77777777" w:rsidR="009F0B58" w:rsidRPr="00533CC7" w:rsidRDefault="009F0B58" w:rsidP="00997119">
      <w:pPr>
        <w:spacing w:after="0" w:line="276" w:lineRule="auto"/>
        <w:jc w:val="both"/>
        <w:rPr>
          <w:rFonts w:ascii="Times New Roman" w:hAnsi="Times New Roman"/>
        </w:rPr>
      </w:pPr>
      <w:r w:rsidRPr="00533CC7">
        <w:rPr>
          <w:rFonts w:ascii="Times New Roman" w:eastAsia="Times New Roman" w:hAnsi="Times New Roman"/>
          <w:color w:val="000000"/>
          <w:sz w:val="24"/>
          <w:szCs w:val="24"/>
          <w:lang w:eastAsia="fr-FR"/>
        </w:rPr>
        <w:t>Le chapitre 4 décrit la politique et la pratique de publication des contrats et leurs annexes.</w:t>
      </w:r>
      <w:r w:rsidRPr="00533CC7">
        <w:rPr>
          <w:rFonts w:ascii="Times New Roman" w:eastAsia="Times New Roman" w:hAnsi="Times New Roman"/>
          <w:color w:val="000000"/>
          <w:sz w:val="24"/>
          <w:szCs w:val="24"/>
          <w:highlight w:val="yellow"/>
          <w:lang w:eastAsia="fr-FR"/>
        </w:rPr>
        <w:t xml:space="preserve">    </w:t>
      </w:r>
    </w:p>
    <w:p w14:paraId="5C402029" w14:textId="77777777" w:rsidR="009F0B58" w:rsidRPr="00533CC7" w:rsidRDefault="009F0B58" w:rsidP="00997119">
      <w:pPr>
        <w:spacing w:before="240" w:line="276" w:lineRule="auto"/>
        <w:jc w:val="both"/>
        <w:rPr>
          <w:rFonts w:ascii="Times New Roman" w:hAnsi="Times New Roman"/>
        </w:rPr>
      </w:pPr>
      <w:r w:rsidRPr="00533CC7">
        <w:rPr>
          <w:rFonts w:ascii="Times New Roman" w:eastAsia="Times New Roman" w:hAnsi="Times New Roman"/>
          <w:sz w:val="24"/>
          <w:szCs w:val="24"/>
          <w:lang w:eastAsia="fr-FR"/>
        </w:rPr>
        <w:t>Le chapitre 5 contient les informations fournies par les entreprises sur les bénéficiaires effectifs des revenus qu’elles génèrent.  Il présente un état indicatif du résultat de la divulgation ainsi que des options levées par le Comité Exécutif dans le cadre du projet sur la propriété réelle et le niveau d’exécution de sa Feuille de route.</w:t>
      </w:r>
    </w:p>
    <w:p w14:paraId="231EBDD5" w14:textId="77777777" w:rsidR="009F0B58" w:rsidRPr="00533CC7" w:rsidRDefault="009F0B58" w:rsidP="00997119">
      <w:pPr>
        <w:spacing w:before="240" w:line="276" w:lineRule="auto"/>
        <w:jc w:val="both"/>
        <w:rPr>
          <w:rFonts w:ascii="Times New Roman" w:hAnsi="Times New Roman"/>
        </w:rPr>
      </w:pPr>
      <w:r w:rsidRPr="00533CC7">
        <w:rPr>
          <w:rFonts w:ascii="Times New Roman" w:hAnsi="Times New Roman"/>
        </w:rPr>
        <w:t>Le chapitre 6 renseigne sur l’activité de prospection menée ainsi que les données de production et des exportations des industries extractives.</w:t>
      </w:r>
    </w:p>
    <w:p w14:paraId="6D654E4C" w14:textId="77777777" w:rsidR="009F0B58" w:rsidRPr="00533CC7" w:rsidRDefault="009F0B58" w:rsidP="00997119">
      <w:pPr>
        <w:spacing w:line="276" w:lineRule="auto"/>
        <w:jc w:val="both"/>
        <w:rPr>
          <w:rFonts w:ascii="Times New Roman" w:hAnsi="Times New Roman"/>
        </w:rPr>
      </w:pPr>
      <w:r w:rsidRPr="00533CC7">
        <w:rPr>
          <w:rFonts w:ascii="Times New Roman" w:hAnsi="Times New Roman"/>
        </w:rPr>
        <w:t>Le chapitre 7 présente le mécanisme de transfert de la redevance minière, du Gouvernement Central aux provinces et aux ETD, conformément à la clé de répartition fixée par la Constitution, le Code minier ou les règlements.</w:t>
      </w:r>
    </w:p>
    <w:p w14:paraId="6279A31B" w14:textId="77777777" w:rsidR="009F0B58" w:rsidRPr="00533CC7" w:rsidRDefault="009F0B58" w:rsidP="00997119">
      <w:pPr>
        <w:spacing w:line="276" w:lineRule="auto"/>
        <w:jc w:val="both"/>
        <w:rPr>
          <w:rFonts w:ascii="Times New Roman" w:hAnsi="Times New Roman"/>
        </w:rPr>
      </w:pPr>
      <w:r w:rsidRPr="00533CC7">
        <w:rPr>
          <w:rFonts w:ascii="Times New Roman" w:hAnsi="Times New Roman"/>
        </w:rPr>
        <w:t>Le chapitre 8 renseigne sur les contributions sociales des entreprises réalisées au profit des communautés affectées par l’exploitation. Il contient des informations utiles du secteur extractif en termes de contribution au PIB, à l’emploi,  aux exportations, etc.  Il donne aussi une évaluation de la contribution du secteur informel, particulièrement celle de l’artisanat minier.</w:t>
      </w:r>
    </w:p>
    <w:p w14:paraId="6F73396B" w14:textId="77777777" w:rsidR="009F0B58" w:rsidRPr="00533CC7" w:rsidRDefault="009F0B58" w:rsidP="00997119">
      <w:pPr>
        <w:spacing w:before="240" w:line="276" w:lineRule="auto"/>
        <w:jc w:val="both"/>
        <w:rPr>
          <w:rFonts w:ascii="Times New Roman" w:hAnsi="Times New Roman"/>
        </w:rPr>
      </w:pPr>
      <w:r w:rsidRPr="00533CC7">
        <w:rPr>
          <w:rFonts w:ascii="Times New Roman" w:hAnsi="Times New Roman"/>
        </w:rPr>
        <w:lastRenderedPageBreak/>
        <w:t>Le chapitre 9 traite de la participation de l’Etat et examine la situation spécifique des  EPE. Il contient notamment des informations sur la description des règles et pratiques de la relation financière entre le Gouvernement et les EPE, les participations directes et indirectes de l’Etat dans les industries  extractives, les diverses transactions menées ainsi que les  dépenses quasi fiscales engagées par les EPE. Une fiche signalétique contenant des informations spécifiques à chaque EPE est annexée à ce chapitre.</w:t>
      </w:r>
    </w:p>
    <w:p w14:paraId="326EAC51" w14:textId="77777777" w:rsidR="009F0B58" w:rsidRPr="00533CC7" w:rsidRDefault="009F0B58" w:rsidP="00997119">
      <w:pPr>
        <w:spacing w:before="240" w:line="276" w:lineRule="auto"/>
        <w:jc w:val="both"/>
        <w:rPr>
          <w:rFonts w:ascii="Times New Roman" w:hAnsi="Times New Roman"/>
        </w:rPr>
      </w:pPr>
      <w:r w:rsidRPr="00533CC7">
        <w:rPr>
          <w:rFonts w:ascii="Times New Roman" w:hAnsi="Times New Roman"/>
        </w:rPr>
        <w:t>Le chapitre 10 brosse succinctement le processus d’élaboration du budget, résume la loi des Finances Publiques de 2011(la LOFIP) qui définit les principes de gestion des finances publiques et la politique budgétaire.</w:t>
      </w:r>
    </w:p>
    <w:p w14:paraId="5AD56F5F" w14:textId="77777777" w:rsidR="009F0B58" w:rsidRPr="00533CC7" w:rsidRDefault="009F0B58" w:rsidP="00997119">
      <w:pPr>
        <w:spacing w:before="240" w:line="276" w:lineRule="auto"/>
        <w:jc w:val="both"/>
        <w:rPr>
          <w:rFonts w:ascii="Times New Roman" w:hAnsi="Times New Roman"/>
        </w:rPr>
      </w:pPr>
      <w:r w:rsidRPr="00533CC7">
        <w:rPr>
          <w:rFonts w:ascii="Times New Roman" w:hAnsi="Times New Roman"/>
        </w:rPr>
        <w:t xml:space="preserve">En fin, le chapitre 11 revient sur le niveau d’exécution des recommandations contenues dans les rapports ITIE-RDC précédents, en précisant les celles qui ont été exécutées et celles qui sont en cours d’exécution. </w:t>
      </w:r>
    </w:p>
    <w:p w14:paraId="491E8872" w14:textId="77777777" w:rsidR="009F0B58" w:rsidRPr="00533CC7" w:rsidRDefault="009F0B58" w:rsidP="00997119">
      <w:pPr>
        <w:spacing w:before="240" w:line="276" w:lineRule="auto"/>
        <w:jc w:val="both"/>
        <w:rPr>
          <w:rFonts w:ascii="Times New Roman" w:hAnsi="Times New Roman"/>
        </w:rPr>
      </w:pPr>
      <w:r w:rsidRPr="00533CC7">
        <w:rPr>
          <w:rFonts w:ascii="Times New Roman" w:hAnsi="Times New Roman"/>
        </w:rPr>
        <w:t>Chacun de ces chapitres contient une liste des recommandations, selon la nécessité des faits constatés.</w:t>
      </w:r>
    </w:p>
    <w:p w14:paraId="3ABF3EDA" w14:textId="7B5FEF6E" w:rsidR="00A66C88" w:rsidRDefault="00A66C88">
      <w:pPr>
        <w:rPr>
          <w:rFonts w:ascii="Times New Roman" w:eastAsiaTheme="majorEastAsia" w:hAnsi="Times New Roman" w:cstheme="majorBidi"/>
          <w:caps/>
          <w:color w:val="5B9BD5" w:themeColor="accent1"/>
          <w:spacing w:val="14"/>
          <w:sz w:val="28"/>
          <w:szCs w:val="28"/>
        </w:rPr>
      </w:pPr>
    </w:p>
    <w:p w14:paraId="5509642A" w14:textId="09E10CDF" w:rsidR="00A66C88" w:rsidRDefault="00A66C88">
      <w:pPr>
        <w:rPr>
          <w:rFonts w:eastAsiaTheme="majorEastAsia" w:cstheme="majorBidi"/>
          <w:b/>
          <w:caps/>
          <w:spacing w:val="14"/>
          <w:sz w:val="28"/>
          <w:szCs w:val="28"/>
        </w:rPr>
      </w:pPr>
      <w:r>
        <w:rPr>
          <w:b/>
          <w:sz w:val="28"/>
          <w:szCs w:val="28"/>
        </w:rPr>
        <w:br w:type="page"/>
      </w:r>
    </w:p>
    <w:p w14:paraId="19B77CAA" w14:textId="77777777" w:rsidR="00295E3B" w:rsidRPr="003C0ADD" w:rsidRDefault="00295E3B" w:rsidP="00E62198">
      <w:pPr>
        <w:spacing w:after="0"/>
      </w:pPr>
    </w:p>
    <w:p w14:paraId="55DB0EA1" w14:textId="77777777" w:rsidR="00295E3B" w:rsidRPr="006E53CE" w:rsidRDefault="00295E3B" w:rsidP="006E53CE">
      <w:pPr>
        <w:pStyle w:val="Titre1"/>
        <w:spacing w:line="360" w:lineRule="auto"/>
        <w:rPr>
          <w:rFonts w:ascii="Calibri" w:hAnsi="Calibri"/>
          <w:b/>
          <w:sz w:val="32"/>
        </w:rPr>
      </w:pPr>
      <w:bookmarkStart w:id="18" w:name="_Toc518468044"/>
      <w:r w:rsidRPr="006E53CE">
        <w:rPr>
          <w:rFonts w:ascii="Times New Roman" w:hAnsi="Times New Roman" w:cs="Times New Roman"/>
          <w:sz w:val="32"/>
        </w:rPr>
        <w:t>Introduction</w:t>
      </w:r>
      <w:bookmarkEnd w:id="18"/>
    </w:p>
    <w:p w14:paraId="4FCD23BC" w14:textId="0672C2C6" w:rsidR="00295E3B" w:rsidRPr="006E53CE" w:rsidRDefault="00605137" w:rsidP="000738D3">
      <w:pPr>
        <w:pStyle w:val="Titre2"/>
        <w:numPr>
          <w:ilvl w:val="0"/>
          <w:numId w:val="53"/>
        </w:numPr>
        <w:ind w:left="284"/>
        <w:rPr>
          <w:rFonts w:ascii="Times New Roman" w:hAnsi="Times New Roman" w:cs="Times New Roman"/>
          <w:sz w:val="24"/>
          <w:szCs w:val="24"/>
        </w:rPr>
      </w:pPr>
      <w:bookmarkStart w:id="19" w:name="_Toc518468045"/>
      <w:r w:rsidRPr="006E53CE">
        <w:rPr>
          <w:rFonts w:ascii="Times New Roman" w:hAnsi="Times New Roman" w:cs="Times New Roman"/>
          <w:caps w:val="0"/>
          <w:sz w:val="24"/>
          <w:szCs w:val="24"/>
        </w:rPr>
        <w:t>Contexte</w:t>
      </w:r>
      <w:bookmarkEnd w:id="4"/>
      <w:bookmarkEnd w:id="19"/>
      <w:r w:rsidR="00295E3B" w:rsidRPr="006E53CE">
        <w:rPr>
          <w:rFonts w:ascii="Times New Roman" w:hAnsi="Times New Roman" w:cs="Times New Roman"/>
          <w:sz w:val="24"/>
          <w:szCs w:val="24"/>
        </w:rPr>
        <w:t xml:space="preserve"> </w:t>
      </w:r>
    </w:p>
    <w:p w14:paraId="0BE0B6B2" w14:textId="007B8B98" w:rsidR="00295E3B" w:rsidRPr="00C54AF9" w:rsidRDefault="00295E3B" w:rsidP="00295E3B">
      <w:pPr>
        <w:spacing w:before="240" w:after="120"/>
        <w:jc w:val="both"/>
        <w:rPr>
          <w:rFonts w:ascii="Times New Roman" w:hAnsi="Times New Roman"/>
          <w:sz w:val="24"/>
          <w:szCs w:val="24"/>
        </w:rPr>
      </w:pPr>
      <w:r w:rsidRPr="00C54AF9">
        <w:rPr>
          <w:rFonts w:ascii="Times New Roman" w:hAnsi="Times New Roman"/>
          <w:sz w:val="24"/>
          <w:szCs w:val="24"/>
        </w:rPr>
        <w:t>La République Démocratique du Con</w:t>
      </w:r>
      <w:r w:rsidR="00584AEC">
        <w:rPr>
          <w:rFonts w:ascii="Times New Roman" w:hAnsi="Times New Roman"/>
          <w:sz w:val="24"/>
          <w:szCs w:val="24"/>
        </w:rPr>
        <w:t xml:space="preserve">go </w:t>
      </w:r>
      <w:r w:rsidRPr="00C54AF9">
        <w:rPr>
          <w:rFonts w:ascii="Times New Roman" w:hAnsi="Times New Roman"/>
          <w:sz w:val="24"/>
          <w:szCs w:val="24"/>
        </w:rPr>
        <w:t>s’apprête à publier son neuvième rapport portant sur l’exercice 2016 et à se soumettre au processus de validation prévu pour le 02 juillet 2018.</w:t>
      </w:r>
    </w:p>
    <w:p w14:paraId="46CD8482" w14:textId="77777777" w:rsidR="00295E3B" w:rsidRPr="00C54AF9" w:rsidRDefault="00295E3B" w:rsidP="00295E3B">
      <w:pPr>
        <w:spacing w:before="240" w:after="120"/>
        <w:jc w:val="both"/>
        <w:rPr>
          <w:rFonts w:ascii="Times New Roman" w:hAnsi="Times New Roman"/>
          <w:sz w:val="24"/>
          <w:szCs w:val="24"/>
        </w:rPr>
      </w:pPr>
      <w:r w:rsidRPr="00C54AF9">
        <w:rPr>
          <w:rFonts w:ascii="Times New Roman" w:hAnsi="Times New Roman"/>
          <w:sz w:val="24"/>
          <w:szCs w:val="24"/>
        </w:rPr>
        <w:t xml:space="preserve">Concernant le Rapport ITIE-RDC 2016, le Comité Exécutif avait décidé, le 13 juin 2017, de le produire et le publier en deux temps : </w:t>
      </w:r>
    </w:p>
    <w:p w14:paraId="556151C2" w14:textId="77777777" w:rsidR="00295E3B" w:rsidRPr="00C54AF9" w:rsidRDefault="00295E3B" w:rsidP="000738D3">
      <w:pPr>
        <w:pStyle w:val="Paragraphedeliste"/>
        <w:numPr>
          <w:ilvl w:val="0"/>
          <w:numId w:val="48"/>
        </w:numPr>
        <w:spacing w:after="0" w:line="259"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le rapport contextuel, portant sur les données contextuelles non conciliables, et</w:t>
      </w:r>
    </w:p>
    <w:p w14:paraId="118A53D9" w14:textId="77777777" w:rsidR="00295E3B" w:rsidRPr="00C54AF9" w:rsidRDefault="00295E3B" w:rsidP="000738D3">
      <w:pPr>
        <w:pStyle w:val="Paragraphedeliste"/>
        <w:numPr>
          <w:ilvl w:val="0"/>
          <w:numId w:val="49"/>
        </w:numPr>
        <w:spacing w:after="0" w:line="259"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 xml:space="preserve">le rapport de conciliation, portant sur les paiements et revenus, et aussi sur les données contextuelles conciliables. </w:t>
      </w:r>
    </w:p>
    <w:p w14:paraId="02BF738B" w14:textId="77777777" w:rsidR="00295E3B" w:rsidRPr="00C54AF9" w:rsidRDefault="00295E3B" w:rsidP="00295E3B">
      <w:pPr>
        <w:spacing w:before="240" w:after="120"/>
        <w:jc w:val="both"/>
        <w:rPr>
          <w:rFonts w:ascii="Times New Roman" w:hAnsi="Times New Roman"/>
          <w:sz w:val="24"/>
          <w:szCs w:val="24"/>
        </w:rPr>
      </w:pPr>
      <w:r w:rsidRPr="00C54AF9">
        <w:rPr>
          <w:rFonts w:ascii="Times New Roman" w:hAnsi="Times New Roman"/>
          <w:sz w:val="24"/>
          <w:szCs w:val="24"/>
        </w:rPr>
        <w:t>A la même occasion, le Comité Exécutif avait confié la production du rapport contextuel au Secrétariat Technique de l’ITIE-RDC. Ce rapport doit être publié le 1er juillet 2018 et sera un des outils de base pour la validation. Conformément à l’Exigence 4.9(b), la production du rapport de conciliation a été réservée à un Administrateur Indépendant recruté par voie d’appel d’offres.</w:t>
      </w:r>
    </w:p>
    <w:p w14:paraId="05C04875" w14:textId="77777777" w:rsidR="00295E3B" w:rsidRPr="00C54AF9" w:rsidRDefault="00295E3B" w:rsidP="00295E3B">
      <w:pPr>
        <w:spacing w:before="240" w:after="120"/>
        <w:jc w:val="both"/>
        <w:rPr>
          <w:rFonts w:ascii="Times New Roman" w:hAnsi="Times New Roman"/>
          <w:sz w:val="24"/>
          <w:szCs w:val="24"/>
        </w:rPr>
      </w:pPr>
      <w:r w:rsidRPr="00C54AF9">
        <w:rPr>
          <w:rFonts w:ascii="Times New Roman" w:hAnsi="Times New Roman"/>
          <w:sz w:val="24"/>
          <w:szCs w:val="24"/>
        </w:rPr>
        <w:t>C’est dans ce cadre précis que le Secrétariat Technique a élaboré le présent Rapport Contextuel ITIE-RDC 2016.</w:t>
      </w:r>
    </w:p>
    <w:p w14:paraId="3CA86362" w14:textId="4CD277B3" w:rsidR="00295E3B" w:rsidRPr="00C54AF9" w:rsidRDefault="00605137" w:rsidP="000738D3">
      <w:pPr>
        <w:pStyle w:val="Titre2"/>
        <w:numPr>
          <w:ilvl w:val="0"/>
          <w:numId w:val="53"/>
        </w:numPr>
        <w:ind w:left="284"/>
        <w:rPr>
          <w:rFonts w:ascii="Times New Roman" w:hAnsi="Times New Roman" w:cs="Times New Roman"/>
          <w:sz w:val="24"/>
          <w:szCs w:val="24"/>
        </w:rPr>
      </w:pPr>
      <w:bookmarkStart w:id="20" w:name="_Toc518468046"/>
      <w:r>
        <w:rPr>
          <w:rFonts w:ascii="Times New Roman" w:hAnsi="Times New Roman" w:cs="Times New Roman"/>
          <w:caps w:val="0"/>
          <w:sz w:val="24"/>
          <w:szCs w:val="24"/>
        </w:rPr>
        <w:t>Mandat du S</w:t>
      </w:r>
      <w:r w:rsidRPr="00C54AF9">
        <w:rPr>
          <w:rFonts w:ascii="Times New Roman" w:hAnsi="Times New Roman" w:cs="Times New Roman"/>
          <w:caps w:val="0"/>
          <w:sz w:val="24"/>
          <w:szCs w:val="24"/>
        </w:rPr>
        <w:t>ecrétariat</w:t>
      </w:r>
      <w:r>
        <w:rPr>
          <w:rFonts w:ascii="Times New Roman" w:hAnsi="Times New Roman" w:cs="Times New Roman"/>
          <w:caps w:val="0"/>
          <w:sz w:val="24"/>
          <w:szCs w:val="24"/>
        </w:rPr>
        <w:t xml:space="preserve"> T</w:t>
      </w:r>
      <w:r w:rsidRPr="00C54AF9">
        <w:rPr>
          <w:rFonts w:ascii="Times New Roman" w:hAnsi="Times New Roman" w:cs="Times New Roman"/>
          <w:caps w:val="0"/>
          <w:sz w:val="24"/>
          <w:szCs w:val="24"/>
        </w:rPr>
        <w:t>echnique</w:t>
      </w:r>
      <w:bookmarkEnd w:id="20"/>
    </w:p>
    <w:p w14:paraId="22F97DE3" w14:textId="77777777" w:rsidR="00295E3B" w:rsidRPr="00C54AF9" w:rsidRDefault="00295E3B" w:rsidP="00295E3B">
      <w:pPr>
        <w:spacing w:before="240" w:after="120"/>
        <w:jc w:val="both"/>
        <w:rPr>
          <w:rFonts w:ascii="Times New Roman" w:hAnsi="Times New Roman"/>
          <w:sz w:val="24"/>
          <w:szCs w:val="24"/>
        </w:rPr>
      </w:pPr>
      <w:r w:rsidRPr="00C54AF9">
        <w:rPr>
          <w:rFonts w:ascii="Times New Roman" w:hAnsi="Times New Roman"/>
          <w:sz w:val="24"/>
          <w:szCs w:val="24"/>
        </w:rPr>
        <w:t>Le Secrétariat Technique avait reçu du Comité Exécutif le mandat de produire un Rapport Contextuel incluant les informations sur :</w:t>
      </w:r>
    </w:p>
    <w:p w14:paraId="585F291B" w14:textId="77777777" w:rsidR="00295E3B" w:rsidRPr="00C54AF9" w:rsidRDefault="00295E3B" w:rsidP="000738D3">
      <w:pPr>
        <w:pStyle w:val="Paragraphedeliste"/>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le cadre légal et le régime fiscal applicables dans le secteur minier et pétrolier en RDC (Exigence 2.1)</w:t>
      </w:r>
    </w:p>
    <w:p w14:paraId="55B8E120" w14:textId="77777777" w:rsidR="00295E3B" w:rsidRPr="00C54AF9" w:rsidRDefault="00295E3B" w:rsidP="000738D3">
      <w:pPr>
        <w:pStyle w:val="Paragraphedeliste"/>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 xml:space="preserve">les procédures d’attribution des droits miniers et pétroliers (Exigence 2.2) </w:t>
      </w:r>
    </w:p>
    <w:p w14:paraId="30A16D2E" w14:textId="77777777" w:rsidR="00295E3B" w:rsidRPr="00C54AF9" w:rsidRDefault="00295E3B" w:rsidP="000738D3">
      <w:pPr>
        <w:pStyle w:val="Paragraphedeliste"/>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les registres  des droits  miniers  et pétroliers (Exigence 2.3)</w:t>
      </w:r>
    </w:p>
    <w:p w14:paraId="3BE64E69" w14:textId="77777777" w:rsidR="00295E3B" w:rsidRPr="00C54AF9" w:rsidRDefault="00295E3B" w:rsidP="000738D3">
      <w:pPr>
        <w:pStyle w:val="Paragraphedeliste"/>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la politique  de publication  des contrats  (Exigence 2.4)</w:t>
      </w:r>
    </w:p>
    <w:p w14:paraId="0D5ADDAD" w14:textId="77777777" w:rsidR="00295E3B" w:rsidRPr="00C54AF9" w:rsidRDefault="00295E3B" w:rsidP="000738D3">
      <w:pPr>
        <w:pStyle w:val="Paragraphedeliste"/>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la propriété réelle des industries extractives (Exigence 2.5)</w:t>
      </w:r>
    </w:p>
    <w:p w14:paraId="71F6ECEB" w14:textId="77777777" w:rsidR="00295E3B" w:rsidRPr="00C54AF9" w:rsidRDefault="00295E3B" w:rsidP="000738D3">
      <w:pPr>
        <w:pStyle w:val="Paragraphedeliste"/>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la participation de l’Etat dans les industries extractives (Exigence 2.6)</w:t>
      </w:r>
    </w:p>
    <w:p w14:paraId="28EBE09E" w14:textId="77777777" w:rsidR="00295E3B" w:rsidRPr="00C54AF9" w:rsidRDefault="00295E3B" w:rsidP="000738D3">
      <w:pPr>
        <w:pStyle w:val="Paragraphedeliste"/>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la prospection, la production et les exportations (Exigence 3)</w:t>
      </w:r>
    </w:p>
    <w:p w14:paraId="7C14E0F1" w14:textId="77777777" w:rsidR="00295E3B" w:rsidRPr="00C54AF9" w:rsidRDefault="00295E3B" w:rsidP="000738D3">
      <w:pPr>
        <w:pStyle w:val="Paragraphedeliste"/>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les transferts infranationaux (Exigence 5.2)</w:t>
      </w:r>
    </w:p>
    <w:p w14:paraId="48066BB2" w14:textId="77777777" w:rsidR="00295E3B" w:rsidRPr="00C54AF9" w:rsidRDefault="00295E3B" w:rsidP="000738D3">
      <w:pPr>
        <w:pStyle w:val="Paragraphedeliste"/>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les dépenses sociales des industries extractives (Exigence 6.1)</w:t>
      </w:r>
    </w:p>
    <w:p w14:paraId="395E661A" w14:textId="77777777" w:rsidR="00295E3B" w:rsidRPr="00C54AF9" w:rsidRDefault="00295E3B" w:rsidP="000738D3">
      <w:pPr>
        <w:pStyle w:val="Paragraphedeliste"/>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les dépenses quasi fiscales des EPE (Exigence 6.2)</w:t>
      </w:r>
    </w:p>
    <w:p w14:paraId="757FD67F" w14:textId="77777777" w:rsidR="00295E3B" w:rsidRPr="00C54AF9" w:rsidRDefault="00295E3B" w:rsidP="000738D3">
      <w:pPr>
        <w:pStyle w:val="Paragraphedeliste"/>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la contribution des industries extractives à l'économie nationale (Exigence 6.3).</w:t>
      </w:r>
    </w:p>
    <w:p w14:paraId="4454CB49" w14:textId="77777777" w:rsidR="00295E3B" w:rsidRPr="00C54AF9" w:rsidRDefault="00295E3B" w:rsidP="00295E3B">
      <w:pPr>
        <w:rPr>
          <w:rFonts w:ascii="Times New Roman" w:hAnsi="Times New Roman"/>
          <w:sz w:val="24"/>
          <w:szCs w:val="24"/>
        </w:rPr>
      </w:pPr>
    </w:p>
    <w:p w14:paraId="040780D2" w14:textId="2536C284" w:rsidR="00BD7D30" w:rsidRDefault="00295E3B" w:rsidP="00295E3B">
      <w:pPr>
        <w:jc w:val="both"/>
        <w:rPr>
          <w:rFonts w:ascii="Times New Roman" w:hAnsi="Times New Roman"/>
          <w:sz w:val="24"/>
          <w:szCs w:val="24"/>
        </w:rPr>
      </w:pPr>
      <w:r w:rsidRPr="00C54AF9">
        <w:rPr>
          <w:rFonts w:ascii="Times New Roman" w:hAnsi="Times New Roman"/>
          <w:sz w:val="24"/>
          <w:szCs w:val="24"/>
        </w:rPr>
        <w:t>Ce rapport a été établi à l'usage exclusif de l'ITIE-RDC et ne saurait être utilisé à des fins autres que celles auxquelles il est destiné. Les avis qui y sont exprimés sont ceux des parties prenantes.</w:t>
      </w:r>
    </w:p>
    <w:p w14:paraId="40D11533" w14:textId="77777777" w:rsidR="00BD7D30" w:rsidRDefault="00BD7D30">
      <w:pPr>
        <w:rPr>
          <w:rFonts w:ascii="Times New Roman" w:hAnsi="Times New Roman"/>
          <w:sz w:val="24"/>
          <w:szCs w:val="24"/>
        </w:rPr>
      </w:pPr>
      <w:r>
        <w:rPr>
          <w:rFonts w:ascii="Times New Roman" w:hAnsi="Times New Roman"/>
          <w:sz w:val="24"/>
          <w:szCs w:val="24"/>
        </w:rPr>
        <w:br w:type="page"/>
      </w:r>
    </w:p>
    <w:p w14:paraId="2EE5AED7" w14:textId="327B1599" w:rsidR="00295E3B" w:rsidRPr="00C54AF9" w:rsidRDefault="00495634" w:rsidP="000738D3">
      <w:pPr>
        <w:pStyle w:val="Titre2"/>
        <w:numPr>
          <w:ilvl w:val="0"/>
          <w:numId w:val="53"/>
        </w:numPr>
        <w:ind w:left="284"/>
        <w:rPr>
          <w:rFonts w:ascii="Times New Roman" w:hAnsi="Times New Roman" w:cs="Times New Roman"/>
          <w:sz w:val="24"/>
          <w:szCs w:val="24"/>
        </w:rPr>
      </w:pPr>
      <w:bookmarkStart w:id="21" w:name="_Toc518468047"/>
      <w:r w:rsidRPr="00C54AF9">
        <w:rPr>
          <w:rFonts w:ascii="Times New Roman" w:hAnsi="Times New Roman" w:cs="Times New Roman"/>
          <w:caps w:val="0"/>
          <w:sz w:val="24"/>
          <w:szCs w:val="24"/>
        </w:rPr>
        <w:lastRenderedPageBreak/>
        <w:t>Importance de la publication des informations contextuelles</w:t>
      </w:r>
      <w:bookmarkEnd w:id="21"/>
    </w:p>
    <w:p w14:paraId="5C7B1348" w14:textId="77777777" w:rsidR="00295E3B" w:rsidRPr="00C54AF9" w:rsidRDefault="00C34B93" w:rsidP="00295E3B">
      <w:pPr>
        <w:jc w:val="both"/>
        <w:rPr>
          <w:rFonts w:ascii="Times New Roman" w:hAnsi="Times New Roman"/>
          <w:sz w:val="24"/>
          <w:szCs w:val="24"/>
        </w:rPr>
      </w:pPr>
      <w:r w:rsidRPr="00C54AF9">
        <w:rPr>
          <w:rFonts w:ascii="Times New Roman" w:hAnsi="Times New Roman"/>
          <w:sz w:val="24"/>
          <w:szCs w:val="24"/>
        </w:rPr>
        <w:t>L</w:t>
      </w:r>
      <w:r w:rsidR="00295E3B" w:rsidRPr="00C54AF9">
        <w:rPr>
          <w:rFonts w:ascii="Times New Roman" w:hAnsi="Times New Roman"/>
          <w:sz w:val="24"/>
          <w:szCs w:val="24"/>
        </w:rPr>
        <w:t xml:space="preserve">es informations contextuelles facilitent la compréhension et </w:t>
      </w:r>
      <w:r w:rsidRPr="00C54AF9">
        <w:rPr>
          <w:rFonts w:ascii="Times New Roman" w:hAnsi="Times New Roman"/>
          <w:sz w:val="24"/>
          <w:szCs w:val="24"/>
        </w:rPr>
        <w:t>la</w:t>
      </w:r>
      <w:r w:rsidR="00295E3B" w:rsidRPr="00C54AF9">
        <w:rPr>
          <w:rFonts w:ascii="Times New Roman" w:hAnsi="Times New Roman"/>
          <w:sz w:val="24"/>
          <w:szCs w:val="24"/>
        </w:rPr>
        <w:t xml:space="preserve"> bonne utilisation des rapports ITIE. Elles permettent  aux citoyens d’améliorer leur connaissance du contexte dans lequel les chiffres publiés ont été générés, ce qui favorise, par conséquent, un débat public réel sur </w:t>
      </w:r>
      <w:r w:rsidR="00DE272B" w:rsidRPr="00C54AF9">
        <w:rPr>
          <w:rFonts w:ascii="Times New Roman" w:hAnsi="Times New Roman"/>
          <w:sz w:val="24"/>
          <w:szCs w:val="24"/>
        </w:rPr>
        <w:t>la gouvernance d</w:t>
      </w:r>
      <w:r w:rsidR="00295E3B" w:rsidRPr="00C54AF9">
        <w:rPr>
          <w:rFonts w:ascii="Times New Roman" w:hAnsi="Times New Roman"/>
          <w:sz w:val="24"/>
          <w:szCs w:val="24"/>
        </w:rPr>
        <w:t>es revenus tirés des ressources naturelles.</w:t>
      </w:r>
    </w:p>
    <w:p w14:paraId="789F8EBD" w14:textId="60092463" w:rsidR="00295E3B" w:rsidRPr="00C54AF9" w:rsidRDefault="00495634" w:rsidP="000738D3">
      <w:pPr>
        <w:pStyle w:val="Titre2"/>
        <w:numPr>
          <w:ilvl w:val="0"/>
          <w:numId w:val="53"/>
        </w:numPr>
        <w:ind w:left="284"/>
        <w:rPr>
          <w:rFonts w:ascii="Times New Roman" w:hAnsi="Times New Roman" w:cs="Times New Roman"/>
          <w:sz w:val="24"/>
          <w:szCs w:val="24"/>
        </w:rPr>
      </w:pPr>
      <w:bookmarkStart w:id="22" w:name="_Toc518468048"/>
      <w:r w:rsidRPr="00C54AF9">
        <w:rPr>
          <w:rFonts w:ascii="Times New Roman" w:hAnsi="Times New Roman" w:cs="Times New Roman"/>
          <w:caps w:val="0"/>
          <w:sz w:val="24"/>
          <w:szCs w:val="24"/>
        </w:rPr>
        <w:t>Période de validité des informations publiées dans ce rapport</w:t>
      </w:r>
      <w:bookmarkEnd w:id="22"/>
    </w:p>
    <w:p w14:paraId="1C33E3D8" w14:textId="1EA707C9" w:rsidR="00295E3B" w:rsidRPr="00C54AF9" w:rsidRDefault="00295E3B" w:rsidP="00295E3B">
      <w:pPr>
        <w:jc w:val="both"/>
        <w:rPr>
          <w:rFonts w:ascii="Times New Roman" w:hAnsi="Times New Roman"/>
          <w:sz w:val="24"/>
          <w:szCs w:val="24"/>
        </w:rPr>
      </w:pPr>
      <w:r w:rsidRPr="00C54AF9">
        <w:rPr>
          <w:rFonts w:ascii="Times New Roman" w:hAnsi="Times New Roman"/>
          <w:sz w:val="24"/>
          <w:szCs w:val="24"/>
        </w:rPr>
        <w:t xml:space="preserve">Le Rapport ITIE en élaboration porte sur l’exercice comptable </w:t>
      </w:r>
      <w:r w:rsidR="00344C04" w:rsidRPr="00C54AF9">
        <w:rPr>
          <w:rFonts w:ascii="Times New Roman" w:hAnsi="Times New Roman"/>
          <w:sz w:val="24"/>
          <w:szCs w:val="24"/>
        </w:rPr>
        <w:t>2016 (</w:t>
      </w:r>
      <w:r w:rsidR="00584AEC">
        <w:rPr>
          <w:rFonts w:ascii="Times New Roman" w:hAnsi="Times New Roman"/>
          <w:sz w:val="24"/>
          <w:szCs w:val="24"/>
        </w:rPr>
        <w:t xml:space="preserve">du </w:t>
      </w:r>
      <w:r w:rsidRPr="00C54AF9">
        <w:rPr>
          <w:rFonts w:ascii="Times New Roman" w:hAnsi="Times New Roman"/>
          <w:sz w:val="24"/>
          <w:szCs w:val="24"/>
        </w:rPr>
        <w:t>1er janvier au 31 décembre</w:t>
      </w:r>
      <w:r w:rsidR="00344C04" w:rsidRPr="00C54AF9">
        <w:rPr>
          <w:rFonts w:ascii="Times New Roman" w:hAnsi="Times New Roman"/>
          <w:sz w:val="24"/>
          <w:szCs w:val="24"/>
        </w:rPr>
        <w:t>)</w:t>
      </w:r>
      <w:r w:rsidRPr="00C54AF9">
        <w:rPr>
          <w:rFonts w:ascii="Times New Roman" w:hAnsi="Times New Roman"/>
          <w:sz w:val="24"/>
          <w:szCs w:val="24"/>
        </w:rPr>
        <w:t xml:space="preserve">. Toutefois, l’Exigence 4.8(b) de la Norme ITIE encourage les pays de mise en œuvre </w:t>
      </w:r>
      <w:r w:rsidR="00344C04" w:rsidRPr="00C54AF9">
        <w:rPr>
          <w:rFonts w:ascii="Times New Roman" w:hAnsi="Times New Roman"/>
          <w:sz w:val="24"/>
          <w:szCs w:val="24"/>
        </w:rPr>
        <w:t xml:space="preserve">à </w:t>
      </w:r>
      <w:r w:rsidRPr="00C54AF9">
        <w:rPr>
          <w:rFonts w:ascii="Times New Roman" w:hAnsi="Times New Roman"/>
          <w:sz w:val="24"/>
          <w:szCs w:val="24"/>
        </w:rPr>
        <w:t>publier les informations contextuelles plus récentes que l’exercice comptable auquel se rapportent les données sur les recettes, lorsque de telles informations sont disponibles.</w:t>
      </w:r>
    </w:p>
    <w:p w14:paraId="0DB8A0A0" w14:textId="77777777" w:rsidR="00295E3B" w:rsidRDefault="00295E3B" w:rsidP="00295E3B">
      <w:pPr>
        <w:jc w:val="both"/>
        <w:rPr>
          <w:rFonts w:cstheme="minorHAnsi"/>
          <w:sz w:val="24"/>
          <w:szCs w:val="24"/>
          <w:lang w:val="fr-BE"/>
        </w:rPr>
      </w:pPr>
      <w:r>
        <w:rPr>
          <w:rFonts w:eastAsia="Yu Gothic UI" w:cstheme="minorHAnsi"/>
          <w:color w:val="231F20"/>
          <w:sz w:val="24"/>
          <w:szCs w:val="24"/>
        </w:rPr>
        <w:t>Par conséquent, le présent rapport inclut les informations contextuelles, disponibles et accessibles, plus récentes que l’exercice 2016</w:t>
      </w:r>
      <w:r w:rsidR="00344C04">
        <w:rPr>
          <w:rFonts w:eastAsia="Yu Gothic UI" w:cstheme="minorHAnsi"/>
          <w:color w:val="231F20"/>
          <w:sz w:val="24"/>
          <w:szCs w:val="24"/>
        </w:rPr>
        <w:t>.</w:t>
      </w:r>
    </w:p>
    <w:p w14:paraId="7EF6D4B7" w14:textId="14F061F8" w:rsidR="00295E3B" w:rsidRPr="00C54AF9" w:rsidRDefault="00AA5F3F" w:rsidP="000738D3">
      <w:pPr>
        <w:pStyle w:val="Titre2"/>
        <w:numPr>
          <w:ilvl w:val="0"/>
          <w:numId w:val="53"/>
        </w:numPr>
        <w:ind w:left="284"/>
        <w:rPr>
          <w:rFonts w:ascii="Times New Roman" w:hAnsi="Times New Roman" w:cs="Times New Roman"/>
          <w:sz w:val="24"/>
          <w:szCs w:val="24"/>
        </w:rPr>
      </w:pPr>
      <w:bookmarkStart w:id="23" w:name="_Toc518468049"/>
      <w:r w:rsidRPr="00C54AF9">
        <w:rPr>
          <w:rFonts w:ascii="Times New Roman" w:hAnsi="Times New Roman" w:cs="Times New Roman"/>
          <w:caps w:val="0"/>
          <w:sz w:val="24"/>
          <w:szCs w:val="24"/>
        </w:rPr>
        <w:t>Méthodologie</w:t>
      </w:r>
      <w:bookmarkEnd w:id="23"/>
      <w:r w:rsidR="00295E3B" w:rsidRPr="00C54AF9">
        <w:rPr>
          <w:rFonts w:ascii="Times New Roman" w:hAnsi="Times New Roman" w:cs="Times New Roman"/>
          <w:sz w:val="24"/>
          <w:szCs w:val="24"/>
        </w:rPr>
        <w:t xml:space="preserve"> </w:t>
      </w:r>
    </w:p>
    <w:p w14:paraId="5E4B7254" w14:textId="77777777" w:rsidR="00295E3B" w:rsidRPr="00C54AF9" w:rsidRDefault="00295E3B" w:rsidP="00295E3B">
      <w:pPr>
        <w:spacing w:after="120"/>
        <w:jc w:val="both"/>
        <w:rPr>
          <w:rFonts w:ascii="Times New Roman" w:hAnsi="Times New Roman"/>
        </w:rPr>
      </w:pPr>
      <w:r w:rsidRPr="00C54AF9">
        <w:rPr>
          <w:rFonts w:ascii="Times New Roman" w:hAnsi="Times New Roman"/>
        </w:rPr>
        <w:t>La méthodologie suivie  a consisté à :</w:t>
      </w:r>
    </w:p>
    <w:p w14:paraId="0F6DF87B" w14:textId="77777777" w:rsidR="00295E3B" w:rsidRPr="00C54AF9" w:rsidRDefault="00295E3B" w:rsidP="000738D3">
      <w:pPr>
        <w:pStyle w:val="Paragraphedeliste"/>
        <w:numPr>
          <w:ilvl w:val="0"/>
          <w:numId w:val="51"/>
        </w:numPr>
        <w:spacing w:after="120" w:line="259" w:lineRule="auto"/>
        <w:jc w:val="both"/>
        <w:rPr>
          <w:rFonts w:ascii="Times New Roman" w:hAnsi="Times New Roman" w:cs="Times New Roman"/>
        </w:rPr>
      </w:pPr>
      <w:r w:rsidRPr="00C54AF9">
        <w:rPr>
          <w:rFonts w:ascii="Times New Roman" w:hAnsi="Times New Roman" w:cs="Times New Roman"/>
        </w:rPr>
        <w:t>Identifier la (les) source(s) pertinente(s) pour chaque information contextuelle, ce qui nous a permis de lister les sources suivantes :</w:t>
      </w:r>
    </w:p>
    <w:p w14:paraId="08E232BF" w14:textId="77777777" w:rsidR="00295E3B" w:rsidRDefault="00295E3B" w:rsidP="00295E3B">
      <w:pPr>
        <w:spacing w:after="120"/>
      </w:pPr>
      <w:r w:rsidRPr="001E3AD5">
        <w:rPr>
          <w:noProof/>
          <w:lang w:eastAsia="fr-FR"/>
        </w:rPr>
        <w:drawing>
          <wp:inline distT="0" distB="0" distL="0" distR="0" wp14:anchorId="237C3950" wp14:editId="6FAF7891">
            <wp:extent cx="5591175" cy="3505200"/>
            <wp:effectExtent l="0" t="38100" r="0" b="38100"/>
            <wp:docPr id="6"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8C1755E" w14:textId="77777777" w:rsidR="00295E3B" w:rsidRPr="00C54AF9" w:rsidRDefault="00295E3B" w:rsidP="000738D3">
      <w:pPr>
        <w:pStyle w:val="Paragraphedeliste"/>
        <w:numPr>
          <w:ilvl w:val="0"/>
          <w:numId w:val="51"/>
        </w:numPr>
        <w:spacing w:after="120" w:line="259"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Collecter les informations auprès de diverses structures listées dans le tableau ci-dessus ;</w:t>
      </w:r>
    </w:p>
    <w:p w14:paraId="60C088E3" w14:textId="77777777" w:rsidR="00295E3B" w:rsidRPr="00C54AF9" w:rsidRDefault="00295E3B" w:rsidP="000738D3">
      <w:pPr>
        <w:pStyle w:val="Paragraphedeliste"/>
        <w:numPr>
          <w:ilvl w:val="0"/>
          <w:numId w:val="51"/>
        </w:numPr>
        <w:spacing w:after="120" w:line="259"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Rev</w:t>
      </w:r>
      <w:r w:rsidR="00247AD4" w:rsidRPr="00C54AF9">
        <w:rPr>
          <w:rFonts w:ascii="Times New Roman" w:eastAsia="Calibri" w:hAnsi="Times New Roman" w:cs="Times New Roman"/>
          <w:sz w:val="24"/>
          <w:szCs w:val="24"/>
        </w:rPr>
        <w:t>oir</w:t>
      </w:r>
      <w:r w:rsidRPr="00C54AF9">
        <w:rPr>
          <w:rFonts w:ascii="Times New Roman" w:eastAsia="Calibri" w:hAnsi="Times New Roman" w:cs="Times New Roman"/>
          <w:sz w:val="24"/>
          <w:szCs w:val="24"/>
        </w:rPr>
        <w:t xml:space="preserve"> et analyse</w:t>
      </w:r>
      <w:r w:rsidR="00247AD4" w:rsidRPr="00C54AF9">
        <w:rPr>
          <w:rFonts w:ascii="Times New Roman" w:eastAsia="Calibri" w:hAnsi="Times New Roman" w:cs="Times New Roman"/>
          <w:sz w:val="24"/>
          <w:szCs w:val="24"/>
        </w:rPr>
        <w:t>r l</w:t>
      </w:r>
      <w:r w:rsidRPr="00C54AF9">
        <w:rPr>
          <w:rFonts w:ascii="Times New Roman" w:eastAsia="Calibri" w:hAnsi="Times New Roman" w:cs="Times New Roman"/>
          <w:sz w:val="24"/>
          <w:szCs w:val="24"/>
        </w:rPr>
        <w:t>es états financiers des EPE par deux Consultants recrutés par le Secrétariat International ;</w:t>
      </w:r>
    </w:p>
    <w:p w14:paraId="55506253" w14:textId="77777777" w:rsidR="00295E3B" w:rsidRPr="00C54AF9" w:rsidRDefault="00295E3B" w:rsidP="000738D3">
      <w:pPr>
        <w:pStyle w:val="Paragraphedeliste"/>
        <w:numPr>
          <w:ilvl w:val="0"/>
          <w:numId w:val="51"/>
        </w:numPr>
        <w:spacing w:after="120" w:line="259"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Compiler  les informations collectées ;</w:t>
      </w:r>
    </w:p>
    <w:p w14:paraId="07D8FFA5" w14:textId="77777777" w:rsidR="00295E3B" w:rsidRPr="00C54AF9" w:rsidRDefault="00295E3B" w:rsidP="000738D3">
      <w:pPr>
        <w:pStyle w:val="Paragraphedeliste"/>
        <w:numPr>
          <w:ilvl w:val="0"/>
          <w:numId w:val="51"/>
        </w:numPr>
        <w:spacing w:after="120" w:line="259"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 xml:space="preserve">Rédiger le projet de Rapport Contextuel ITIE-RDC 2016. </w:t>
      </w:r>
    </w:p>
    <w:p w14:paraId="2AD4093A" w14:textId="2C894C24" w:rsidR="00295E3B" w:rsidRPr="00C54AF9" w:rsidRDefault="00AA5F3F" w:rsidP="000738D3">
      <w:pPr>
        <w:pStyle w:val="Titre2"/>
        <w:numPr>
          <w:ilvl w:val="0"/>
          <w:numId w:val="53"/>
        </w:numPr>
        <w:ind w:left="284"/>
        <w:rPr>
          <w:rFonts w:ascii="Times New Roman" w:hAnsi="Times New Roman" w:cs="Times New Roman"/>
          <w:sz w:val="24"/>
          <w:szCs w:val="24"/>
        </w:rPr>
      </w:pPr>
      <w:bookmarkStart w:id="24" w:name="_Toc492630359"/>
      <w:bookmarkStart w:id="25" w:name="_Toc518468050"/>
      <w:r w:rsidRPr="00C54AF9">
        <w:rPr>
          <w:rFonts w:ascii="Times New Roman" w:hAnsi="Times New Roman" w:cs="Times New Roman"/>
          <w:caps w:val="0"/>
          <w:sz w:val="24"/>
          <w:szCs w:val="24"/>
        </w:rPr>
        <w:lastRenderedPageBreak/>
        <w:t>Limitations</w:t>
      </w:r>
      <w:bookmarkEnd w:id="24"/>
      <w:bookmarkEnd w:id="25"/>
    </w:p>
    <w:p w14:paraId="2372B6F6" w14:textId="77777777" w:rsidR="00F56766" w:rsidRPr="00C54AF9" w:rsidRDefault="00F56766" w:rsidP="00295E3B">
      <w:pPr>
        <w:pStyle w:val="Paragraphedeliste"/>
        <w:ind w:left="0"/>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 xml:space="preserve">Ce rapport ne contient pas : </w:t>
      </w:r>
    </w:p>
    <w:p w14:paraId="02E1BA63" w14:textId="77777777" w:rsidR="00247AD4" w:rsidRPr="00C54AF9" w:rsidRDefault="00F56766" w:rsidP="000738D3">
      <w:pPr>
        <w:pStyle w:val="Paragraphedeliste"/>
        <w:numPr>
          <w:ilvl w:val="0"/>
          <w:numId w:val="49"/>
        </w:numPr>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les conclusions des Consultants sur la revue des états financiers des EPE, qui seront disponibles à la fin de leur mission ;</w:t>
      </w:r>
    </w:p>
    <w:p w14:paraId="28B8123A" w14:textId="77777777" w:rsidR="00F56766" w:rsidRPr="00C54AF9" w:rsidRDefault="00F56766" w:rsidP="000738D3">
      <w:pPr>
        <w:pStyle w:val="Paragraphedeliste"/>
        <w:numPr>
          <w:ilvl w:val="0"/>
          <w:numId w:val="49"/>
        </w:numPr>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les améliorations des parties prenantes parvenues au Secrétariat Technique après adoption par le Groupe Technique de Travail (GTT), le 29 juin 2018 ;</w:t>
      </w:r>
    </w:p>
    <w:p w14:paraId="389FFFA2" w14:textId="77777777" w:rsidR="00F56766" w:rsidRPr="00C54AF9" w:rsidRDefault="00F56766" w:rsidP="000738D3">
      <w:pPr>
        <w:pStyle w:val="Paragraphedeliste"/>
        <w:numPr>
          <w:ilvl w:val="0"/>
          <w:numId w:val="49"/>
        </w:numPr>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certaines informations spécifiques en cours de collecte, notamment sur SICOMINES.</w:t>
      </w:r>
    </w:p>
    <w:p w14:paraId="6D1EBC0C" w14:textId="77777777" w:rsidR="00730E67" w:rsidRPr="00C54AF9" w:rsidRDefault="00730E67" w:rsidP="00730E67">
      <w:pPr>
        <w:ind w:left="360"/>
        <w:jc w:val="both"/>
        <w:rPr>
          <w:rFonts w:ascii="Times New Roman" w:hAnsi="Times New Roman"/>
          <w:sz w:val="24"/>
          <w:szCs w:val="24"/>
        </w:rPr>
      </w:pPr>
      <w:r w:rsidRPr="00C54AF9">
        <w:rPr>
          <w:rFonts w:ascii="Times New Roman" w:hAnsi="Times New Roman"/>
          <w:sz w:val="24"/>
          <w:szCs w:val="24"/>
        </w:rPr>
        <w:t>Toutes ces informations feront l’objet d’un rapport complémentaire</w:t>
      </w:r>
      <w:r w:rsidR="00CD36DD" w:rsidRPr="00C54AF9">
        <w:rPr>
          <w:rFonts w:ascii="Times New Roman" w:hAnsi="Times New Roman"/>
          <w:sz w:val="24"/>
          <w:szCs w:val="24"/>
        </w:rPr>
        <w:t xml:space="preserve"> qui sera publié au plus tard le 31 juillet 2018.</w:t>
      </w:r>
    </w:p>
    <w:p w14:paraId="4F20FC2A" w14:textId="7C193C7E" w:rsidR="007D1555" w:rsidRPr="00C54AF9" w:rsidRDefault="00AA5F3F" w:rsidP="000738D3">
      <w:pPr>
        <w:pStyle w:val="Titre2"/>
        <w:numPr>
          <w:ilvl w:val="0"/>
          <w:numId w:val="53"/>
        </w:numPr>
        <w:ind w:left="284"/>
        <w:rPr>
          <w:rFonts w:ascii="Times New Roman" w:hAnsi="Times New Roman" w:cs="Times New Roman"/>
          <w:sz w:val="24"/>
          <w:szCs w:val="24"/>
        </w:rPr>
      </w:pPr>
      <w:bookmarkStart w:id="26" w:name="_Toc518468051"/>
      <w:r w:rsidRPr="00C54AF9">
        <w:rPr>
          <w:rFonts w:ascii="Times New Roman" w:hAnsi="Times New Roman" w:cs="Times New Roman"/>
          <w:caps w:val="0"/>
          <w:sz w:val="24"/>
          <w:szCs w:val="24"/>
        </w:rPr>
        <w:t>Exhaustivité et fiabilité des informations</w:t>
      </w:r>
      <w:bookmarkEnd w:id="26"/>
    </w:p>
    <w:p w14:paraId="3F76AF00" w14:textId="2BA88057" w:rsidR="00866639" w:rsidRPr="00C54AF9" w:rsidRDefault="00866639" w:rsidP="000738D3">
      <w:pPr>
        <w:pStyle w:val="Paragraphedeliste"/>
        <w:numPr>
          <w:ilvl w:val="0"/>
          <w:numId w:val="52"/>
        </w:numPr>
        <w:jc w:val="both"/>
        <w:rPr>
          <w:rFonts w:ascii="Times New Roman" w:eastAsia="Calibri" w:hAnsi="Times New Roman" w:cs="Times New Roman"/>
          <w:sz w:val="24"/>
          <w:szCs w:val="24"/>
        </w:rPr>
      </w:pPr>
      <w:r w:rsidRPr="00C54AF9">
        <w:rPr>
          <w:rFonts w:ascii="Times New Roman" w:eastAsia="Calibri" w:hAnsi="Times New Roman" w:cs="Times New Roman"/>
          <w:b/>
          <w:sz w:val="24"/>
          <w:szCs w:val="24"/>
        </w:rPr>
        <w:t>Exhaustivité</w:t>
      </w:r>
      <w:r w:rsidR="00584AEC">
        <w:rPr>
          <w:rFonts w:ascii="Times New Roman" w:eastAsia="Calibri" w:hAnsi="Times New Roman" w:cs="Times New Roman"/>
          <w:sz w:val="24"/>
          <w:szCs w:val="24"/>
        </w:rPr>
        <w:t> : Tenant compte</w:t>
      </w:r>
      <w:r w:rsidRPr="00C54AF9">
        <w:rPr>
          <w:rFonts w:ascii="Times New Roman" w:eastAsia="Calibri" w:hAnsi="Times New Roman" w:cs="Times New Roman"/>
          <w:sz w:val="24"/>
          <w:szCs w:val="24"/>
        </w:rPr>
        <w:t xml:space="preserve"> des limitations</w:t>
      </w:r>
      <w:r w:rsidR="00584AEC">
        <w:rPr>
          <w:rFonts w:ascii="Times New Roman" w:eastAsia="Calibri" w:hAnsi="Times New Roman" w:cs="Times New Roman"/>
          <w:sz w:val="24"/>
          <w:szCs w:val="24"/>
        </w:rPr>
        <w:t xml:space="preserve"> relevées </w:t>
      </w:r>
      <w:r w:rsidRPr="00C54AF9">
        <w:rPr>
          <w:rFonts w:ascii="Times New Roman" w:eastAsia="Calibri" w:hAnsi="Times New Roman" w:cs="Times New Roman"/>
          <w:sz w:val="24"/>
          <w:szCs w:val="24"/>
        </w:rPr>
        <w:t xml:space="preserve"> ci-dessus, </w:t>
      </w:r>
      <w:r w:rsidR="007D1555" w:rsidRPr="00C54AF9">
        <w:rPr>
          <w:rFonts w:ascii="Times New Roman" w:eastAsia="Calibri" w:hAnsi="Times New Roman" w:cs="Times New Roman"/>
          <w:sz w:val="24"/>
          <w:szCs w:val="24"/>
        </w:rPr>
        <w:t>nous ne pouvons pas conclure que les informations contenues dans le présent rapport sont exhaustives.</w:t>
      </w:r>
    </w:p>
    <w:p w14:paraId="47246160" w14:textId="77777777" w:rsidR="00FE79B7" w:rsidRPr="00C54AF9" w:rsidRDefault="00FE79B7" w:rsidP="00FE79B7">
      <w:pPr>
        <w:pStyle w:val="Paragraphedeliste"/>
        <w:ind w:left="1080"/>
        <w:jc w:val="both"/>
        <w:rPr>
          <w:rFonts w:ascii="Times New Roman" w:eastAsia="Calibri" w:hAnsi="Times New Roman" w:cs="Times New Roman"/>
          <w:sz w:val="24"/>
          <w:szCs w:val="24"/>
        </w:rPr>
      </w:pPr>
    </w:p>
    <w:p w14:paraId="59B87990" w14:textId="77777777" w:rsidR="007D1555" w:rsidRPr="00C54AF9" w:rsidRDefault="007D1555" w:rsidP="000738D3">
      <w:pPr>
        <w:pStyle w:val="Paragraphedeliste"/>
        <w:numPr>
          <w:ilvl w:val="0"/>
          <w:numId w:val="52"/>
        </w:numPr>
        <w:jc w:val="both"/>
        <w:rPr>
          <w:rFonts w:ascii="Times New Roman" w:eastAsia="Calibri" w:hAnsi="Times New Roman" w:cs="Times New Roman"/>
          <w:sz w:val="24"/>
          <w:szCs w:val="24"/>
        </w:rPr>
      </w:pPr>
      <w:r w:rsidRPr="00C54AF9">
        <w:rPr>
          <w:rFonts w:ascii="Times New Roman" w:eastAsia="Calibri" w:hAnsi="Times New Roman" w:cs="Times New Roman"/>
          <w:b/>
          <w:sz w:val="24"/>
          <w:szCs w:val="24"/>
        </w:rPr>
        <w:t>Fiabilité</w:t>
      </w:r>
      <w:r w:rsidRPr="00C54AF9">
        <w:rPr>
          <w:rFonts w:ascii="Times New Roman" w:eastAsia="Calibri" w:hAnsi="Times New Roman" w:cs="Times New Roman"/>
          <w:sz w:val="24"/>
          <w:szCs w:val="24"/>
        </w:rPr>
        <w:t xml:space="preserve"> : </w:t>
      </w:r>
      <w:r w:rsidR="009D7694" w:rsidRPr="00C54AF9">
        <w:rPr>
          <w:rFonts w:ascii="Times New Roman" w:eastAsia="Calibri" w:hAnsi="Times New Roman" w:cs="Times New Roman"/>
          <w:sz w:val="24"/>
          <w:szCs w:val="24"/>
        </w:rPr>
        <w:t xml:space="preserve">les </w:t>
      </w:r>
      <w:r w:rsidRPr="00C54AF9">
        <w:rPr>
          <w:rFonts w:ascii="Times New Roman" w:eastAsia="Calibri" w:hAnsi="Times New Roman" w:cs="Times New Roman"/>
          <w:sz w:val="24"/>
          <w:szCs w:val="24"/>
        </w:rPr>
        <w:t xml:space="preserve">informations </w:t>
      </w:r>
      <w:r w:rsidR="00FE79B7" w:rsidRPr="00C54AF9">
        <w:rPr>
          <w:rFonts w:ascii="Times New Roman" w:eastAsia="Calibri" w:hAnsi="Times New Roman" w:cs="Times New Roman"/>
          <w:sz w:val="24"/>
          <w:szCs w:val="24"/>
        </w:rPr>
        <w:t>reçu</w:t>
      </w:r>
      <w:r w:rsidR="009D7694" w:rsidRPr="00C54AF9">
        <w:rPr>
          <w:rFonts w:ascii="Times New Roman" w:eastAsia="Calibri" w:hAnsi="Times New Roman" w:cs="Times New Roman"/>
          <w:sz w:val="24"/>
          <w:szCs w:val="24"/>
        </w:rPr>
        <w:t>es</w:t>
      </w:r>
      <w:r w:rsidRPr="00C54AF9">
        <w:rPr>
          <w:rFonts w:ascii="Times New Roman" w:eastAsia="Calibri" w:hAnsi="Times New Roman" w:cs="Times New Roman"/>
          <w:sz w:val="24"/>
          <w:szCs w:val="24"/>
        </w:rPr>
        <w:t xml:space="preserve"> dans</w:t>
      </w:r>
      <w:r w:rsidR="009D7694" w:rsidRPr="00C54AF9">
        <w:rPr>
          <w:rFonts w:ascii="Times New Roman" w:eastAsia="Calibri" w:hAnsi="Times New Roman" w:cs="Times New Roman"/>
          <w:sz w:val="24"/>
          <w:szCs w:val="24"/>
        </w:rPr>
        <w:t xml:space="preserve"> le cadre de</w:t>
      </w:r>
      <w:r w:rsidRPr="00C54AF9">
        <w:rPr>
          <w:rFonts w:ascii="Times New Roman" w:eastAsia="Calibri" w:hAnsi="Times New Roman" w:cs="Times New Roman"/>
          <w:sz w:val="24"/>
          <w:szCs w:val="24"/>
        </w:rPr>
        <w:t xml:space="preserve"> ce rapport proviennent</w:t>
      </w:r>
      <w:r w:rsidR="009D7694" w:rsidRPr="00C54AF9">
        <w:rPr>
          <w:rFonts w:ascii="Times New Roman" w:eastAsia="Calibri" w:hAnsi="Times New Roman" w:cs="Times New Roman"/>
          <w:sz w:val="24"/>
          <w:szCs w:val="24"/>
        </w:rPr>
        <w:t>, soit</w:t>
      </w:r>
      <w:r w:rsidRPr="00C54AF9">
        <w:rPr>
          <w:rFonts w:ascii="Times New Roman" w:eastAsia="Calibri" w:hAnsi="Times New Roman" w:cs="Times New Roman"/>
          <w:sz w:val="24"/>
          <w:szCs w:val="24"/>
        </w:rPr>
        <w:t xml:space="preserve"> des structures étatiques</w:t>
      </w:r>
      <w:r w:rsidR="00FE79B7" w:rsidRPr="00C54AF9">
        <w:rPr>
          <w:rFonts w:ascii="Times New Roman" w:eastAsia="Calibri" w:hAnsi="Times New Roman" w:cs="Times New Roman"/>
          <w:sz w:val="24"/>
          <w:szCs w:val="24"/>
        </w:rPr>
        <w:t>,</w:t>
      </w:r>
      <w:r w:rsidRPr="00C54AF9">
        <w:rPr>
          <w:rFonts w:ascii="Times New Roman" w:eastAsia="Calibri" w:hAnsi="Times New Roman" w:cs="Times New Roman"/>
          <w:sz w:val="24"/>
          <w:szCs w:val="24"/>
        </w:rPr>
        <w:t xml:space="preserve"> </w:t>
      </w:r>
      <w:r w:rsidR="00FE79B7" w:rsidRPr="00C54AF9">
        <w:rPr>
          <w:rFonts w:ascii="Times New Roman" w:eastAsia="Calibri" w:hAnsi="Times New Roman" w:cs="Times New Roman"/>
          <w:sz w:val="24"/>
          <w:szCs w:val="24"/>
        </w:rPr>
        <w:t>soit</w:t>
      </w:r>
      <w:r w:rsidR="009D7694" w:rsidRPr="00C54AF9">
        <w:rPr>
          <w:rFonts w:ascii="Times New Roman" w:eastAsia="Calibri" w:hAnsi="Times New Roman" w:cs="Times New Roman"/>
          <w:sz w:val="24"/>
          <w:szCs w:val="24"/>
        </w:rPr>
        <w:t xml:space="preserve"> des entreprises extractives.</w:t>
      </w:r>
      <w:r w:rsidR="00FE79B7" w:rsidRPr="00C54AF9">
        <w:rPr>
          <w:rFonts w:ascii="Times New Roman" w:eastAsia="Calibri" w:hAnsi="Times New Roman" w:cs="Times New Roman"/>
          <w:sz w:val="24"/>
          <w:szCs w:val="24"/>
        </w:rPr>
        <w:t xml:space="preserve"> La majeure partie d’entre elles a </w:t>
      </w:r>
      <w:r w:rsidR="009D7694" w:rsidRPr="00C54AF9">
        <w:rPr>
          <w:rFonts w:ascii="Times New Roman" w:eastAsia="Calibri" w:hAnsi="Times New Roman" w:cs="Times New Roman"/>
          <w:sz w:val="24"/>
          <w:szCs w:val="24"/>
        </w:rPr>
        <w:t>été</w:t>
      </w:r>
      <w:r w:rsidR="00FE79B7" w:rsidRPr="00C54AF9">
        <w:rPr>
          <w:rFonts w:ascii="Times New Roman" w:eastAsia="Calibri" w:hAnsi="Times New Roman" w:cs="Times New Roman"/>
          <w:sz w:val="24"/>
          <w:szCs w:val="24"/>
        </w:rPr>
        <w:t xml:space="preserve"> approuvée</w:t>
      </w:r>
      <w:r w:rsidR="009D7694" w:rsidRPr="00C54AF9">
        <w:rPr>
          <w:rFonts w:ascii="Times New Roman" w:eastAsia="Calibri" w:hAnsi="Times New Roman" w:cs="Times New Roman"/>
          <w:sz w:val="24"/>
          <w:szCs w:val="24"/>
        </w:rPr>
        <w:t xml:space="preserve"> par les Responsables des entités respectives conformément au mécanisme de fiabilisation adopté par le Comité Exécutif. </w:t>
      </w:r>
      <w:r w:rsidR="00FE79B7" w:rsidRPr="00C54AF9">
        <w:rPr>
          <w:rFonts w:ascii="Times New Roman" w:eastAsia="Calibri" w:hAnsi="Times New Roman" w:cs="Times New Roman"/>
          <w:sz w:val="24"/>
          <w:szCs w:val="24"/>
        </w:rPr>
        <w:t>D’autres ont fait l’objet de publication officielle.</w:t>
      </w:r>
    </w:p>
    <w:p w14:paraId="151C736A" w14:textId="77777777" w:rsidR="00FE79B7" w:rsidRPr="00C54AF9" w:rsidRDefault="00FE79B7" w:rsidP="009D7694">
      <w:pPr>
        <w:pStyle w:val="Paragraphedeliste"/>
        <w:ind w:left="1080"/>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Ainsi, nous avons l’assurance que les informations contenues dans ce rapport sont fiables.</w:t>
      </w:r>
    </w:p>
    <w:p w14:paraId="7F8464C6" w14:textId="77777777" w:rsidR="00866639" w:rsidRPr="00730E67" w:rsidRDefault="00866639" w:rsidP="00730E67">
      <w:pPr>
        <w:ind w:left="360"/>
        <w:jc w:val="both"/>
        <w:rPr>
          <w:lang w:val="fr-BE"/>
        </w:rPr>
      </w:pPr>
    </w:p>
    <w:p w14:paraId="151AF3C6" w14:textId="77777777" w:rsidR="00F56766" w:rsidRDefault="00F56766" w:rsidP="00295E3B">
      <w:pPr>
        <w:pStyle w:val="Paragraphedeliste"/>
        <w:ind w:left="0"/>
        <w:jc w:val="both"/>
        <w:rPr>
          <w:rFonts w:ascii="Calibri" w:hAnsi="Calibri"/>
          <w:lang w:val="fr-BE"/>
        </w:rPr>
      </w:pPr>
    </w:p>
    <w:p w14:paraId="46069F83" w14:textId="77777777" w:rsidR="00F56766" w:rsidRDefault="00F56766" w:rsidP="00295E3B">
      <w:pPr>
        <w:pStyle w:val="Paragraphedeliste"/>
        <w:ind w:left="0"/>
        <w:jc w:val="both"/>
        <w:rPr>
          <w:rFonts w:ascii="Calibri" w:hAnsi="Calibri"/>
          <w:lang w:val="fr-BE"/>
        </w:rPr>
      </w:pPr>
    </w:p>
    <w:p w14:paraId="0722415B" w14:textId="77777777" w:rsidR="00295E3B" w:rsidRPr="0014480D" w:rsidRDefault="00295E3B" w:rsidP="00295E3B">
      <w:pPr>
        <w:rPr>
          <w:lang w:val="fr-BE"/>
        </w:rPr>
      </w:pPr>
    </w:p>
    <w:p w14:paraId="4831EE97" w14:textId="77777777" w:rsidR="00295E3B" w:rsidRDefault="00295E3B">
      <w:pPr>
        <w:rPr>
          <w:rFonts w:ascii="Times New Roman" w:hAnsi="Times New Roman"/>
          <w:sz w:val="28"/>
          <w:szCs w:val="28"/>
        </w:rPr>
      </w:pPr>
      <w:r>
        <w:rPr>
          <w:rFonts w:ascii="Times New Roman" w:hAnsi="Times New Roman"/>
          <w:sz w:val="28"/>
          <w:szCs w:val="28"/>
        </w:rPr>
        <w:br w:type="page"/>
      </w:r>
    </w:p>
    <w:p w14:paraId="3E9AE8FA" w14:textId="77777777" w:rsidR="00207B98" w:rsidRPr="00840E13" w:rsidRDefault="00207B98" w:rsidP="000738D3">
      <w:pPr>
        <w:pStyle w:val="Titre1"/>
        <w:numPr>
          <w:ilvl w:val="0"/>
          <w:numId w:val="4"/>
        </w:numPr>
        <w:spacing w:before="0" w:after="0"/>
        <w:ind w:left="426" w:right="1" w:hanging="425"/>
        <w:contextualSpacing w:val="0"/>
        <w:rPr>
          <w:rFonts w:ascii="Times New Roman" w:hAnsi="Times New Roman" w:cs="Times New Roman"/>
          <w:sz w:val="28"/>
          <w:szCs w:val="28"/>
        </w:rPr>
      </w:pPr>
      <w:bookmarkStart w:id="27" w:name="_Toc518468052"/>
      <w:r w:rsidRPr="00840E13">
        <w:rPr>
          <w:rFonts w:ascii="Times New Roman" w:hAnsi="Times New Roman" w:cs="Times New Roman"/>
          <w:sz w:val="28"/>
          <w:szCs w:val="28"/>
        </w:rPr>
        <w:lastRenderedPageBreak/>
        <w:t>CADRE LEGAL ET REGIME FISCAL APPLICABLES AUX INDUSTRIES MINIERES ET PETROLIERES EN RDC</w:t>
      </w:r>
      <w:bookmarkEnd w:id="2"/>
      <w:bookmarkEnd w:id="1"/>
      <w:bookmarkEnd w:id="0"/>
      <w:bookmarkEnd w:id="27"/>
    </w:p>
    <w:p w14:paraId="57E89BA8" w14:textId="77777777" w:rsidR="00207B98" w:rsidRPr="00840E13" w:rsidRDefault="00207B98" w:rsidP="00207B98">
      <w:pPr>
        <w:spacing w:line="240" w:lineRule="auto"/>
        <w:ind w:left="1418" w:right="567"/>
        <w:jc w:val="both"/>
        <w:rPr>
          <w:rFonts w:ascii="Times New Roman" w:hAnsi="Times New Roman"/>
        </w:rPr>
      </w:pPr>
    </w:p>
    <w:p w14:paraId="11A857E6" w14:textId="77777777" w:rsidR="00207B98" w:rsidRPr="00173CA9" w:rsidRDefault="00207B98" w:rsidP="003A6A80">
      <w:pPr>
        <w:spacing w:line="276" w:lineRule="auto"/>
        <w:ind w:right="567"/>
        <w:jc w:val="both"/>
        <w:rPr>
          <w:rFonts w:ascii="Times New Roman" w:hAnsi="Times New Roman"/>
          <w:sz w:val="24"/>
          <w:szCs w:val="24"/>
        </w:rPr>
      </w:pPr>
      <w:r w:rsidRPr="00173CA9">
        <w:rPr>
          <w:rFonts w:ascii="Times New Roman" w:hAnsi="Times New Roman"/>
          <w:sz w:val="24"/>
          <w:szCs w:val="24"/>
        </w:rPr>
        <w:t xml:space="preserve">En République Démocratique du Congo, les principes de gestion </w:t>
      </w:r>
      <w:r>
        <w:rPr>
          <w:rFonts w:ascii="Times New Roman" w:hAnsi="Times New Roman"/>
          <w:sz w:val="24"/>
          <w:szCs w:val="24"/>
        </w:rPr>
        <w:t>des ressources naturelles</w:t>
      </w:r>
      <w:r w:rsidRPr="00173CA9">
        <w:rPr>
          <w:rFonts w:ascii="Times New Roman" w:hAnsi="Times New Roman"/>
          <w:sz w:val="24"/>
          <w:szCs w:val="24"/>
        </w:rPr>
        <w:t xml:space="preserve"> sont posés dans la </w:t>
      </w:r>
      <w:r w:rsidRPr="002C5CE0">
        <w:rPr>
          <w:rFonts w:ascii="Times New Roman" w:hAnsi="Times New Roman"/>
          <w:b/>
          <w:sz w:val="24"/>
          <w:szCs w:val="24"/>
        </w:rPr>
        <w:t>Constitution</w:t>
      </w:r>
      <w:r w:rsidR="002C5CE0">
        <w:rPr>
          <w:rStyle w:val="Appelnotedebasdep"/>
          <w:rFonts w:ascii="Times New Roman" w:hAnsi="Times New Roman"/>
          <w:b/>
          <w:sz w:val="24"/>
          <w:szCs w:val="24"/>
        </w:rPr>
        <w:footnoteReference w:id="1"/>
      </w:r>
      <w:r>
        <w:rPr>
          <w:rStyle w:val="Appelnotedebasdep"/>
          <w:rFonts w:ascii="Times New Roman" w:hAnsi="Times New Roman"/>
          <w:b/>
          <w:sz w:val="24"/>
          <w:szCs w:val="24"/>
        </w:rPr>
        <w:t xml:space="preserve"> </w:t>
      </w:r>
      <w:r w:rsidRPr="00173CA9">
        <w:rPr>
          <w:rFonts w:ascii="Times New Roman" w:hAnsi="Times New Roman"/>
          <w:sz w:val="24"/>
          <w:szCs w:val="24"/>
        </w:rPr>
        <w:t>du 18 février 2006, telle que modifiée par la Loi n°11/002 du 20 janvier 2011</w:t>
      </w:r>
      <w:r>
        <w:rPr>
          <w:rStyle w:val="Appelnotedebasdep"/>
          <w:rFonts w:ascii="Times New Roman" w:hAnsi="Times New Roman"/>
          <w:sz w:val="24"/>
          <w:szCs w:val="24"/>
        </w:rPr>
        <w:footnoteReference w:id="2"/>
      </w:r>
      <w:r w:rsidRPr="00173CA9">
        <w:rPr>
          <w:rFonts w:ascii="Times New Roman" w:hAnsi="Times New Roman"/>
          <w:sz w:val="24"/>
          <w:szCs w:val="24"/>
        </w:rPr>
        <w:t xml:space="preserve">. </w:t>
      </w:r>
    </w:p>
    <w:p w14:paraId="0240BA32" w14:textId="77777777" w:rsidR="00207B98" w:rsidRPr="00173CA9" w:rsidRDefault="00207B98" w:rsidP="003A6A80">
      <w:pPr>
        <w:spacing w:line="276" w:lineRule="auto"/>
        <w:ind w:right="567"/>
        <w:jc w:val="both"/>
        <w:rPr>
          <w:rFonts w:ascii="Times New Roman" w:hAnsi="Times New Roman"/>
          <w:color w:val="000000"/>
          <w:sz w:val="24"/>
          <w:szCs w:val="24"/>
          <w:lang w:eastAsia="fr-FR"/>
        </w:rPr>
      </w:pPr>
      <w:r w:rsidRPr="00173CA9">
        <w:rPr>
          <w:rFonts w:ascii="Times New Roman" w:hAnsi="Times New Roman"/>
          <w:sz w:val="24"/>
          <w:szCs w:val="24"/>
        </w:rPr>
        <w:t xml:space="preserve">En effet, l’article 9 de la Constitution dispose que </w:t>
      </w:r>
      <w:r w:rsidRPr="00173CA9">
        <w:rPr>
          <w:rFonts w:ascii="Times New Roman" w:hAnsi="Times New Roman"/>
          <w:i/>
          <w:color w:val="000000"/>
          <w:sz w:val="24"/>
          <w:szCs w:val="24"/>
          <w:lang w:eastAsia="fr-FR"/>
        </w:rPr>
        <w:t>«</w:t>
      </w:r>
      <w:r w:rsidRPr="00173CA9">
        <w:rPr>
          <w:rFonts w:ascii="Times New Roman" w:hAnsi="Times New Roman"/>
          <w:b/>
          <w:i/>
          <w:color w:val="000000"/>
          <w:sz w:val="24"/>
          <w:szCs w:val="24"/>
          <w:lang w:eastAsia="fr-FR"/>
        </w:rPr>
        <w:t>L’État exerce une souveraineté permanente notamment sur le sol, le sous-sol, les eaux et les forêts, sur les espaces aérien, fluvial, lacustre et maritime congolais ainsi que sur la mer territoriale congolaise et sur le plateau continental</w:t>
      </w:r>
      <w:r w:rsidRPr="00173CA9">
        <w:rPr>
          <w:rFonts w:ascii="Times New Roman" w:hAnsi="Times New Roman"/>
          <w:i/>
          <w:color w:val="000000"/>
          <w:sz w:val="24"/>
          <w:szCs w:val="24"/>
          <w:lang w:eastAsia="fr-FR"/>
        </w:rPr>
        <w:t>»</w:t>
      </w:r>
      <w:r w:rsidRPr="00173CA9">
        <w:rPr>
          <w:rFonts w:ascii="Times New Roman" w:hAnsi="Times New Roman"/>
          <w:color w:val="000000"/>
          <w:sz w:val="24"/>
          <w:szCs w:val="24"/>
          <w:lang w:eastAsia="fr-FR"/>
        </w:rPr>
        <w:t xml:space="preserve">. De ce fait, l’Etat, à travers le Gouvernement central, a la compétence exclusive de légiférer dans le domaine économique en prenant les lois sur les mines, minéraux et huiles minérales, l’industrie, les sources d’énergie et la conservation des ressources naturelles (Constitution article 202, point 36, litera f). </w:t>
      </w:r>
    </w:p>
    <w:p w14:paraId="0833C704" w14:textId="77777777" w:rsidR="00207B98" w:rsidRPr="00173CA9" w:rsidRDefault="00207B98" w:rsidP="003A6A80">
      <w:pPr>
        <w:spacing w:line="276" w:lineRule="auto"/>
        <w:ind w:right="567"/>
        <w:jc w:val="both"/>
        <w:rPr>
          <w:rFonts w:ascii="Times New Roman" w:hAnsi="Times New Roman"/>
          <w:color w:val="000000"/>
          <w:sz w:val="24"/>
          <w:szCs w:val="24"/>
          <w:lang w:eastAsia="fr-FR"/>
        </w:rPr>
      </w:pPr>
      <w:r w:rsidRPr="00173CA9">
        <w:rPr>
          <w:rFonts w:ascii="Times New Roman" w:hAnsi="Times New Roman"/>
          <w:color w:val="000000"/>
          <w:sz w:val="24"/>
          <w:szCs w:val="24"/>
          <w:lang w:eastAsia="fr-FR"/>
        </w:rPr>
        <w:t xml:space="preserve">Par ailleurs, dans certaines matières relevant du domaine règlementaire des ressources naturelles, le Gouvernement Central collabore avec les gouvernements provinciaux (Constitution, </w:t>
      </w:r>
      <w:r w:rsidRPr="00173CA9">
        <w:rPr>
          <w:rFonts w:ascii="Times New Roman" w:hAnsi="Times New Roman"/>
          <w:sz w:val="24"/>
          <w:szCs w:val="24"/>
        </w:rPr>
        <w:t>article 203, points</w:t>
      </w:r>
      <w:r>
        <w:rPr>
          <w:rFonts w:ascii="Times New Roman" w:hAnsi="Times New Roman"/>
          <w:sz w:val="24"/>
          <w:szCs w:val="24"/>
        </w:rPr>
        <w:t xml:space="preserve"> 1,</w:t>
      </w:r>
      <w:r w:rsidRPr="00173CA9">
        <w:rPr>
          <w:rFonts w:ascii="Times New Roman" w:hAnsi="Times New Roman"/>
          <w:sz w:val="24"/>
          <w:szCs w:val="24"/>
        </w:rPr>
        <w:t xml:space="preserve"> 16, 18 et 19). Dans le secteur extractif, il s’agit notamment d</w:t>
      </w:r>
      <w:r w:rsidRPr="00173CA9">
        <w:rPr>
          <w:rFonts w:ascii="Times New Roman" w:hAnsi="Times New Roman"/>
          <w:color w:val="000000"/>
          <w:sz w:val="24"/>
          <w:szCs w:val="24"/>
          <w:lang w:eastAsia="fr-FR"/>
        </w:rPr>
        <w:t xml:space="preserve">es droits </w:t>
      </w:r>
      <w:r w:rsidRPr="00C61496">
        <w:rPr>
          <w:rFonts w:ascii="Times New Roman" w:hAnsi="Times New Roman"/>
          <w:color w:val="000000"/>
          <w:sz w:val="24"/>
          <w:szCs w:val="24"/>
          <w:lang w:eastAsia="fr-FR"/>
        </w:rPr>
        <w:t>humains,</w:t>
      </w:r>
      <w:r w:rsidRPr="00173CA9">
        <w:rPr>
          <w:rFonts w:ascii="Times New Roman" w:hAnsi="Times New Roman"/>
          <w:color w:val="000000"/>
          <w:sz w:val="24"/>
          <w:szCs w:val="24"/>
          <w:lang w:eastAsia="fr-FR"/>
        </w:rPr>
        <w:t xml:space="preserve"> fonciers et miniers, de l’aménagement du territoire, du régime des eaux et forêts; de la protection de l’environnement, des sites naturels, des paysages et la conservation des sites; de la réglementation sur les régimes énergétiques.</w:t>
      </w:r>
    </w:p>
    <w:p w14:paraId="4566966F" w14:textId="77777777" w:rsidR="00207B98" w:rsidRDefault="00207B98" w:rsidP="003A6A80">
      <w:pPr>
        <w:spacing w:line="276" w:lineRule="auto"/>
        <w:ind w:right="567"/>
        <w:jc w:val="both"/>
        <w:rPr>
          <w:rFonts w:ascii="Times New Roman" w:hAnsi="Times New Roman"/>
          <w:color w:val="000000"/>
          <w:sz w:val="24"/>
          <w:szCs w:val="24"/>
          <w:lang w:eastAsia="fr-FR"/>
        </w:rPr>
      </w:pPr>
      <w:r w:rsidRPr="00173CA9">
        <w:rPr>
          <w:rFonts w:ascii="Times New Roman" w:hAnsi="Times New Roman"/>
          <w:color w:val="000000"/>
          <w:sz w:val="24"/>
          <w:szCs w:val="24"/>
          <w:lang w:eastAsia="fr-FR"/>
        </w:rPr>
        <w:t xml:space="preserve">Le présent rapport décrit le cadre légal et le régime fiscal applicables aux industries minières et pétrolières en République Démocratique du Congo d’une part et, d’autre part, </w:t>
      </w:r>
      <w:r>
        <w:rPr>
          <w:rFonts w:ascii="Times New Roman" w:hAnsi="Times New Roman"/>
          <w:color w:val="000000"/>
          <w:sz w:val="24"/>
          <w:szCs w:val="24"/>
          <w:lang w:eastAsia="fr-FR"/>
        </w:rPr>
        <w:t>présente</w:t>
      </w:r>
      <w:r w:rsidRPr="00173CA9">
        <w:rPr>
          <w:rFonts w:ascii="Times New Roman" w:hAnsi="Times New Roman"/>
          <w:color w:val="000000"/>
          <w:sz w:val="24"/>
          <w:szCs w:val="24"/>
          <w:lang w:eastAsia="fr-FR"/>
        </w:rPr>
        <w:t xml:space="preserve">, à l’aide des tableaux en format exploitable postés sur le </w:t>
      </w:r>
      <w:hyperlink r:id="rId15" w:history="1">
        <w:r w:rsidRPr="00C61496">
          <w:rPr>
            <w:rStyle w:val="Lienhypertexte"/>
            <w:b/>
          </w:rPr>
          <w:t>site</w:t>
        </w:r>
      </w:hyperlink>
      <w:r w:rsidRPr="00173CA9">
        <w:rPr>
          <w:rFonts w:ascii="Times New Roman" w:hAnsi="Times New Roman"/>
          <w:color w:val="000000"/>
          <w:sz w:val="24"/>
          <w:szCs w:val="24"/>
          <w:lang w:eastAsia="fr-FR"/>
        </w:rPr>
        <w:t xml:space="preserve"> web de l’ITIE-RDC</w:t>
      </w:r>
      <w:r>
        <w:rPr>
          <w:rStyle w:val="Appelnotedebasdep"/>
          <w:rFonts w:ascii="Times New Roman" w:hAnsi="Times New Roman"/>
          <w:color w:val="000000"/>
          <w:sz w:val="24"/>
          <w:szCs w:val="24"/>
          <w:lang w:eastAsia="fr-FR"/>
        </w:rPr>
        <w:footnoteReference w:id="3"/>
      </w:r>
      <w:r w:rsidRPr="00173CA9">
        <w:rPr>
          <w:rFonts w:ascii="Times New Roman" w:hAnsi="Times New Roman"/>
          <w:color w:val="000000"/>
          <w:sz w:val="24"/>
          <w:szCs w:val="24"/>
          <w:lang w:eastAsia="fr-FR"/>
        </w:rPr>
        <w:t>, la catégorisation des flux des revenus perçus selon le cas par le Gouvernement central</w:t>
      </w:r>
      <w:r>
        <w:rPr>
          <w:rFonts w:ascii="Times New Roman" w:hAnsi="Times New Roman"/>
          <w:color w:val="000000"/>
          <w:sz w:val="24"/>
          <w:szCs w:val="24"/>
          <w:lang w:eastAsia="fr-FR"/>
        </w:rPr>
        <w:t xml:space="preserve">, </w:t>
      </w:r>
      <w:r w:rsidRPr="00173CA9">
        <w:rPr>
          <w:rFonts w:ascii="Times New Roman" w:hAnsi="Times New Roman"/>
          <w:color w:val="000000"/>
          <w:sz w:val="24"/>
          <w:szCs w:val="24"/>
          <w:lang w:eastAsia="fr-FR"/>
        </w:rPr>
        <w:t>par les provinces</w:t>
      </w:r>
      <w:r>
        <w:rPr>
          <w:rFonts w:ascii="Times New Roman" w:hAnsi="Times New Roman"/>
          <w:color w:val="000000"/>
          <w:sz w:val="24"/>
          <w:szCs w:val="24"/>
          <w:lang w:eastAsia="fr-FR"/>
        </w:rPr>
        <w:t xml:space="preserve"> et par les EPE</w:t>
      </w:r>
      <w:r w:rsidRPr="00173CA9">
        <w:rPr>
          <w:rFonts w:ascii="Times New Roman" w:hAnsi="Times New Roman"/>
          <w:color w:val="000000"/>
          <w:sz w:val="24"/>
          <w:szCs w:val="24"/>
          <w:lang w:eastAsia="fr-FR"/>
        </w:rPr>
        <w:t>.</w:t>
      </w:r>
    </w:p>
    <w:p w14:paraId="0BA5F0B7" w14:textId="77777777" w:rsidR="003A6A80" w:rsidRDefault="003A6A80">
      <w:bookmarkStart w:id="28" w:name="_Toc515589767"/>
      <w:bookmarkStart w:id="29" w:name="_Toc515792927"/>
      <w:bookmarkStart w:id="30" w:name="_Toc515793166"/>
      <w:r>
        <w:br w:type="page"/>
      </w:r>
    </w:p>
    <w:p w14:paraId="78106336" w14:textId="3EB35111" w:rsidR="00207B98" w:rsidRPr="00840E13" w:rsidRDefault="00207B98" w:rsidP="00207B98">
      <w:pPr>
        <w:pStyle w:val="Titre2"/>
        <w:rPr>
          <w:rFonts w:ascii="Times New Roman" w:hAnsi="Times New Roman" w:cs="Times New Roman"/>
          <w:sz w:val="24"/>
          <w:szCs w:val="24"/>
        </w:rPr>
      </w:pPr>
      <w:bookmarkStart w:id="31" w:name="_Toc518135482"/>
      <w:bookmarkStart w:id="32" w:name="_Toc518468053"/>
      <w:r>
        <w:rPr>
          <w:rFonts w:ascii="Times New Roman" w:hAnsi="Times New Roman" w:cs="Times New Roman"/>
          <w:sz w:val="24"/>
          <w:szCs w:val="24"/>
        </w:rPr>
        <w:lastRenderedPageBreak/>
        <w:t xml:space="preserve">I.1. </w:t>
      </w:r>
      <w:r w:rsidR="00AA5F3F" w:rsidRPr="00840E13">
        <w:rPr>
          <w:rFonts w:ascii="Times New Roman" w:hAnsi="Times New Roman" w:cs="Times New Roman"/>
          <w:caps w:val="0"/>
          <w:sz w:val="24"/>
          <w:szCs w:val="24"/>
        </w:rPr>
        <w:t xml:space="preserve">Cadre légal et régime fiscal applicables au secteur </w:t>
      </w:r>
      <w:bookmarkEnd w:id="28"/>
      <w:bookmarkEnd w:id="29"/>
      <w:bookmarkEnd w:id="30"/>
      <w:bookmarkEnd w:id="31"/>
      <w:r w:rsidR="00AA5F3F" w:rsidRPr="00840E13">
        <w:rPr>
          <w:rFonts w:ascii="Times New Roman" w:hAnsi="Times New Roman" w:cs="Times New Roman"/>
          <w:caps w:val="0"/>
          <w:sz w:val="24"/>
          <w:szCs w:val="24"/>
        </w:rPr>
        <w:t>pétrolier</w:t>
      </w:r>
      <w:bookmarkEnd w:id="32"/>
    </w:p>
    <w:p w14:paraId="27BAFA71" w14:textId="77777777" w:rsidR="00207B98" w:rsidRPr="00840E13" w:rsidRDefault="00207B98" w:rsidP="002C5CE0">
      <w:pPr>
        <w:pStyle w:val="Titre3"/>
        <w:ind w:left="426"/>
        <w:rPr>
          <w:rFonts w:ascii="Times New Roman" w:hAnsi="Times New Roman" w:cs="Times New Roman"/>
          <w:sz w:val="24"/>
          <w:szCs w:val="24"/>
        </w:rPr>
      </w:pPr>
      <w:bookmarkStart w:id="33" w:name="_Toc515589768"/>
      <w:bookmarkStart w:id="34" w:name="_Toc515792928"/>
      <w:bookmarkStart w:id="35" w:name="_Toc515793167"/>
      <w:bookmarkStart w:id="36" w:name="_Toc518135483"/>
      <w:bookmarkStart w:id="37" w:name="_Toc518468054"/>
      <w:r>
        <w:rPr>
          <w:rFonts w:ascii="Times New Roman" w:hAnsi="Times New Roman" w:cs="Times New Roman"/>
          <w:sz w:val="24"/>
          <w:szCs w:val="24"/>
        </w:rPr>
        <w:t xml:space="preserve">I.1.1. </w:t>
      </w:r>
      <w:r w:rsidRPr="00840E13">
        <w:rPr>
          <w:rFonts w:ascii="Times New Roman" w:hAnsi="Times New Roman" w:cs="Times New Roman"/>
          <w:sz w:val="24"/>
          <w:szCs w:val="24"/>
        </w:rPr>
        <w:t>Cadre légal et aperçu des lois et règlements en vigueur</w:t>
      </w:r>
      <w:bookmarkEnd w:id="33"/>
      <w:bookmarkEnd w:id="34"/>
      <w:bookmarkEnd w:id="35"/>
      <w:bookmarkEnd w:id="36"/>
      <w:bookmarkEnd w:id="37"/>
      <w:r w:rsidRPr="00840E13">
        <w:rPr>
          <w:rFonts w:ascii="Times New Roman" w:hAnsi="Times New Roman" w:cs="Times New Roman"/>
          <w:sz w:val="24"/>
          <w:szCs w:val="24"/>
        </w:rPr>
        <w:t xml:space="preserve"> </w:t>
      </w:r>
    </w:p>
    <w:p w14:paraId="4B268336" w14:textId="77777777" w:rsidR="00207B98" w:rsidRPr="00173CA9" w:rsidRDefault="00207B98" w:rsidP="003A6A80">
      <w:pPr>
        <w:spacing w:after="0" w:line="276" w:lineRule="auto"/>
        <w:ind w:left="426" w:right="567"/>
        <w:jc w:val="both"/>
        <w:rPr>
          <w:rFonts w:ascii="Times New Roman" w:hAnsi="Times New Roman"/>
          <w:sz w:val="24"/>
          <w:szCs w:val="24"/>
        </w:rPr>
      </w:pPr>
      <w:r w:rsidRPr="00173CA9">
        <w:rPr>
          <w:rFonts w:ascii="Times New Roman" w:hAnsi="Times New Roman"/>
          <w:sz w:val="24"/>
          <w:szCs w:val="24"/>
        </w:rPr>
        <w:t>En République Démocratique du Congo, le secteur des hydrocarbures est essentiellement régi par :</w:t>
      </w:r>
    </w:p>
    <w:p w14:paraId="1F84975F" w14:textId="77777777" w:rsidR="00207B98" w:rsidRPr="00173CA9" w:rsidRDefault="00207B98" w:rsidP="003A6A80">
      <w:pPr>
        <w:spacing w:after="0" w:line="276" w:lineRule="auto"/>
        <w:ind w:left="426" w:right="567"/>
        <w:jc w:val="both"/>
        <w:rPr>
          <w:rFonts w:ascii="Times New Roman" w:hAnsi="Times New Roman"/>
          <w:sz w:val="24"/>
          <w:szCs w:val="24"/>
        </w:rPr>
      </w:pPr>
    </w:p>
    <w:p w14:paraId="3CAFC871" w14:textId="77777777" w:rsidR="00207B98" w:rsidRPr="00173CA9" w:rsidRDefault="00207B98" w:rsidP="000738D3">
      <w:pPr>
        <w:numPr>
          <w:ilvl w:val="0"/>
          <w:numId w:val="17"/>
        </w:numPr>
        <w:spacing w:after="0" w:line="276" w:lineRule="auto"/>
        <w:ind w:left="993" w:right="567" w:hanging="284"/>
        <w:jc w:val="both"/>
        <w:rPr>
          <w:rFonts w:ascii="Times New Roman" w:hAnsi="Times New Roman"/>
          <w:sz w:val="24"/>
          <w:szCs w:val="24"/>
        </w:rPr>
      </w:pPr>
      <w:r w:rsidRPr="00173CA9">
        <w:rPr>
          <w:rFonts w:ascii="Times New Roman" w:hAnsi="Times New Roman"/>
          <w:sz w:val="24"/>
          <w:szCs w:val="24"/>
        </w:rPr>
        <w:t>la Loi n°15/012 du 1</w:t>
      </w:r>
      <w:r w:rsidRPr="00173CA9">
        <w:rPr>
          <w:rFonts w:ascii="Times New Roman" w:hAnsi="Times New Roman"/>
          <w:sz w:val="24"/>
          <w:szCs w:val="24"/>
          <w:vertAlign w:val="superscript"/>
        </w:rPr>
        <w:t>er</w:t>
      </w:r>
      <w:r w:rsidRPr="00173CA9">
        <w:rPr>
          <w:rFonts w:ascii="Times New Roman" w:hAnsi="Times New Roman"/>
          <w:sz w:val="24"/>
          <w:szCs w:val="24"/>
        </w:rPr>
        <w:t xml:space="preserve"> août 2015</w:t>
      </w:r>
      <w:r w:rsidRPr="00173CA9">
        <w:rPr>
          <w:rStyle w:val="Appelnotedebasdep"/>
          <w:rFonts w:ascii="Times New Roman" w:hAnsi="Times New Roman"/>
          <w:sz w:val="24"/>
          <w:szCs w:val="24"/>
        </w:rPr>
        <w:footnoteReference w:id="4"/>
      </w:r>
      <w:r w:rsidRPr="00173CA9">
        <w:rPr>
          <w:rFonts w:ascii="Times New Roman" w:hAnsi="Times New Roman"/>
          <w:sz w:val="24"/>
          <w:szCs w:val="24"/>
        </w:rPr>
        <w:t xml:space="preserve"> portant régime général des hydrocarbures ou </w:t>
      </w:r>
      <w:hyperlink r:id="rId16" w:history="1">
        <w:r w:rsidRPr="00D92C56">
          <w:rPr>
            <w:rStyle w:val="Lienhypertexte"/>
            <w:rFonts w:ascii="Times New Roman" w:hAnsi="Times New Roman"/>
            <w:sz w:val="24"/>
            <w:szCs w:val="24"/>
          </w:rPr>
          <w:t>Code des Hydrocarbures</w:t>
        </w:r>
      </w:hyperlink>
      <w:r w:rsidRPr="00173CA9">
        <w:rPr>
          <w:rFonts w:ascii="Times New Roman" w:hAnsi="Times New Roman"/>
          <w:sz w:val="24"/>
          <w:szCs w:val="24"/>
        </w:rPr>
        <w:t> </w:t>
      </w:r>
      <w:r>
        <w:rPr>
          <w:rFonts w:ascii="Times New Roman" w:hAnsi="Times New Roman"/>
          <w:sz w:val="24"/>
          <w:szCs w:val="24"/>
        </w:rPr>
        <w:t xml:space="preserve">(Ce Code peut également être téléchargé sur ce </w:t>
      </w:r>
      <w:hyperlink r:id="rId17" w:history="1">
        <w:r w:rsidRPr="000E646A">
          <w:rPr>
            <w:rStyle w:val="Lienhypertexte"/>
            <w:rFonts w:ascii="Times New Roman" w:hAnsi="Times New Roman"/>
            <w:sz w:val="24"/>
            <w:szCs w:val="24"/>
          </w:rPr>
          <w:t>lien</w:t>
        </w:r>
      </w:hyperlink>
      <w:r>
        <w:rPr>
          <w:rFonts w:ascii="Times New Roman" w:hAnsi="Times New Roman"/>
          <w:sz w:val="24"/>
          <w:szCs w:val="24"/>
        </w:rPr>
        <w:t>)</w:t>
      </w:r>
      <w:r>
        <w:rPr>
          <w:rStyle w:val="Appelnotedebasdep"/>
          <w:rFonts w:ascii="Times New Roman" w:hAnsi="Times New Roman"/>
          <w:sz w:val="24"/>
          <w:szCs w:val="24"/>
        </w:rPr>
        <w:footnoteReference w:id="5"/>
      </w:r>
      <w:r w:rsidRPr="00173CA9">
        <w:rPr>
          <w:rFonts w:ascii="Times New Roman" w:hAnsi="Times New Roman"/>
          <w:sz w:val="24"/>
          <w:szCs w:val="24"/>
        </w:rPr>
        <w:t>;</w:t>
      </w:r>
    </w:p>
    <w:p w14:paraId="3EA961FB" w14:textId="77777777" w:rsidR="00207B98" w:rsidRPr="00173CA9" w:rsidRDefault="00207B98" w:rsidP="000738D3">
      <w:pPr>
        <w:numPr>
          <w:ilvl w:val="0"/>
          <w:numId w:val="17"/>
        </w:numPr>
        <w:spacing w:after="0" w:line="276" w:lineRule="auto"/>
        <w:ind w:left="993" w:right="567" w:hanging="284"/>
        <w:jc w:val="both"/>
        <w:rPr>
          <w:rFonts w:ascii="Times New Roman" w:hAnsi="Times New Roman"/>
          <w:sz w:val="24"/>
          <w:szCs w:val="24"/>
        </w:rPr>
      </w:pPr>
      <w:r w:rsidRPr="00173CA9">
        <w:rPr>
          <w:rFonts w:ascii="Times New Roman" w:hAnsi="Times New Roman"/>
          <w:sz w:val="24"/>
          <w:szCs w:val="24"/>
        </w:rPr>
        <w:t>le Décret n°16/010 du 19 avril 2016</w:t>
      </w:r>
      <w:r>
        <w:rPr>
          <w:rStyle w:val="Appelnotedebasdep"/>
          <w:rFonts w:ascii="Times New Roman" w:hAnsi="Times New Roman"/>
          <w:sz w:val="24"/>
          <w:szCs w:val="24"/>
        </w:rPr>
        <w:footnoteReference w:id="6"/>
      </w:r>
      <w:r w:rsidRPr="00173CA9">
        <w:rPr>
          <w:rFonts w:ascii="Times New Roman" w:hAnsi="Times New Roman"/>
          <w:sz w:val="24"/>
          <w:szCs w:val="24"/>
        </w:rPr>
        <w:t xml:space="preserve"> portant </w:t>
      </w:r>
      <w:hyperlink r:id="rId18" w:history="1">
        <w:r w:rsidRPr="000E646A">
          <w:rPr>
            <w:rStyle w:val="Lienhypertexte"/>
            <w:rFonts w:ascii="Times New Roman" w:hAnsi="Times New Roman"/>
            <w:sz w:val="24"/>
            <w:szCs w:val="24"/>
          </w:rPr>
          <w:t>Règlement d’hydrocarbures</w:t>
        </w:r>
      </w:hyperlink>
      <w:r w:rsidRPr="00173CA9">
        <w:rPr>
          <w:rFonts w:ascii="Times New Roman" w:hAnsi="Times New Roman"/>
          <w:sz w:val="24"/>
          <w:szCs w:val="24"/>
        </w:rPr>
        <w:t xml:space="preserve">. </w:t>
      </w:r>
    </w:p>
    <w:p w14:paraId="0320A63D" w14:textId="77777777" w:rsidR="00207B98" w:rsidRPr="00173CA9" w:rsidRDefault="00207B98" w:rsidP="002C5CE0">
      <w:pPr>
        <w:spacing w:after="0" w:line="240" w:lineRule="auto"/>
        <w:ind w:left="426" w:right="567"/>
        <w:jc w:val="both"/>
        <w:rPr>
          <w:rFonts w:ascii="Times New Roman" w:hAnsi="Times New Roman"/>
          <w:sz w:val="24"/>
          <w:szCs w:val="24"/>
        </w:rPr>
      </w:pPr>
    </w:p>
    <w:p w14:paraId="169633A6" w14:textId="77777777" w:rsidR="00207B98" w:rsidRPr="00173CA9" w:rsidRDefault="00207B98" w:rsidP="002C5CE0">
      <w:pPr>
        <w:spacing w:after="0" w:line="240" w:lineRule="auto"/>
        <w:ind w:left="426" w:right="567"/>
        <w:jc w:val="both"/>
        <w:rPr>
          <w:rFonts w:ascii="Times New Roman" w:hAnsi="Times New Roman"/>
          <w:sz w:val="24"/>
          <w:szCs w:val="24"/>
        </w:rPr>
      </w:pPr>
      <w:r w:rsidRPr="00173CA9">
        <w:rPr>
          <w:rFonts w:ascii="Times New Roman" w:hAnsi="Times New Roman"/>
          <w:sz w:val="24"/>
          <w:szCs w:val="24"/>
        </w:rPr>
        <w:t>La loi portant régime général des hydrocarbures fixe le régime général applicable aux hydrocarbures. Elle définit le régime juridique et fiscal d'une part et, d’autre part, les  activités de  l’amont et de l’aval pétrolier. Cette loi abroge l'ordonnance-loi n°81-013 du 02 avril 1981 portant législation générale sur les mines et les hydrocarbures. Elle reprend les grandes lignes de cette dernière mais s’en démarque au travers les innovations qu’elle apporte, et qui sont reprises au point 1.5 ci-dessous.</w:t>
      </w:r>
    </w:p>
    <w:p w14:paraId="1B4837B5" w14:textId="77777777" w:rsidR="00207B98" w:rsidRPr="00173CA9" w:rsidRDefault="00207B98" w:rsidP="00207B98">
      <w:pPr>
        <w:spacing w:after="0" w:line="240" w:lineRule="auto"/>
        <w:ind w:left="993" w:right="567"/>
        <w:jc w:val="both"/>
        <w:rPr>
          <w:rFonts w:ascii="Times New Roman" w:hAnsi="Times New Roman"/>
          <w:sz w:val="24"/>
          <w:szCs w:val="24"/>
        </w:rPr>
      </w:pPr>
    </w:p>
    <w:p w14:paraId="3C8DE169" w14:textId="77777777" w:rsidR="00207B98" w:rsidRPr="00173CA9" w:rsidRDefault="00207B98" w:rsidP="002C5CE0">
      <w:pPr>
        <w:spacing w:after="0" w:line="240" w:lineRule="auto"/>
        <w:ind w:left="426" w:right="567"/>
        <w:jc w:val="both"/>
        <w:rPr>
          <w:rFonts w:ascii="Times New Roman" w:hAnsi="Times New Roman"/>
          <w:sz w:val="24"/>
          <w:szCs w:val="24"/>
        </w:rPr>
      </w:pPr>
      <w:r w:rsidRPr="00173CA9">
        <w:rPr>
          <w:rFonts w:ascii="Times New Roman" w:hAnsi="Times New Roman"/>
          <w:sz w:val="24"/>
          <w:szCs w:val="24"/>
        </w:rPr>
        <w:t>Les autres textes  réglementaires en  vigueur  dans  le  secteur  des  hydrocarbures  sont  ceux régissant essentiellement les activités d’hydrocarbures en aval qui n’intéressent pas le présent rapport</w:t>
      </w:r>
      <w:r>
        <w:rPr>
          <w:rFonts w:ascii="Times New Roman" w:hAnsi="Times New Roman"/>
          <w:sz w:val="24"/>
          <w:szCs w:val="24"/>
        </w:rPr>
        <w:t>, le processus ITIE ne traitant que de l’amont pétrolier ou des industries extractives</w:t>
      </w:r>
      <w:r w:rsidRPr="00173CA9">
        <w:rPr>
          <w:rFonts w:ascii="Times New Roman" w:hAnsi="Times New Roman"/>
          <w:sz w:val="24"/>
          <w:szCs w:val="24"/>
        </w:rPr>
        <w:t>.</w:t>
      </w:r>
    </w:p>
    <w:p w14:paraId="2A0D5E00" w14:textId="77777777" w:rsidR="00207B98" w:rsidRPr="00840E13" w:rsidRDefault="00207B98" w:rsidP="00207B98">
      <w:pPr>
        <w:spacing w:after="0" w:line="240" w:lineRule="auto"/>
        <w:ind w:left="1418" w:right="567"/>
        <w:jc w:val="both"/>
        <w:rPr>
          <w:rFonts w:ascii="Times New Roman" w:hAnsi="Times New Roman"/>
          <w:sz w:val="8"/>
          <w:szCs w:val="8"/>
        </w:rPr>
      </w:pPr>
    </w:p>
    <w:p w14:paraId="5DDBEC35" w14:textId="77777777" w:rsidR="00207B98" w:rsidRPr="00840E13" w:rsidRDefault="00207B98" w:rsidP="002C5CE0">
      <w:pPr>
        <w:pStyle w:val="Titre3"/>
        <w:spacing w:before="240"/>
        <w:ind w:left="426"/>
        <w:rPr>
          <w:rFonts w:ascii="Times New Roman" w:hAnsi="Times New Roman" w:cs="Times New Roman"/>
          <w:sz w:val="24"/>
          <w:szCs w:val="24"/>
        </w:rPr>
      </w:pPr>
      <w:bookmarkStart w:id="38" w:name="_Toc515589769"/>
      <w:bookmarkStart w:id="39" w:name="_Toc515792929"/>
      <w:bookmarkStart w:id="40" w:name="_Toc515793168"/>
      <w:bookmarkStart w:id="41" w:name="_Toc518135484"/>
      <w:bookmarkStart w:id="42" w:name="_Toc518468055"/>
      <w:r>
        <w:rPr>
          <w:rFonts w:ascii="Times New Roman" w:hAnsi="Times New Roman" w:cs="Times New Roman"/>
          <w:sz w:val="24"/>
          <w:szCs w:val="24"/>
        </w:rPr>
        <w:t xml:space="preserve">I.1.2. </w:t>
      </w:r>
      <w:r w:rsidRPr="00840E13">
        <w:rPr>
          <w:rFonts w:ascii="Times New Roman" w:hAnsi="Times New Roman" w:cs="Times New Roman"/>
          <w:sz w:val="24"/>
          <w:szCs w:val="24"/>
        </w:rPr>
        <w:t>Régime fiscal, douanier et de change des industries pétrolières</w:t>
      </w:r>
      <w:bookmarkEnd w:id="38"/>
      <w:bookmarkEnd w:id="39"/>
      <w:bookmarkEnd w:id="40"/>
      <w:bookmarkEnd w:id="41"/>
      <w:bookmarkEnd w:id="42"/>
    </w:p>
    <w:p w14:paraId="59018EA9" w14:textId="77777777" w:rsidR="00207B98" w:rsidRPr="00173CA9" w:rsidRDefault="00207B98" w:rsidP="003A6A80">
      <w:pPr>
        <w:spacing w:after="0" w:line="276" w:lineRule="auto"/>
        <w:ind w:left="426" w:right="567"/>
        <w:jc w:val="both"/>
        <w:rPr>
          <w:rFonts w:ascii="Times New Roman" w:hAnsi="Times New Roman"/>
          <w:sz w:val="24"/>
          <w:szCs w:val="24"/>
        </w:rPr>
      </w:pPr>
      <w:r w:rsidRPr="00173CA9">
        <w:rPr>
          <w:rFonts w:ascii="Times New Roman" w:hAnsi="Times New Roman"/>
          <w:sz w:val="24"/>
          <w:szCs w:val="24"/>
        </w:rPr>
        <w:t>Dans ses dispositions transitoires (article 189), la Loi n°15/012 du 1</w:t>
      </w:r>
      <w:r w:rsidRPr="00173CA9">
        <w:rPr>
          <w:rFonts w:ascii="Times New Roman" w:hAnsi="Times New Roman"/>
          <w:sz w:val="24"/>
          <w:szCs w:val="24"/>
          <w:vertAlign w:val="superscript"/>
        </w:rPr>
        <w:t>er</w:t>
      </w:r>
      <w:r w:rsidRPr="00173CA9">
        <w:rPr>
          <w:rFonts w:ascii="Times New Roman" w:hAnsi="Times New Roman"/>
          <w:sz w:val="24"/>
          <w:szCs w:val="24"/>
        </w:rPr>
        <w:t xml:space="preserve"> août 2015 dispose que </w:t>
      </w:r>
      <w:r w:rsidRPr="00173CA9">
        <w:rPr>
          <w:rFonts w:ascii="Times New Roman" w:hAnsi="Times New Roman"/>
          <w:b/>
          <w:i/>
          <w:sz w:val="24"/>
          <w:szCs w:val="24"/>
        </w:rPr>
        <w:t>« Sous réserve du respect des dispositions relatives à la protection de l'environnement, à la sécurité et à l'hygiène qui sont d'application immédiate,</w:t>
      </w:r>
      <w:r w:rsidRPr="00173CA9">
        <w:rPr>
          <w:rFonts w:ascii="Times New Roman" w:hAnsi="Times New Roman"/>
          <w:i/>
          <w:sz w:val="24"/>
          <w:szCs w:val="24"/>
        </w:rPr>
        <w:t xml:space="preserve"> </w:t>
      </w:r>
      <w:r w:rsidRPr="00173CA9">
        <w:rPr>
          <w:rFonts w:ascii="Times New Roman" w:hAnsi="Times New Roman"/>
          <w:b/>
          <w:i/>
          <w:sz w:val="24"/>
          <w:szCs w:val="24"/>
        </w:rPr>
        <w:t>les droits d'hydrocarbures régulièrement acquis avant l'entrée en vigueur de la présente loi</w:t>
      </w:r>
      <w:r w:rsidRPr="00173CA9">
        <w:rPr>
          <w:rFonts w:ascii="Times New Roman" w:hAnsi="Times New Roman"/>
          <w:i/>
          <w:sz w:val="24"/>
          <w:szCs w:val="24"/>
        </w:rPr>
        <w:t xml:space="preserve"> </w:t>
      </w:r>
      <w:r w:rsidRPr="00173CA9">
        <w:rPr>
          <w:rFonts w:ascii="Times New Roman" w:hAnsi="Times New Roman"/>
          <w:b/>
          <w:i/>
          <w:sz w:val="24"/>
          <w:szCs w:val="24"/>
        </w:rPr>
        <w:t>conservent leur validité jusqu'à leur expiration. A leur renouvellement, ils sont régis par les dispositions de la présente loi »</w:t>
      </w:r>
      <w:r w:rsidRPr="00173CA9">
        <w:rPr>
          <w:rFonts w:ascii="Times New Roman" w:hAnsi="Times New Roman"/>
          <w:i/>
          <w:sz w:val="24"/>
          <w:szCs w:val="24"/>
        </w:rPr>
        <w:t xml:space="preserve">. </w:t>
      </w:r>
    </w:p>
    <w:p w14:paraId="2BCAC855" w14:textId="77777777" w:rsidR="00207B98" w:rsidRPr="00173CA9" w:rsidRDefault="00207B98" w:rsidP="002C5CE0">
      <w:pPr>
        <w:spacing w:after="0" w:line="240" w:lineRule="auto"/>
        <w:ind w:left="426" w:right="567"/>
        <w:jc w:val="both"/>
        <w:rPr>
          <w:rFonts w:ascii="Times New Roman" w:hAnsi="Times New Roman"/>
          <w:sz w:val="24"/>
          <w:szCs w:val="24"/>
        </w:rPr>
      </w:pPr>
    </w:p>
    <w:p w14:paraId="1D741DAD" w14:textId="77777777" w:rsidR="00207B98" w:rsidRDefault="00207B98" w:rsidP="003A6A80">
      <w:pPr>
        <w:spacing w:after="0" w:line="276" w:lineRule="auto"/>
        <w:ind w:left="426" w:right="567"/>
        <w:jc w:val="both"/>
        <w:rPr>
          <w:rFonts w:ascii="Times New Roman" w:hAnsi="Times New Roman"/>
          <w:sz w:val="24"/>
          <w:szCs w:val="24"/>
        </w:rPr>
      </w:pPr>
      <w:r>
        <w:rPr>
          <w:rFonts w:ascii="Times New Roman" w:hAnsi="Times New Roman"/>
          <w:sz w:val="24"/>
          <w:szCs w:val="24"/>
        </w:rPr>
        <w:t>De cette disposition, i</w:t>
      </w:r>
      <w:r w:rsidRPr="00173CA9">
        <w:rPr>
          <w:rFonts w:ascii="Times New Roman" w:hAnsi="Times New Roman"/>
          <w:sz w:val="24"/>
          <w:szCs w:val="24"/>
        </w:rPr>
        <w:t>l y a lieu de constater</w:t>
      </w:r>
      <w:r>
        <w:rPr>
          <w:rFonts w:ascii="Times New Roman" w:hAnsi="Times New Roman"/>
          <w:sz w:val="24"/>
          <w:szCs w:val="24"/>
        </w:rPr>
        <w:t xml:space="preserve">, </w:t>
      </w:r>
      <w:r w:rsidRPr="00173CA9">
        <w:rPr>
          <w:rFonts w:ascii="Times New Roman" w:hAnsi="Times New Roman"/>
          <w:sz w:val="24"/>
          <w:szCs w:val="24"/>
        </w:rPr>
        <w:t xml:space="preserve">à </w:t>
      </w:r>
      <w:r>
        <w:rPr>
          <w:rFonts w:ascii="Times New Roman" w:hAnsi="Times New Roman"/>
          <w:sz w:val="24"/>
          <w:szCs w:val="24"/>
        </w:rPr>
        <w:t xml:space="preserve">côté du régime fiscal, douanier et de change du Code des </w:t>
      </w:r>
      <w:r w:rsidRPr="00173CA9">
        <w:rPr>
          <w:rFonts w:ascii="Times New Roman" w:hAnsi="Times New Roman"/>
          <w:sz w:val="24"/>
          <w:szCs w:val="24"/>
        </w:rPr>
        <w:t>Hydrocarbures</w:t>
      </w:r>
      <w:r>
        <w:rPr>
          <w:rFonts w:ascii="Times New Roman" w:hAnsi="Times New Roman"/>
          <w:sz w:val="24"/>
          <w:szCs w:val="24"/>
        </w:rPr>
        <w:t>,</w:t>
      </w:r>
      <w:r w:rsidRPr="00173CA9">
        <w:rPr>
          <w:rFonts w:ascii="Times New Roman" w:hAnsi="Times New Roman"/>
          <w:sz w:val="24"/>
          <w:szCs w:val="24"/>
        </w:rPr>
        <w:t xml:space="preserve"> la survivance des régimes </w:t>
      </w:r>
      <w:r>
        <w:rPr>
          <w:rFonts w:ascii="Times New Roman" w:hAnsi="Times New Roman"/>
          <w:sz w:val="24"/>
          <w:szCs w:val="24"/>
        </w:rPr>
        <w:t xml:space="preserve">découlant des droits d’hydrocarbures régulièrement acquis avant l’entrée en vigueur dudit Code, que ces droits proviennent des </w:t>
      </w:r>
      <w:r w:rsidRPr="00EF4790">
        <w:rPr>
          <w:rFonts w:ascii="Times New Roman" w:hAnsi="Times New Roman"/>
          <w:sz w:val="24"/>
          <w:szCs w:val="24"/>
        </w:rPr>
        <w:t>C</w:t>
      </w:r>
      <w:r w:rsidRPr="00537DCB">
        <w:rPr>
          <w:rFonts w:ascii="Times New Roman" w:hAnsi="Times New Roman"/>
          <w:sz w:val="24"/>
          <w:szCs w:val="24"/>
        </w:rPr>
        <w:t>ontrats</w:t>
      </w:r>
      <w:r w:rsidRPr="00EF4790">
        <w:rPr>
          <w:rFonts w:ascii="Times New Roman" w:hAnsi="Times New Roman"/>
          <w:sz w:val="24"/>
          <w:szCs w:val="24"/>
        </w:rPr>
        <w:t xml:space="preserve"> de P</w:t>
      </w:r>
      <w:r w:rsidRPr="00537DCB">
        <w:rPr>
          <w:rFonts w:ascii="Times New Roman" w:hAnsi="Times New Roman"/>
          <w:sz w:val="24"/>
          <w:szCs w:val="24"/>
        </w:rPr>
        <w:t xml:space="preserve">artage </w:t>
      </w:r>
      <w:r w:rsidRPr="00DF00E6">
        <w:rPr>
          <w:rFonts w:ascii="Times New Roman" w:hAnsi="Times New Roman"/>
          <w:sz w:val="24"/>
          <w:szCs w:val="24"/>
        </w:rPr>
        <w:t xml:space="preserve">de </w:t>
      </w:r>
      <w:r>
        <w:rPr>
          <w:rFonts w:ascii="Times New Roman" w:hAnsi="Times New Roman"/>
          <w:sz w:val="24"/>
          <w:szCs w:val="24"/>
        </w:rPr>
        <w:t>P</w:t>
      </w:r>
      <w:r w:rsidRPr="00537DCB">
        <w:rPr>
          <w:rFonts w:ascii="Times New Roman" w:hAnsi="Times New Roman"/>
          <w:sz w:val="24"/>
          <w:szCs w:val="24"/>
        </w:rPr>
        <w:t xml:space="preserve">roduction </w:t>
      </w:r>
      <w:r>
        <w:rPr>
          <w:rFonts w:ascii="Times New Roman" w:hAnsi="Times New Roman"/>
          <w:sz w:val="24"/>
          <w:szCs w:val="24"/>
        </w:rPr>
        <w:t>(CPP) ou</w:t>
      </w:r>
      <w:r w:rsidRPr="00DF00E6">
        <w:rPr>
          <w:rFonts w:ascii="Times New Roman" w:hAnsi="Times New Roman"/>
          <w:sz w:val="24"/>
          <w:szCs w:val="24"/>
        </w:rPr>
        <w:t xml:space="preserve"> des Conventions</w:t>
      </w:r>
      <w:r>
        <w:rPr>
          <w:rFonts w:ascii="Times New Roman" w:hAnsi="Times New Roman"/>
          <w:sz w:val="24"/>
          <w:szCs w:val="24"/>
        </w:rPr>
        <w:t>.</w:t>
      </w:r>
      <w:r w:rsidRPr="00173CA9">
        <w:rPr>
          <w:rFonts w:ascii="Times New Roman" w:hAnsi="Times New Roman"/>
          <w:sz w:val="24"/>
          <w:szCs w:val="24"/>
        </w:rPr>
        <w:t xml:space="preserve"> </w:t>
      </w:r>
      <w:r w:rsidRPr="00537DCB">
        <w:rPr>
          <w:rFonts w:ascii="Times New Roman" w:hAnsi="Times New Roman"/>
          <w:sz w:val="24"/>
          <w:szCs w:val="24"/>
        </w:rPr>
        <w:t xml:space="preserve">A </w:t>
      </w:r>
      <w:r w:rsidRPr="00DF00E6">
        <w:rPr>
          <w:rFonts w:ascii="Times New Roman" w:hAnsi="Times New Roman"/>
          <w:sz w:val="24"/>
          <w:szCs w:val="24"/>
        </w:rPr>
        <w:t xml:space="preserve">l’expiration des termes pour lesquels </w:t>
      </w:r>
      <w:r>
        <w:rPr>
          <w:rFonts w:ascii="Times New Roman" w:hAnsi="Times New Roman"/>
          <w:sz w:val="24"/>
          <w:szCs w:val="24"/>
        </w:rPr>
        <w:t>ces Conventions</w:t>
      </w:r>
      <w:r w:rsidRPr="00DF00E6">
        <w:rPr>
          <w:rFonts w:ascii="Times New Roman" w:hAnsi="Times New Roman"/>
          <w:sz w:val="24"/>
          <w:szCs w:val="24"/>
        </w:rPr>
        <w:t xml:space="preserve"> </w:t>
      </w:r>
      <w:r>
        <w:rPr>
          <w:rFonts w:ascii="Times New Roman" w:hAnsi="Times New Roman"/>
          <w:sz w:val="24"/>
          <w:szCs w:val="24"/>
        </w:rPr>
        <w:t xml:space="preserve">et CPP </w:t>
      </w:r>
      <w:r w:rsidRPr="00DF00E6">
        <w:rPr>
          <w:rFonts w:ascii="Times New Roman" w:hAnsi="Times New Roman"/>
          <w:sz w:val="24"/>
          <w:szCs w:val="24"/>
        </w:rPr>
        <w:t>ont été conclus</w:t>
      </w:r>
      <w:r>
        <w:rPr>
          <w:rFonts w:ascii="Times New Roman" w:hAnsi="Times New Roman"/>
          <w:sz w:val="24"/>
          <w:szCs w:val="24"/>
        </w:rPr>
        <w:t xml:space="preserve">, les sociétés bénéficiaires des droits d’hydrocarbures sont régies par la Loi </w:t>
      </w:r>
      <w:r w:rsidRPr="00173CA9">
        <w:rPr>
          <w:rFonts w:ascii="Times New Roman" w:hAnsi="Times New Roman"/>
          <w:sz w:val="24"/>
          <w:szCs w:val="24"/>
        </w:rPr>
        <w:t>n°15/012 du 1</w:t>
      </w:r>
      <w:r w:rsidRPr="00173CA9">
        <w:rPr>
          <w:rFonts w:ascii="Times New Roman" w:hAnsi="Times New Roman"/>
          <w:sz w:val="24"/>
          <w:szCs w:val="24"/>
          <w:vertAlign w:val="superscript"/>
        </w:rPr>
        <w:t>er</w:t>
      </w:r>
      <w:r w:rsidRPr="00173CA9">
        <w:rPr>
          <w:rFonts w:ascii="Times New Roman" w:hAnsi="Times New Roman"/>
          <w:sz w:val="24"/>
          <w:szCs w:val="24"/>
        </w:rPr>
        <w:t xml:space="preserve"> août 2015</w:t>
      </w:r>
      <w:r>
        <w:rPr>
          <w:rFonts w:ascii="Times New Roman" w:hAnsi="Times New Roman"/>
          <w:sz w:val="24"/>
          <w:szCs w:val="24"/>
        </w:rPr>
        <w:t xml:space="preserve">, à la date de leur renouvellement.  Au regard du Code des Hydrocarbures, seules les </w:t>
      </w:r>
      <w:r w:rsidRPr="00173CA9">
        <w:rPr>
          <w:rFonts w:ascii="Times New Roman" w:hAnsi="Times New Roman"/>
          <w:sz w:val="24"/>
          <w:szCs w:val="24"/>
        </w:rPr>
        <w:t xml:space="preserve">dispositions relatives à la protection de l’environnement, à la sécurité et à l’hygiène </w:t>
      </w:r>
      <w:r>
        <w:rPr>
          <w:rFonts w:ascii="Times New Roman" w:hAnsi="Times New Roman"/>
          <w:sz w:val="24"/>
          <w:szCs w:val="24"/>
        </w:rPr>
        <w:t>sont d</w:t>
      </w:r>
      <w:r w:rsidRPr="00173CA9">
        <w:rPr>
          <w:rFonts w:ascii="Times New Roman" w:hAnsi="Times New Roman"/>
          <w:sz w:val="24"/>
          <w:szCs w:val="24"/>
        </w:rPr>
        <w:t>’appli</w:t>
      </w:r>
      <w:r>
        <w:rPr>
          <w:rFonts w:ascii="Times New Roman" w:hAnsi="Times New Roman"/>
          <w:sz w:val="24"/>
          <w:szCs w:val="24"/>
        </w:rPr>
        <w:t>cation</w:t>
      </w:r>
      <w:r w:rsidRPr="00173CA9">
        <w:rPr>
          <w:rFonts w:ascii="Times New Roman" w:hAnsi="Times New Roman"/>
          <w:sz w:val="24"/>
          <w:szCs w:val="24"/>
        </w:rPr>
        <w:t xml:space="preserve"> </w:t>
      </w:r>
      <w:r>
        <w:rPr>
          <w:rFonts w:ascii="Times New Roman" w:hAnsi="Times New Roman"/>
          <w:sz w:val="24"/>
          <w:szCs w:val="24"/>
        </w:rPr>
        <w:t>immédiate par</w:t>
      </w:r>
      <w:r w:rsidRPr="00173CA9">
        <w:rPr>
          <w:rFonts w:ascii="Times New Roman" w:hAnsi="Times New Roman"/>
          <w:sz w:val="24"/>
          <w:szCs w:val="24"/>
        </w:rPr>
        <w:t xml:space="preserve"> toutes les sociétés</w:t>
      </w:r>
      <w:r>
        <w:rPr>
          <w:rFonts w:ascii="Times New Roman" w:hAnsi="Times New Roman"/>
          <w:sz w:val="24"/>
          <w:szCs w:val="24"/>
        </w:rPr>
        <w:t xml:space="preserve"> du secteur</w:t>
      </w:r>
      <w:r w:rsidRPr="00173CA9">
        <w:rPr>
          <w:rFonts w:ascii="Times New Roman" w:hAnsi="Times New Roman"/>
          <w:sz w:val="24"/>
          <w:szCs w:val="24"/>
        </w:rPr>
        <w:t xml:space="preserve">, y compris les sociétés </w:t>
      </w:r>
      <w:r>
        <w:rPr>
          <w:rFonts w:ascii="Times New Roman" w:hAnsi="Times New Roman"/>
          <w:sz w:val="24"/>
          <w:szCs w:val="24"/>
        </w:rPr>
        <w:lastRenderedPageBreak/>
        <w:t>détentrices</w:t>
      </w:r>
      <w:r w:rsidRPr="00173CA9">
        <w:rPr>
          <w:rFonts w:ascii="Times New Roman" w:hAnsi="Times New Roman"/>
          <w:sz w:val="24"/>
          <w:szCs w:val="24"/>
        </w:rPr>
        <w:t xml:space="preserve"> des</w:t>
      </w:r>
      <w:r>
        <w:rPr>
          <w:rFonts w:ascii="Times New Roman" w:hAnsi="Times New Roman"/>
          <w:sz w:val="24"/>
          <w:szCs w:val="24"/>
        </w:rPr>
        <w:t xml:space="preserve"> </w:t>
      </w:r>
      <w:r w:rsidRPr="00BA5C74">
        <w:rPr>
          <w:rFonts w:ascii="Times New Roman" w:hAnsi="Times New Roman"/>
          <w:sz w:val="24"/>
          <w:szCs w:val="24"/>
        </w:rPr>
        <w:t>droits d'hydrocarbures régulièrement acquis avant l'entrée en vigueur</w:t>
      </w:r>
      <w:r>
        <w:rPr>
          <w:rFonts w:ascii="Times New Roman" w:hAnsi="Times New Roman"/>
          <w:sz w:val="24"/>
          <w:szCs w:val="24"/>
        </w:rPr>
        <w:t xml:space="preserve"> de la Loi </w:t>
      </w:r>
      <w:r w:rsidRPr="00173CA9">
        <w:rPr>
          <w:rFonts w:ascii="Times New Roman" w:hAnsi="Times New Roman"/>
          <w:sz w:val="24"/>
          <w:szCs w:val="24"/>
        </w:rPr>
        <w:t>n°15/012 du 1</w:t>
      </w:r>
      <w:r w:rsidRPr="00173CA9">
        <w:rPr>
          <w:rFonts w:ascii="Times New Roman" w:hAnsi="Times New Roman"/>
          <w:sz w:val="24"/>
          <w:szCs w:val="24"/>
          <w:vertAlign w:val="superscript"/>
        </w:rPr>
        <w:t>er</w:t>
      </w:r>
      <w:r w:rsidRPr="00173CA9">
        <w:rPr>
          <w:rFonts w:ascii="Times New Roman" w:hAnsi="Times New Roman"/>
          <w:sz w:val="24"/>
          <w:szCs w:val="24"/>
        </w:rPr>
        <w:t xml:space="preserve"> août 2015</w:t>
      </w:r>
      <w:r>
        <w:rPr>
          <w:rFonts w:ascii="Times New Roman" w:hAnsi="Times New Roman"/>
          <w:sz w:val="24"/>
          <w:szCs w:val="24"/>
        </w:rPr>
        <w:t>.</w:t>
      </w:r>
    </w:p>
    <w:p w14:paraId="0AA3438D" w14:textId="77777777" w:rsidR="00207B98" w:rsidRDefault="00207B98" w:rsidP="002C5CE0">
      <w:pPr>
        <w:spacing w:before="240" w:line="240" w:lineRule="auto"/>
        <w:ind w:left="426" w:right="567"/>
        <w:jc w:val="both"/>
        <w:rPr>
          <w:rFonts w:ascii="Times New Roman" w:hAnsi="Times New Roman"/>
          <w:sz w:val="24"/>
          <w:szCs w:val="24"/>
        </w:rPr>
      </w:pPr>
      <w:r>
        <w:rPr>
          <w:rFonts w:ascii="Times New Roman" w:hAnsi="Times New Roman"/>
          <w:sz w:val="24"/>
          <w:szCs w:val="24"/>
        </w:rPr>
        <w:t xml:space="preserve">Dans la pratique cependant, l’association des entreprises composée des </w:t>
      </w:r>
      <w:r w:rsidRPr="00C146B2">
        <w:rPr>
          <w:rFonts w:ascii="Times New Roman" w:hAnsi="Times New Roman"/>
          <w:sz w:val="24"/>
          <w:szCs w:val="24"/>
        </w:rPr>
        <w:t>Groupe</w:t>
      </w:r>
      <w:r>
        <w:rPr>
          <w:rFonts w:ascii="Times New Roman" w:hAnsi="Times New Roman"/>
          <w:sz w:val="24"/>
          <w:szCs w:val="24"/>
        </w:rPr>
        <w:t xml:space="preserve">s PERENCO, </w:t>
      </w:r>
      <w:r w:rsidRPr="00F76452">
        <w:rPr>
          <w:rFonts w:ascii="Times New Roman" w:hAnsi="Times New Roman"/>
          <w:sz w:val="24"/>
          <w:szCs w:val="24"/>
        </w:rPr>
        <w:t>TE</w:t>
      </w:r>
      <w:r>
        <w:rPr>
          <w:rFonts w:ascii="Times New Roman" w:hAnsi="Times New Roman"/>
          <w:sz w:val="24"/>
          <w:szCs w:val="24"/>
        </w:rPr>
        <w:t>I</w:t>
      </w:r>
      <w:r w:rsidRPr="000A6C0E">
        <w:rPr>
          <w:rFonts w:ascii="Times New Roman" w:hAnsi="Times New Roman"/>
          <w:sz w:val="24"/>
          <w:szCs w:val="24"/>
        </w:rPr>
        <w:t>KOKU</w:t>
      </w:r>
      <w:r>
        <w:rPr>
          <w:rFonts w:ascii="Times New Roman" w:hAnsi="Times New Roman"/>
          <w:sz w:val="24"/>
          <w:szCs w:val="24"/>
        </w:rPr>
        <w:t xml:space="preserve"> et </w:t>
      </w:r>
      <w:r w:rsidRPr="000A6C0E">
        <w:rPr>
          <w:rFonts w:ascii="Times New Roman" w:hAnsi="Times New Roman"/>
          <w:sz w:val="24"/>
          <w:szCs w:val="24"/>
        </w:rPr>
        <w:t>CHEVRON</w:t>
      </w:r>
      <w:r>
        <w:rPr>
          <w:rFonts w:ascii="Times New Roman" w:hAnsi="Times New Roman"/>
          <w:sz w:val="24"/>
          <w:szCs w:val="24"/>
        </w:rPr>
        <w:t xml:space="preserve"> a obtenu de l’Etat congolais le deuxième renouvellement de sa Concession et de sa Convention du 9 août 1969 </w:t>
      </w:r>
      <w:r w:rsidRPr="00F912BF">
        <w:rPr>
          <w:rFonts w:ascii="Times New Roman" w:hAnsi="Times New Roman"/>
          <w:sz w:val="24"/>
          <w:szCs w:val="24"/>
        </w:rPr>
        <w:t>régissant l’exploration et l'exploitation des hydrocarbures dans la zone maritime de la République Démocratique du Congo</w:t>
      </w:r>
      <w:r>
        <w:rPr>
          <w:rFonts w:ascii="Times New Roman" w:hAnsi="Times New Roman"/>
          <w:sz w:val="24"/>
          <w:szCs w:val="24"/>
        </w:rPr>
        <w:t>.</w:t>
      </w:r>
      <w:r w:rsidRPr="006E0D1C">
        <w:rPr>
          <w:rFonts w:ascii="Times New Roman" w:hAnsi="Times New Roman"/>
          <w:sz w:val="24"/>
          <w:szCs w:val="24"/>
        </w:rPr>
        <w:t xml:space="preserve"> </w:t>
      </w:r>
      <w:r>
        <w:rPr>
          <w:rFonts w:ascii="Times New Roman" w:hAnsi="Times New Roman"/>
          <w:sz w:val="24"/>
          <w:szCs w:val="24"/>
        </w:rPr>
        <w:t>Ce renouvellement est consacré par l’</w:t>
      </w:r>
      <w:r w:rsidRPr="009171A8">
        <w:rPr>
          <w:rFonts w:ascii="Times New Roman" w:hAnsi="Times New Roman"/>
          <w:sz w:val="24"/>
          <w:szCs w:val="24"/>
        </w:rPr>
        <w:t xml:space="preserve">Avenant n°8 </w:t>
      </w:r>
      <w:r>
        <w:rPr>
          <w:rFonts w:ascii="Times New Roman" w:hAnsi="Times New Roman"/>
          <w:sz w:val="24"/>
          <w:szCs w:val="24"/>
        </w:rPr>
        <w:t>signé le 27 octobre 2017 et approuvé par une Ordonnance du Président de la République le 21 novembre 2017. C</w:t>
      </w:r>
      <w:r w:rsidRPr="000A6C0E">
        <w:rPr>
          <w:rFonts w:ascii="Times New Roman" w:hAnsi="Times New Roman"/>
          <w:sz w:val="24"/>
          <w:szCs w:val="24"/>
        </w:rPr>
        <w:t xml:space="preserve">e second renouvellement de la Concession </w:t>
      </w:r>
      <w:r>
        <w:rPr>
          <w:rFonts w:ascii="Times New Roman" w:hAnsi="Times New Roman"/>
          <w:sz w:val="24"/>
          <w:szCs w:val="24"/>
        </w:rPr>
        <w:t xml:space="preserve">est accordé </w:t>
      </w:r>
      <w:r w:rsidRPr="000A6C0E">
        <w:rPr>
          <w:rFonts w:ascii="Times New Roman" w:hAnsi="Times New Roman"/>
          <w:sz w:val="24"/>
          <w:szCs w:val="24"/>
        </w:rPr>
        <w:t xml:space="preserve">pour une période de 20 ans </w:t>
      </w:r>
      <w:r>
        <w:rPr>
          <w:rFonts w:ascii="Times New Roman" w:hAnsi="Times New Roman"/>
          <w:sz w:val="24"/>
          <w:szCs w:val="24"/>
        </w:rPr>
        <w:t>et</w:t>
      </w:r>
      <w:r w:rsidRPr="000A6C0E">
        <w:rPr>
          <w:rFonts w:ascii="Times New Roman" w:hAnsi="Times New Roman"/>
          <w:sz w:val="24"/>
          <w:szCs w:val="24"/>
        </w:rPr>
        <w:t xml:space="preserve"> </w:t>
      </w:r>
      <w:r w:rsidRPr="00E4669E">
        <w:rPr>
          <w:rFonts w:ascii="Times New Roman" w:hAnsi="Times New Roman"/>
          <w:sz w:val="24"/>
          <w:szCs w:val="24"/>
        </w:rPr>
        <w:t>prendra effet le 22 n</w:t>
      </w:r>
      <w:r w:rsidRPr="000A6C0E">
        <w:rPr>
          <w:rFonts w:ascii="Times New Roman" w:hAnsi="Times New Roman"/>
          <w:sz w:val="24"/>
          <w:szCs w:val="24"/>
        </w:rPr>
        <w:t>ovembre 2023</w:t>
      </w:r>
      <w:r>
        <w:rPr>
          <w:rFonts w:ascii="Times New Roman" w:hAnsi="Times New Roman"/>
          <w:sz w:val="24"/>
          <w:szCs w:val="24"/>
        </w:rPr>
        <w:t>,</w:t>
      </w:r>
      <w:r w:rsidRPr="000A6C0E">
        <w:rPr>
          <w:rFonts w:ascii="Times New Roman" w:hAnsi="Times New Roman"/>
          <w:sz w:val="24"/>
          <w:szCs w:val="24"/>
        </w:rPr>
        <w:t xml:space="preserve"> </w:t>
      </w:r>
      <w:r w:rsidRPr="009171A8">
        <w:rPr>
          <w:rFonts w:ascii="Times New Roman" w:hAnsi="Times New Roman"/>
          <w:sz w:val="24"/>
          <w:szCs w:val="24"/>
        </w:rPr>
        <w:t>proroge</w:t>
      </w:r>
      <w:r>
        <w:rPr>
          <w:rFonts w:ascii="Times New Roman" w:hAnsi="Times New Roman"/>
          <w:sz w:val="24"/>
          <w:szCs w:val="24"/>
        </w:rPr>
        <w:t xml:space="preserve">ant de ce fait </w:t>
      </w:r>
      <w:r w:rsidRPr="009171A8">
        <w:rPr>
          <w:rFonts w:ascii="Times New Roman" w:hAnsi="Times New Roman"/>
          <w:sz w:val="24"/>
          <w:szCs w:val="24"/>
        </w:rPr>
        <w:t>la durée de la Concession jusqu’au 21 novembre 2043</w:t>
      </w:r>
      <w:r>
        <w:rPr>
          <w:rFonts w:ascii="Times New Roman" w:hAnsi="Times New Roman"/>
          <w:sz w:val="24"/>
          <w:szCs w:val="24"/>
        </w:rPr>
        <w:t xml:space="preserve"> (d</w:t>
      </w:r>
      <w:r w:rsidRPr="000A6C0E">
        <w:rPr>
          <w:rFonts w:ascii="Times New Roman" w:hAnsi="Times New Roman"/>
          <w:sz w:val="24"/>
          <w:szCs w:val="24"/>
        </w:rPr>
        <w:t>ate d’</w:t>
      </w:r>
      <w:r>
        <w:rPr>
          <w:rFonts w:ascii="Times New Roman" w:hAnsi="Times New Roman"/>
          <w:sz w:val="24"/>
          <w:szCs w:val="24"/>
        </w:rPr>
        <w:t>e</w:t>
      </w:r>
      <w:r w:rsidRPr="000A6C0E">
        <w:rPr>
          <w:rFonts w:ascii="Times New Roman" w:hAnsi="Times New Roman"/>
          <w:sz w:val="24"/>
          <w:szCs w:val="24"/>
        </w:rPr>
        <w:t>xpiration</w:t>
      </w:r>
      <w:r>
        <w:rPr>
          <w:rFonts w:ascii="Times New Roman" w:hAnsi="Times New Roman"/>
          <w:sz w:val="24"/>
          <w:szCs w:val="24"/>
        </w:rPr>
        <w:t>)</w:t>
      </w:r>
      <w:r w:rsidRPr="00BB4A30">
        <w:rPr>
          <w:rFonts w:ascii="Times New Roman" w:hAnsi="Times New Roman"/>
          <w:sz w:val="24"/>
          <w:szCs w:val="24"/>
        </w:rPr>
        <w:t>. De même, la Convention</w:t>
      </w:r>
      <w:r>
        <w:rPr>
          <w:rFonts w:ascii="Times New Roman" w:hAnsi="Times New Roman"/>
          <w:sz w:val="24"/>
          <w:szCs w:val="24"/>
        </w:rPr>
        <w:t xml:space="preserve"> </w:t>
      </w:r>
      <w:r w:rsidRPr="00BB4A30">
        <w:rPr>
          <w:rFonts w:ascii="Times New Roman" w:hAnsi="Times New Roman"/>
          <w:sz w:val="24"/>
          <w:szCs w:val="24"/>
        </w:rPr>
        <w:t>est prorogée jusqu'à l'expiration de la Concession renouvelée</w:t>
      </w:r>
      <w:r>
        <w:rPr>
          <w:rFonts w:ascii="Times New Roman" w:hAnsi="Times New Roman"/>
          <w:sz w:val="24"/>
          <w:szCs w:val="24"/>
        </w:rPr>
        <w:t>.</w:t>
      </w:r>
    </w:p>
    <w:p w14:paraId="34633990" w14:textId="77777777" w:rsidR="00207B98" w:rsidRDefault="00207B98" w:rsidP="002C5CE0">
      <w:pPr>
        <w:spacing w:before="240" w:line="240" w:lineRule="auto"/>
        <w:ind w:left="426" w:right="567"/>
        <w:jc w:val="both"/>
        <w:rPr>
          <w:rFonts w:ascii="Times New Roman" w:hAnsi="Times New Roman"/>
          <w:sz w:val="24"/>
          <w:szCs w:val="24"/>
        </w:rPr>
      </w:pPr>
      <w:r>
        <w:rPr>
          <w:rFonts w:ascii="Times New Roman" w:hAnsi="Times New Roman"/>
          <w:sz w:val="24"/>
          <w:szCs w:val="24"/>
        </w:rPr>
        <w:t>Il importe de relever à ce sujet que ce deuxième renouvellement intervient six ans avant l’expiration du premier renouvellement et deux ans après l’entrée en vigueur du Code des Hydrocarbures et ce, nonobstant les dispositions impératives de l’article 189 du Code des Hydrocarbures ci-dessus reproduites.</w:t>
      </w:r>
    </w:p>
    <w:p w14:paraId="5DA40BC6" w14:textId="5CF72F4B" w:rsidR="00207B98" w:rsidRDefault="00207B98" w:rsidP="002C5CE0">
      <w:pPr>
        <w:spacing w:after="0" w:line="240" w:lineRule="auto"/>
        <w:ind w:left="426" w:right="567"/>
        <w:jc w:val="both"/>
        <w:rPr>
          <w:rFonts w:ascii="Times New Roman" w:hAnsi="Times New Roman"/>
          <w:sz w:val="24"/>
          <w:szCs w:val="24"/>
        </w:rPr>
      </w:pPr>
      <w:r>
        <w:rPr>
          <w:rFonts w:ascii="Times New Roman" w:hAnsi="Times New Roman"/>
          <w:sz w:val="24"/>
          <w:szCs w:val="24"/>
        </w:rPr>
        <w:t>L’avenant n°8 et l’Ordonnance d’approbation</w:t>
      </w:r>
      <w:r w:rsidR="00C54AF9">
        <w:rPr>
          <w:rStyle w:val="Appelnotedebasdep"/>
          <w:rFonts w:ascii="Times New Roman" w:hAnsi="Times New Roman"/>
          <w:sz w:val="24"/>
          <w:szCs w:val="24"/>
        </w:rPr>
        <w:footnoteReference w:id="7"/>
      </w:r>
      <w:r>
        <w:rPr>
          <w:rFonts w:ascii="Times New Roman" w:hAnsi="Times New Roman"/>
          <w:sz w:val="24"/>
          <w:szCs w:val="24"/>
        </w:rPr>
        <w:t xml:space="preserve"> sont postés sur le site de l’ITIE-RDC et peuvent être consultés sur </w:t>
      </w:r>
      <w:r w:rsidR="005B20D6">
        <w:rPr>
          <w:rFonts w:ascii="Times New Roman" w:hAnsi="Times New Roman"/>
          <w:sz w:val="24"/>
          <w:szCs w:val="24"/>
        </w:rPr>
        <w:t>le site de l’ITIE-RDC</w:t>
      </w:r>
      <w:r w:rsidR="005B20D6">
        <w:rPr>
          <w:rStyle w:val="Appelnotedebasdep"/>
          <w:rFonts w:ascii="Times New Roman" w:hAnsi="Times New Roman"/>
          <w:sz w:val="24"/>
          <w:szCs w:val="24"/>
        </w:rPr>
        <w:footnoteReference w:id="8"/>
      </w:r>
      <w:r>
        <w:rPr>
          <w:rFonts w:ascii="Times New Roman" w:hAnsi="Times New Roman"/>
          <w:sz w:val="24"/>
          <w:szCs w:val="24"/>
        </w:rPr>
        <w:t xml:space="preserve">. </w:t>
      </w:r>
      <w:r w:rsidRPr="009171A8">
        <w:rPr>
          <w:rFonts w:ascii="Times New Roman" w:hAnsi="Times New Roman"/>
          <w:sz w:val="24"/>
          <w:szCs w:val="24"/>
        </w:rPr>
        <w:t xml:space="preserve"> </w:t>
      </w:r>
    </w:p>
    <w:p w14:paraId="79648930" w14:textId="77777777" w:rsidR="00207B98" w:rsidRDefault="00207B98" w:rsidP="002C5CE0">
      <w:pPr>
        <w:spacing w:before="240" w:after="0" w:line="240" w:lineRule="auto"/>
        <w:ind w:left="426" w:right="567"/>
        <w:jc w:val="both"/>
        <w:rPr>
          <w:rFonts w:ascii="Times New Roman" w:hAnsi="Times New Roman"/>
          <w:sz w:val="24"/>
          <w:szCs w:val="24"/>
        </w:rPr>
      </w:pPr>
      <w:r>
        <w:rPr>
          <w:rFonts w:ascii="Times New Roman" w:hAnsi="Times New Roman"/>
          <w:sz w:val="24"/>
          <w:szCs w:val="24"/>
        </w:rPr>
        <w:t xml:space="preserve">Par ailleurs, une opinion soutient que la Cour Suprême de Justice aurait été consultée pour ce second renouvellement et aurait émis un avis favorable à cet effet. Le Secrétariat Technique soumettra au Comité Exécutif de l’ITIE-RDC un dossier de sollicitation de levée de copie dudit avis s’il en existe un et, dans la mesure du possible, le mettra à la disposition des parties prenantes ou, à défaut, l’analysera pour ces dernières.  </w:t>
      </w:r>
    </w:p>
    <w:p w14:paraId="20EFE39C" w14:textId="77777777" w:rsidR="00207B98" w:rsidRPr="00173CA9" w:rsidRDefault="00207B98" w:rsidP="002C5CE0">
      <w:pPr>
        <w:spacing w:after="0" w:line="240" w:lineRule="auto"/>
        <w:ind w:left="426" w:right="567"/>
        <w:jc w:val="both"/>
        <w:rPr>
          <w:rFonts w:ascii="Times New Roman" w:hAnsi="Times New Roman"/>
          <w:sz w:val="24"/>
          <w:szCs w:val="24"/>
        </w:rPr>
      </w:pPr>
    </w:p>
    <w:p w14:paraId="2DFBA42D" w14:textId="77777777" w:rsidR="00207B98" w:rsidRPr="00173CA9" w:rsidRDefault="00207B98" w:rsidP="002C5CE0">
      <w:pPr>
        <w:spacing w:after="0" w:line="240" w:lineRule="auto"/>
        <w:ind w:left="426" w:right="567"/>
        <w:jc w:val="both"/>
        <w:rPr>
          <w:rFonts w:ascii="Times New Roman" w:hAnsi="Times New Roman"/>
          <w:sz w:val="24"/>
          <w:szCs w:val="24"/>
        </w:rPr>
      </w:pPr>
      <w:r>
        <w:rPr>
          <w:rFonts w:ascii="Times New Roman" w:hAnsi="Times New Roman"/>
          <w:sz w:val="24"/>
          <w:szCs w:val="24"/>
        </w:rPr>
        <w:t>L</w:t>
      </w:r>
      <w:r w:rsidRPr="00173CA9">
        <w:rPr>
          <w:rFonts w:ascii="Times New Roman" w:hAnsi="Times New Roman"/>
          <w:sz w:val="24"/>
          <w:szCs w:val="24"/>
        </w:rPr>
        <w:t xml:space="preserve">e Code </w:t>
      </w:r>
      <w:r>
        <w:rPr>
          <w:rFonts w:ascii="Times New Roman" w:hAnsi="Times New Roman"/>
          <w:sz w:val="24"/>
          <w:szCs w:val="24"/>
        </w:rPr>
        <w:t xml:space="preserve">des Hydrocarbures </w:t>
      </w:r>
      <w:r w:rsidRPr="00173CA9">
        <w:rPr>
          <w:rFonts w:ascii="Times New Roman" w:hAnsi="Times New Roman"/>
          <w:sz w:val="24"/>
          <w:szCs w:val="24"/>
        </w:rPr>
        <w:t>catégorise les blocs en quatre zones fiscales (zones fiscales A, B, C et D) en raison notamment des caractéristiques géologiques et environnementales, et selon les modalités de catégorisation des blocs et des critères fixés par le Règlement d'hydrocarbures (Code d’Hydrocarbures, article 124 ; Règlement d’Hydrocarbures, articles 46, 256 et 257).</w:t>
      </w:r>
    </w:p>
    <w:p w14:paraId="29D61749" w14:textId="77777777" w:rsidR="00207B98" w:rsidRPr="00173CA9" w:rsidRDefault="00207B98" w:rsidP="002C5CE0">
      <w:pPr>
        <w:spacing w:after="0" w:line="240" w:lineRule="auto"/>
        <w:ind w:left="426" w:right="567"/>
        <w:jc w:val="both"/>
        <w:rPr>
          <w:rFonts w:ascii="Times New Roman" w:hAnsi="Times New Roman"/>
          <w:sz w:val="24"/>
          <w:szCs w:val="24"/>
        </w:rPr>
      </w:pPr>
    </w:p>
    <w:p w14:paraId="15480332" w14:textId="77777777" w:rsidR="00207B98" w:rsidRDefault="00207B98" w:rsidP="002C5CE0">
      <w:pPr>
        <w:spacing w:after="0" w:line="240" w:lineRule="auto"/>
        <w:ind w:left="426" w:right="567"/>
        <w:jc w:val="both"/>
        <w:rPr>
          <w:rFonts w:ascii="Times New Roman" w:hAnsi="Times New Roman"/>
          <w:sz w:val="24"/>
          <w:szCs w:val="24"/>
        </w:rPr>
      </w:pPr>
      <w:r>
        <w:rPr>
          <w:rFonts w:ascii="Times New Roman" w:hAnsi="Times New Roman"/>
          <w:sz w:val="24"/>
          <w:szCs w:val="24"/>
        </w:rPr>
        <w:t>En République Démocratique du Congo, les opérateurs du secteur des hydrocarbures  peuvent conclure deux types de contrats avec l’Etat congolais, soit le contrat de partage de production CPP soit le contrat de services.</w:t>
      </w:r>
    </w:p>
    <w:p w14:paraId="06AF4712" w14:textId="77777777" w:rsidR="00207B98" w:rsidRDefault="00207B98" w:rsidP="002C5CE0">
      <w:pPr>
        <w:spacing w:before="240" w:after="0" w:line="240" w:lineRule="auto"/>
        <w:ind w:left="426" w:right="567"/>
        <w:jc w:val="both"/>
        <w:rPr>
          <w:rFonts w:ascii="Times New Roman" w:hAnsi="Times New Roman"/>
          <w:sz w:val="24"/>
          <w:szCs w:val="24"/>
        </w:rPr>
      </w:pPr>
      <w:r w:rsidRPr="006B287C">
        <w:rPr>
          <w:rFonts w:ascii="Times New Roman" w:hAnsi="Times New Roman"/>
          <w:b/>
          <w:sz w:val="24"/>
          <w:szCs w:val="24"/>
        </w:rPr>
        <w:t>Le régime fiscal du contrat de services</w:t>
      </w:r>
      <w:r w:rsidRPr="00173CA9">
        <w:rPr>
          <w:rFonts w:ascii="Times New Roman" w:hAnsi="Times New Roman"/>
          <w:sz w:val="24"/>
          <w:szCs w:val="24"/>
        </w:rPr>
        <w:t xml:space="preserve"> est fixé dans le contrat. Le prestataire de services est rémunéré sans intérêts pour ses dépenses d'exploration et opérations d'exploitation, et avec intérêt pour l'investissement de développement (Code d</w:t>
      </w:r>
      <w:r>
        <w:rPr>
          <w:rFonts w:ascii="Times New Roman" w:hAnsi="Times New Roman"/>
          <w:sz w:val="24"/>
          <w:szCs w:val="24"/>
        </w:rPr>
        <w:t xml:space="preserve">es </w:t>
      </w:r>
      <w:r w:rsidRPr="00173CA9">
        <w:rPr>
          <w:rFonts w:ascii="Times New Roman" w:hAnsi="Times New Roman"/>
          <w:sz w:val="24"/>
          <w:szCs w:val="24"/>
        </w:rPr>
        <w:t>Hydrocarbures, article 139).</w:t>
      </w:r>
    </w:p>
    <w:p w14:paraId="0D462FF8" w14:textId="77777777" w:rsidR="00207B98" w:rsidRDefault="00207B98" w:rsidP="002C5CE0">
      <w:pPr>
        <w:spacing w:before="240" w:after="0" w:line="240" w:lineRule="auto"/>
        <w:ind w:left="426" w:right="567"/>
        <w:jc w:val="both"/>
        <w:rPr>
          <w:rFonts w:ascii="Times New Roman" w:hAnsi="Times New Roman"/>
          <w:sz w:val="24"/>
          <w:szCs w:val="24"/>
        </w:rPr>
      </w:pPr>
      <w:r>
        <w:rPr>
          <w:rFonts w:ascii="Times New Roman" w:hAnsi="Times New Roman"/>
          <w:sz w:val="24"/>
          <w:szCs w:val="24"/>
        </w:rPr>
        <w:t>Le</w:t>
      </w:r>
      <w:r w:rsidRPr="00173CA9">
        <w:rPr>
          <w:rFonts w:ascii="Times New Roman" w:hAnsi="Times New Roman"/>
          <w:sz w:val="24"/>
          <w:szCs w:val="24"/>
        </w:rPr>
        <w:t xml:space="preserve"> Code d</w:t>
      </w:r>
      <w:r>
        <w:rPr>
          <w:rFonts w:ascii="Times New Roman" w:hAnsi="Times New Roman"/>
          <w:sz w:val="24"/>
          <w:szCs w:val="24"/>
        </w:rPr>
        <w:t xml:space="preserve">es </w:t>
      </w:r>
      <w:r w:rsidRPr="00173CA9">
        <w:rPr>
          <w:rFonts w:ascii="Times New Roman" w:hAnsi="Times New Roman"/>
          <w:sz w:val="24"/>
          <w:szCs w:val="24"/>
        </w:rPr>
        <w:t>Hydrocarbures</w:t>
      </w:r>
      <w:r>
        <w:rPr>
          <w:rFonts w:ascii="Times New Roman" w:hAnsi="Times New Roman"/>
          <w:sz w:val="24"/>
          <w:szCs w:val="24"/>
        </w:rPr>
        <w:t xml:space="preserve"> prévoit </w:t>
      </w:r>
      <w:r w:rsidRPr="00A01173">
        <w:rPr>
          <w:rFonts w:ascii="Times New Roman" w:hAnsi="Times New Roman"/>
          <w:sz w:val="24"/>
          <w:szCs w:val="24"/>
        </w:rPr>
        <w:t xml:space="preserve">un </w:t>
      </w:r>
      <w:r>
        <w:rPr>
          <w:rFonts w:ascii="Times New Roman" w:hAnsi="Times New Roman"/>
          <w:sz w:val="24"/>
          <w:szCs w:val="24"/>
        </w:rPr>
        <w:t xml:space="preserve">seul </w:t>
      </w:r>
      <w:r w:rsidRPr="00A01173">
        <w:rPr>
          <w:rFonts w:ascii="Times New Roman" w:hAnsi="Times New Roman"/>
          <w:sz w:val="24"/>
          <w:szCs w:val="24"/>
        </w:rPr>
        <w:t>régime fiscal</w:t>
      </w:r>
      <w:r>
        <w:rPr>
          <w:rFonts w:ascii="Times New Roman" w:hAnsi="Times New Roman"/>
          <w:sz w:val="24"/>
          <w:szCs w:val="24"/>
        </w:rPr>
        <w:t>, douanier et de change</w:t>
      </w:r>
      <w:r w:rsidRPr="00A01173">
        <w:rPr>
          <w:rFonts w:ascii="Times New Roman" w:hAnsi="Times New Roman"/>
          <w:sz w:val="24"/>
          <w:szCs w:val="24"/>
        </w:rPr>
        <w:t xml:space="preserve"> applicable à tout contractant dans le secteur des hydrocarbures</w:t>
      </w:r>
      <w:r>
        <w:rPr>
          <w:rFonts w:ascii="Times New Roman" w:hAnsi="Times New Roman"/>
          <w:sz w:val="24"/>
          <w:szCs w:val="24"/>
        </w:rPr>
        <w:t>.</w:t>
      </w:r>
      <w:r w:rsidRPr="00A01173">
        <w:rPr>
          <w:rFonts w:ascii="Times New Roman" w:hAnsi="Times New Roman"/>
          <w:sz w:val="24"/>
          <w:szCs w:val="24"/>
        </w:rPr>
        <w:t> </w:t>
      </w:r>
    </w:p>
    <w:p w14:paraId="58AAF9EF" w14:textId="77777777" w:rsidR="00207B98" w:rsidRPr="00CB6297" w:rsidRDefault="00207B98" w:rsidP="002C5CE0">
      <w:pPr>
        <w:spacing w:before="240" w:line="240" w:lineRule="auto"/>
        <w:ind w:left="426" w:right="567"/>
        <w:jc w:val="both"/>
        <w:rPr>
          <w:rFonts w:ascii="Times New Roman" w:hAnsi="Times New Roman"/>
          <w:sz w:val="24"/>
          <w:szCs w:val="24"/>
        </w:rPr>
      </w:pPr>
      <w:r w:rsidRPr="00CB6297">
        <w:rPr>
          <w:rFonts w:ascii="Times New Roman" w:hAnsi="Times New Roman"/>
          <w:sz w:val="24"/>
          <w:szCs w:val="24"/>
        </w:rPr>
        <w:lastRenderedPageBreak/>
        <w:t xml:space="preserve">Selon ce régime, sauf exonérations accordées par la loi, de manière générale, le contractant est assujetti aux impôts, droits, taxes et redevances ci-après </w:t>
      </w:r>
      <w:r>
        <w:rPr>
          <w:rFonts w:ascii="Times New Roman" w:hAnsi="Times New Roman"/>
          <w:sz w:val="24"/>
          <w:szCs w:val="24"/>
        </w:rPr>
        <w:t xml:space="preserve">(Article 125 du Code des Hydrocarbures) </w:t>
      </w:r>
      <w:r w:rsidRPr="00CB6297">
        <w:rPr>
          <w:rFonts w:ascii="Times New Roman" w:hAnsi="Times New Roman"/>
          <w:sz w:val="24"/>
          <w:szCs w:val="24"/>
        </w:rPr>
        <w:t>:</w:t>
      </w:r>
    </w:p>
    <w:p w14:paraId="3243328C" w14:textId="77777777" w:rsidR="00207B98" w:rsidRPr="002C5CE0" w:rsidRDefault="00207B98" w:rsidP="000738D3">
      <w:pPr>
        <w:numPr>
          <w:ilvl w:val="0"/>
          <w:numId w:val="18"/>
        </w:numPr>
        <w:spacing w:after="0" w:line="240" w:lineRule="auto"/>
        <w:ind w:left="1560" w:right="567" w:hanging="567"/>
        <w:jc w:val="both"/>
        <w:rPr>
          <w:rFonts w:ascii="Times New Roman" w:hAnsi="Times New Roman"/>
          <w:sz w:val="24"/>
          <w:szCs w:val="24"/>
        </w:rPr>
      </w:pPr>
      <w:r w:rsidRPr="002C5CE0">
        <w:rPr>
          <w:rFonts w:ascii="Times New Roman" w:hAnsi="Times New Roman"/>
          <w:sz w:val="24"/>
          <w:szCs w:val="24"/>
          <w:shd w:val="clear" w:color="auto" w:fill="FFFFFF"/>
        </w:rPr>
        <w:t>les royalties ;</w:t>
      </w:r>
    </w:p>
    <w:p w14:paraId="56F6EDD7" w14:textId="77777777" w:rsidR="00207B98" w:rsidRPr="002C5CE0" w:rsidRDefault="00207B98" w:rsidP="000738D3">
      <w:pPr>
        <w:numPr>
          <w:ilvl w:val="0"/>
          <w:numId w:val="18"/>
        </w:numPr>
        <w:spacing w:after="0" w:line="240" w:lineRule="auto"/>
        <w:ind w:left="1560" w:right="567" w:hanging="567"/>
        <w:jc w:val="both"/>
        <w:rPr>
          <w:rFonts w:ascii="Times New Roman" w:hAnsi="Times New Roman"/>
          <w:sz w:val="24"/>
          <w:szCs w:val="24"/>
        </w:rPr>
      </w:pPr>
      <w:r w:rsidRPr="002C5CE0">
        <w:rPr>
          <w:rFonts w:ascii="Times New Roman" w:hAnsi="Times New Roman"/>
          <w:sz w:val="24"/>
          <w:szCs w:val="24"/>
          <w:shd w:val="clear" w:color="auto" w:fill="FFFFFF"/>
        </w:rPr>
        <w:t>la part du profit oïl de l'Etat ;</w:t>
      </w:r>
    </w:p>
    <w:p w14:paraId="5A0F27CC" w14:textId="77777777" w:rsidR="00207B98" w:rsidRPr="002C5CE0" w:rsidRDefault="00207B98" w:rsidP="000738D3">
      <w:pPr>
        <w:numPr>
          <w:ilvl w:val="0"/>
          <w:numId w:val="18"/>
        </w:numPr>
        <w:spacing w:after="0" w:line="240" w:lineRule="auto"/>
        <w:ind w:left="1560" w:right="567" w:hanging="567"/>
        <w:jc w:val="both"/>
        <w:rPr>
          <w:rFonts w:ascii="Times New Roman" w:hAnsi="Times New Roman"/>
          <w:sz w:val="24"/>
          <w:szCs w:val="24"/>
        </w:rPr>
      </w:pPr>
      <w:r w:rsidRPr="002C5CE0">
        <w:rPr>
          <w:rFonts w:ascii="Times New Roman" w:hAnsi="Times New Roman"/>
          <w:sz w:val="24"/>
          <w:szCs w:val="24"/>
          <w:shd w:val="clear" w:color="auto" w:fill="FFFFFF"/>
        </w:rPr>
        <w:t>la part de l'</w:t>
      </w:r>
      <w:proofErr w:type="spellStart"/>
      <w:r w:rsidRPr="002C5CE0">
        <w:rPr>
          <w:rFonts w:ascii="Times New Roman" w:hAnsi="Times New Roman"/>
          <w:sz w:val="24"/>
          <w:szCs w:val="24"/>
          <w:shd w:val="clear" w:color="auto" w:fill="FFFFFF"/>
        </w:rPr>
        <w:t>excess</w:t>
      </w:r>
      <w:proofErr w:type="spellEnd"/>
      <w:r w:rsidRPr="002C5CE0">
        <w:rPr>
          <w:rFonts w:ascii="Times New Roman" w:hAnsi="Times New Roman"/>
          <w:sz w:val="24"/>
          <w:szCs w:val="24"/>
          <w:shd w:val="clear" w:color="auto" w:fill="FFFFFF"/>
        </w:rPr>
        <w:t xml:space="preserve"> oïl de l'Etat ;</w:t>
      </w:r>
    </w:p>
    <w:p w14:paraId="12769D05" w14:textId="77777777" w:rsidR="00207B98" w:rsidRPr="002C5CE0" w:rsidRDefault="00207B98" w:rsidP="000738D3">
      <w:pPr>
        <w:numPr>
          <w:ilvl w:val="0"/>
          <w:numId w:val="18"/>
        </w:numPr>
        <w:spacing w:after="0" w:line="240" w:lineRule="auto"/>
        <w:ind w:left="1560" w:right="567" w:hanging="567"/>
        <w:jc w:val="both"/>
        <w:rPr>
          <w:rFonts w:ascii="Times New Roman" w:hAnsi="Times New Roman"/>
          <w:sz w:val="24"/>
          <w:szCs w:val="24"/>
        </w:rPr>
      </w:pPr>
      <w:r w:rsidRPr="002C5CE0">
        <w:rPr>
          <w:rFonts w:ascii="Times New Roman" w:hAnsi="Times New Roman"/>
          <w:sz w:val="24"/>
          <w:szCs w:val="24"/>
          <w:shd w:val="clear" w:color="auto" w:fill="FFFFFF"/>
        </w:rPr>
        <w:t>le bonus de signature ;</w:t>
      </w:r>
    </w:p>
    <w:p w14:paraId="6B728F79" w14:textId="77777777" w:rsidR="00207B98" w:rsidRPr="002C5CE0" w:rsidRDefault="00207B98" w:rsidP="000738D3">
      <w:pPr>
        <w:numPr>
          <w:ilvl w:val="0"/>
          <w:numId w:val="18"/>
        </w:numPr>
        <w:spacing w:after="0" w:line="240" w:lineRule="auto"/>
        <w:ind w:left="1560" w:right="567" w:hanging="567"/>
        <w:jc w:val="both"/>
        <w:rPr>
          <w:rFonts w:ascii="Times New Roman" w:hAnsi="Times New Roman"/>
          <w:sz w:val="24"/>
          <w:szCs w:val="24"/>
        </w:rPr>
      </w:pPr>
      <w:r w:rsidRPr="002C5CE0">
        <w:rPr>
          <w:rFonts w:ascii="Times New Roman" w:hAnsi="Times New Roman"/>
          <w:sz w:val="24"/>
          <w:szCs w:val="24"/>
          <w:shd w:val="clear" w:color="auto" w:fill="FFFFFF"/>
        </w:rPr>
        <w:t>le bonus de droit d'exploration ;</w:t>
      </w:r>
    </w:p>
    <w:p w14:paraId="24F6F9D0" w14:textId="77777777" w:rsidR="00207B98" w:rsidRPr="002C5CE0" w:rsidRDefault="00207B98" w:rsidP="000738D3">
      <w:pPr>
        <w:numPr>
          <w:ilvl w:val="0"/>
          <w:numId w:val="18"/>
        </w:numPr>
        <w:spacing w:after="0" w:line="240" w:lineRule="auto"/>
        <w:ind w:left="1560" w:right="567" w:hanging="567"/>
        <w:jc w:val="both"/>
        <w:rPr>
          <w:rFonts w:ascii="Times New Roman" w:hAnsi="Times New Roman"/>
          <w:sz w:val="24"/>
          <w:szCs w:val="24"/>
        </w:rPr>
      </w:pPr>
      <w:r w:rsidRPr="002C5CE0">
        <w:rPr>
          <w:rFonts w:ascii="Times New Roman" w:hAnsi="Times New Roman"/>
          <w:sz w:val="24"/>
          <w:szCs w:val="24"/>
          <w:shd w:val="clear" w:color="auto" w:fill="FFFFFF"/>
        </w:rPr>
        <w:t>le bonus de renouvellement de droit d'exploration ; </w:t>
      </w:r>
    </w:p>
    <w:p w14:paraId="31DA66EC" w14:textId="77777777" w:rsidR="00207B98" w:rsidRPr="002C5CE0" w:rsidRDefault="00207B98" w:rsidP="000738D3">
      <w:pPr>
        <w:numPr>
          <w:ilvl w:val="0"/>
          <w:numId w:val="18"/>
        </w:numPr>
        <w:spacing w:after="0" w:line="240" w:lineRule="auto"/>
        <w:ind w:left="1560" w:right="567" w:hanging="567"/>
        <w:jc w:val="both"/>
        <w:rPr>
          <w:rFonts w:ascii="Times New Roman" w:hAnsi="Times New Roman"/>
          <w:sz w:val="24"/>
          <w:szCs w:val="24"/>
        </w:rPr>
      </w:pPr>
      <w:r w:rsidRPr="002C5CE0">
        <w:rPr>
          <w:rFonts w:ascii="Times New Roman" w:hAnsi="Times New Roman"/>
          <w:sz w:val="24"/>
          <w:szCs w:val="24"/>
          <w:shd w:val="clear" w:color="auto" w:fill="FFFFFF"/>
        </w:rPr>
        <w:t>le bonus de renouvellement de droit d'exploitation ;</w:t>
      </w:r>
    </w:p>
    <w:p w14:paraId="22AB34B7" w14:textId="77777777" w:rsidR="00207B98" w:rsidRPr="002C5CE0" w:rsidRDefault="00207B98" w:rsidP="000738D3">
      <w:pPr>
        <w:numPr>
          <w:ilvl w:val="0"/>
          <w:numId w:val="18"/>
        </w:numPr>
        <w:spacing w:after="0" w:line="240" w:lineRule="auto"/>
        <w:ind w:left="1560" w:right="567" w:hanging="567"/>
        <w:jc w:val="both"/>
        <w:rPr>
          <w:rFonts w:ascii="Times New Roman" w:hAnsi="Times New Roman"/>
          <w:sz w:val="24"/>
          <w:szCs w:val="24"/>
        </w:rPr>
      </w:pPr>
      <w:r w:rsidRPr="002C5CE0">
        <w:rPr>
          <w:rFonts w:ascii="Times New Roman" w:hAnsi="Times New Roman"/>
          <w:sz w:val="24"/>
          <w:szCs w:val="24"/>
          <w:shd w:val="clear" w:color="auto" w:fill="FFFFFF"/>
        </w:rPr>
        <w:t>le bonus à l'avenant ;</w:t>
      </w:r>
    </w:p>
    <w:p w14:paraId="1D12272D" w14:textId="77777777" w:rsidR="00207B98" w:rsidRPr="002C5CE0" w:rsidRDefault="00207B98" w:rsidP="000738D3">
      <w:pPr>
        <w:numPr>
          <w:ilvl w:val="0"/>
          <w:numId w:val="18"/>
        </w:numPr>
        <w:spacing w:after="0" w:line="240" w:lineRule="auto"/>
        <w:ind w:left="1560" w:right="567" w:hanging="567"/>
        <w:jc w:val="both"/>
        <w:rPr>
          <w:rFonts w:ascii="Times New Roman" w:hAnsi="Times New Roman"/>
          <w:sz w:val="24"/>
          <w:szCs w:val="24"/>
        </w:rPr>
      </w:pPr>
      <w:r w:rsidRPr="002C5CE0">
        <w:rPr>
          <w:rFonts w:ascii="Times New Roman" w:hAnsi="Times New Roman"/>
          <w:sz w:val="24"/>
          <w:szCs w:val="24"/>
          <w:shd w:val="clear" w:color="auto" w:fill="FFFFFF"/>
        </w:rPr>
        <w:t>le bonus de la première production ;</w:t>
      </w:r>
    </w:p>
    <w:p w14:paraId="5C75A2E4" w14:textId="77777777" w:rsidR="00207B98" w:rsidRPr="002C5CE0" w:rsidRDefault="00207B98" w:rsidP="000738D3">
      <w:pPr>
        <w:numPr>
          <w:ilvl w:val="0"/>
          <w:numId w:val="18"/>
        </w:numPr>
        <w:spacing w:after="0" w:line="240" w:lineRule="auto"/>
        <w:ind w:left="1560" w:right="567" w:hanging="567"/>
        <w:jc w:val="both"/>
        <w:rPr>
          <w:rFonts w:ascii="Times New Roman" w:hAnsi="Times New Roman"/>
          <w:sz w:val="24"/>
          <w:szCs w:val="24"/>
        </w:rPr>
      </w:pPr>
      <w:r w:rsidRPr="002C5CE0">
        <w:rPr>
          <w:rFonts w:ascii="Times New Roman" w:hAnsi="Times New Roman"/>
          <w:sz w:val="24"/>
          <w:szCs w:val="24"/>
          <w:shd w:val="clear" w:color="auto" w:fill="FFFFFF"/>
        </w:rPr>
        <w:t xml:space="preserve">la redevance </w:t>
      </w:r>
      <w:proofErr w:type="spellStart"/>
      <w:r w:rsidRPr="002C5CE0">
        <w:rPr>
          <w:rFonts w:ascii="Times New Roman" w:hAnsi="Times New Roman"/>
          <w:sz w:val="24"/>
          <w:szCs w:val="24"/>
          <w:shd w:val="clear" w:color="auto" w:fill="FFFFFF"/>
        </w:rPr>
        <w:t>superficiaire</w:t>
      </w:r>
      <w:proofErr w:type="spellEnd"/>
      <w:r w:rsidRPr="002C5CE0">
        <w:rPr>
          <w:rFonts w:ascii="Times New Roman" w:hAnsi="Times New Roman"/>
          <w:sz w:val="24"/>
          <w:szCs w:val="24"/>
          <w:shd w:val="clear" w:color="auto" w:fill="FFFFFF"/>
        </w:rPr>
        <w:t xml:space="preserve"> ;</w:t>
      </w:r>
    </w:p>
    <w:p w14:paraId="27F6F1DA" w14:textId="77777777" w:rsidR="00207B98" w:rsidRPr="002C5CE0" w:rsidRDefault="00207B98" w:rsidP="000738D3">
      <w:pPr>
        <w:numPr>
          <w:ilvl w:val="0"/>
          <w:numId w:val="18"/>
        </w:numPr>
        <w:spacing w:after="0" w:line="240" w:lineRule="auto"/>
        <w:ind w:left="1560" w:right="567" w:hanging="567"/>
        <w:jc w:val="both"/>
        <w:rPr>
          <w:rFonts w:ascii="Times New Roman" w:hAnsi="Times New Roman"/>
          <w:sz w:val="24"/>
          <w:szCs w:val="24"/>
        </w:rPr>
      </w:pPr>
      <w:r w:rsidRPr="002C5CE0">
        <w:rPr>
          <w:rFonts w:ascii="Times New Roman" w:hAnsi="Times New Roman"/>
          <w:sz w:val="24"/>
          <w:szCs w:val="24"/>
          <w:shd w:val="clear" w:color="auto" w:fill="FFFFFF"/>
        </w:rPr>
        <w:t>la taxe statistique ;</w:t>
      </w:r>
    </w:p>
    <w:p w14:paraId="47A8F6AF" w14:textId="77777777" w:rsidR="00207B98" w:rsidRPr="002C5CE0" w:rsidRDefault="00207B98" w:rsidP="000738D3">
      <w:pPr>
        <w:numPr>
          <w:ilvl w:val="0"/>
          <w:numId w:val="18"/>
        </w:numPr>
        <w:spacing w:after="0" w:line="240" w:lineRule="auto"/>
        <w:ind w:left="1560" w:right="567" w:hanging="567"/>
        <w:jc w:val="both"/>
        <w:rPr>
          <w:rFonts w:ascii="Times New Roman" w:hAnsi="Times New Roman"/>
          <w:sz w:val="24"/>
          <w:szCs w:val="24"/>
        </w:rPr>
      </w:pPr>
      <w:r w:rsidRPr="002C5CE0">
        <w:rPr>
          <w:rFonts w:ascii="Times New Roman" w:hAnsi="Times New Roman"/>
          <w:sz w:val="24"/>
          <w:szCs w:val="24"/>
          <w:shd w:val="clear" w:color="auto" w:fill="FFFFFF"/>
        </w:rPr>
        <w:t>le paiement d'un document administratif ;</w:t>
      </w:r>
    </w:p>
    <w:p w14:paraId="380C8425" w14:textId="77777777" w:rsidR="00207B98" w:rsidRPr="002C5CE0" w:rsidRDefault="00207B98" w:rsidP="000738D3">
      <w:pPr>
        <w:numPr>
          <w:ilvl w:val="0"/>
          <w:numId w:val="18"/>
        </w:numPr>
        <w:spacing w:after="0" w:line="240" w:lineRule="auto"/>
        <w:ind w:left="1560" w:right="567" w:hanging="567"/>
        <w:jc w:val="both"/>
        <w:rPr>
          <w:rFonts w:ascii="Times New Roman" w:hAnsi="Times New Roman"/>
          <w:sz w:val="24"/>
          <w:szCs w:val="24"/>
        </w:rPr>
      </w:pPr>
      <w:r w:rsidRPr="002C5CE0">
        <w:rPr>
          <w:rFonts w:ascii="Times New Roman" w:hAnsi="Times New Roman"/>
          <w:sz w:val="24"/>
          <w:szCs w:val="24"/>
          <w:shd w:val="clear" w:color="auto" w:fill="FFFFFF"/>
        </w:rPr>
        <w:t>l'impôt exceptionnel sur la rémunération du personnel expatrié ;</w:t>
      </w:r>
    </w:p>
    <w:p w14:paraId="533660D9" w14:textId="77777777" w:rsidR="00207B98" w:rsidRPr="002C5CE0" w:rsidRDefault="00207B98" w:rsidP="000738D3">
      <w:pPr>
        <w:numPr>
          <w:ilvl w:val="0"/>
          <w:numId w:val="18"/>
        </w:numPr>
        <w:spacing w:after="0" w:line="240" w:lineRule="auto"/>
        <w:ind w:left="1560" w:right="567" w:hanging="567"/>
        <w:jc w:val="both"/>
        <w:rPr>
          <w:rFonts w:ascii="Times New Roman" w:hAnsi="Times New Roman"/>
          <w:sz w:val="24"/>
          <w:szCs w:val="24"/>
        </w:rPr>
      </w:pPr>
      <w:r w:rsidRPr="002C5CE0">
        <w:rPr>
          <w:rFonts w:ascii="Times New Roman" w:hAnsi="Times New Roman"/>
          <w:sz w:val="24"/>
          <w:szCs w:val="24"/>
          <w:shd w:val="clear" w:color="auto" w:fill="FFFFFF"/>
        </w:rPr>
        <w:t>l'impôt professionnel sur les rémunérations des nationaux ;</w:t>
      </w:r>
    </w:p>
    <w:p w14:paraId="682E43C4" w14:textId="77777777" w:rsidR="00207B98" w:rsidRPr="002C5CE0" w:rsidRDefault="00207B98" w:rsidP="000738D3">
      <w:pPr>
        <w:numPr>
          <w:ilvl w:val="0"/>
          <w:numId w:val="18"/>
        </w:numPr>
        <w:spacing w:after="0" w:line="240" w:lineRule="auto"/>
        <w:ind w:left="1560" w:right="567" w:hanging="567"/>
        <w:jc w:val="both"/>
        <w:rPr>
          <w:rFonts w:ascii="Times New Roman" w:hAnsi="Times New Roman"/>
          <w:sz w:val="24"/>
          <w:szCs w:val="24"/>
        </w:rPr>
      </w:pPr>
      <w:r w:rsidRPr="002C5CE0">
        <w:rPr>
          <w:rFonts w:ascii="Times New Roman" w:hAnsi="Times New Roman"/>
          <w:sz w:val="24"/>
          <w:szCs w:val="24"/>
          <w:shd w:val="clear" w:color="auto" w:fill="FFFFFF"/>
        </w:rPr>
        <w:t>la taxe sur la valeur ajoutée à l'intérieur sur la consommation locale en phase d'exploitation ;</w:t>
      </w:r>
    </w:p>
    <w:p w14:paraId="51EA955C" w14:textId="77777777" w:rsidR="00207B98" w:rsidRPr="002C5CE0" w:rsidRDefault="00207B98" w:rsidP="000738D3">
      <w:pPr>
        <w:numPr>
          <w:ilvl w:val="0"/>
          <w:numId w:val="18"/>
        </w:numPr>
        <w:spacing w:after="0" w:line="240" w:lineRule="auto"/>
        <w:ind w:left="1560" w:right="567" w:hanging="567"/>
        <w:jc w:val="both"/>
        <w:rPr>
          <w:rFonts w:ascii="Times New Roman" w:hAnsi="Times New Roman"/>
          <w:sz w:val="24"/>
          <w:szCs w:val="24"/>
          <w:shd w:val="clear" w:color="auto" w:fill="FFFFFF"/>
        </w:rPr>
      </w:pPr>
      <w:r w:rsidRPr="002C5CE0">
        <w:rPr>
          <w:rFonts w:ascii="Times New Roman" w:hAnsi="Times New Roman"/>
          <w:sz w:val="24"/>
          <w:szCs w:val="24"/>
          <w:shd w:val="clear" w:color="auto" w:fill="FFFFFF"/>
        </w:rPr>
        <w:t>la taxe sur toute forme de cession de droits ou d'intérêts en phases d'exploration et d'exploitation.</w:t>
      </w:r>
    </w:p>
    <w:p w14:paraId="2F70DE7D" w14:textId="77777777" w:rsidR="00207B98" w:rsidRPr="00840E13" w:rsidRDefault="00207B98" w:rsidP="00207B98">
      <w:pPr>
        <w:spacing w:after="0" w:line="240" w:lineRule="auto"/>
        <w:ind w:left="1418" w:right="567"/>
        <w:jc w:val="both"/>
        <w:rPr>
          <w:rFonts w:ascii="Times New Roman" w:hAnsi="Times New Roman"/>
          <w:sz w:val="8"/>
          <w:szCs w:val="8"/>
        </w:rPr>
      </w:pPr>
    </w:p>
    <w:p w14:paraId="181422C0" w14:textId="77777777" w:rsidR="00207B98" w:rsidRDefault="00207B98" w:rsidP="002C5CE0">
      <w:pPr>
        <w:spacing w:after="0" w:line="240" w:lineRule="auto"/>
        <w:ind w:left="426" w:right="567"/>
        <w:jc w:val="both"/>
        <w:rPr>
          <w:rFonts w:ascii="Times New Roman" w:hAnsi="Times New Roman"/>
          <w:sz w:val="24"/>
          <w:szCs w:val="24"/>
        </w:rPr>
      </w:pPr>
      <w:r w:rsidRPr="005844A5">
        <w:rPr>
          <w:rFonts w:ascii="Times New Roman" w:hAnsi="Times New Roman"/>
          <w:b/>
          <w:sz w:val="24"/>
          <w:szCs w:val="24"/>
        </w:rPr>
        <w:t>Le contractant est soumis au régime douanier de droit commun</w:t>
      </w:r>
      <w:r w:rsidRPr="00173CA9">
        <w:rPr>
          <w:rFonts w:ascii="Times New Roman" w:hAnsi="Times New Roman"/>
          <w:sz w:val="24"/>
          <w:szCs w:val="24"/>
        </w:rPr>
        <w:t>, à l’exception (i) des opérations d'importation et d'exportation des biens spécifiquement destinés aux opérations pétrolières et (ii)  des opérations d'exportation d'hydrocarbures bruts qui bénéficient du régime de la franchise totale des droits et taxes (Code d’Hydrocarbures, articles 140 à 150).</w:t>
      </w:r>
    </w:p>
    <w:p w14:paraId="5785E236" w14:textId="77777777" w:rsidR="00207B98" w:rsidRDefault="00207B98" w:rsidP="002C5CE0">
      <w:pPr>
        <w:autoSpaceDE w:val="0"/>
        <w:autoSpaceDN w:val="0"/>
        <w:adjustRightInd w:val="0"/>
        <w:spacing w:before="240" w:after="0" w:line="240" w:lineRule="auto"/>
        <w:ind w:left="426" w:right="535"/>
        <w:jc w:val="both"/>
        <w:rPr>
          <w:rFonts w:ascii="Times New Roman" w:hAnsi="Times New Roman"/>
          <w:sz w:val="24"/>
          <w:szCs w:val="24"/>
        </w:rPr>
      </w:pPr>
      <w:r w:rsidRPr="005844A5">
        <w:rPr>
          <w:rFonts w:ascii="Times New Roman" w:hAnsi="Times New Roman"/>
          <w:b/>
          <w:sz w:val="24"/>
          <w:szCs w:val="24"/>
        </w:rPr>
        <w:t>Le régime de change</w:t>
      </w:r>
      <w:r>
        <w:rPr>
          <w:rStyle w:val="Appelnotedebasdep"/>
          <w:rFonts w:ascii="Times New Roman" w:hAnsi="Times New Roman"/>
          <w:b/>
          <w:sz w:val="24"/>
          <w:szCs w:val="24"/>
        </w:rPr>
        <w:footnoteReference w:id="9"/>
      </w:r>
      <w:r w:rsidRPr="005844A5">
        <w:rPr>
          <w:rFonts w:ascii="Times New Roman" w:hAnsi="Times New Roman"/>
          <w:sz w:val="24"/>
          <w:szCs w:val="24"/>
        </w:rPr>
        <w:t xml:space="preserve"> particulier applicable au contractant dans le secteur des hydrocarbures est déterminé par la Banque Centrale du Congo (Article 151 du Code des Hydrocarbures, et aussi la Réglementation du change</w:t>
      </w:r>
      <w:r w:rsidRPr="00B4555C">
        <w:rPr>
          <w:rFonts w:ascii="Times New Roman" w:hAnsi="Times New Roman"/>
          <w:sz w:val="24"/>
          <w:szCs w:val="24"/>
        </w:rPr>
        <w:t xml:space="preserve"> en République Démocratique du Congo à consulter sur ce</w:t>
      </w:r>
      <w:r>
        <w:rPr>
          <w:rFonts w:ascii="Times New Roman" w:hAnsi="Times New Roman"/>
          <w:sz w:val="24"/>
          <w:szCs w:val="24"/>
        </w:rPr>
        <w:t xml:space="preserve"> </w:t>
      </w:r>
      <w:hyperlink r:id="rId19" w:history="1">
        <w:r w:rsidRPr="00F7725B">
          <w:rPr>
            <w:rStyle w:val="Lienhypertexte"/>
            <w:rFonts w:ascii="Times New Roman" w:hAnsi="Times New Roman"/>
            <w:b/>
            <w:sz w:val="24"/>
            <w:szCs w:val="24"/>
          </w:rPr>
          <w:t>lien</w:t>
        </w:r>
      </w:hyperlink>
      <w:r>
        <w:rPr>
          <w:rFonts w:ascii="Times New Roman" w:hAnsi="Times New Roman"/>
          <w:sz w:val="24"/>
          <w:szCs w:val="24"/>
        </w:rPr>
        <w:t xml:space="preserve">. </w:t>
      </w:r>
    </w:p>
    <w:p w14:paraId="46440FE0" w14:textId="77777777" w:rsidR="00207B98" w:rsidRPr="00173CA9" w:rsidRDefault="00207B98" w:rsidP="002C5CE0">
      <w:pPr>
        <w:spacing w:after="0" w:line="240" w:lineRule="auto"/>
        <w:ind w:left="426" w:right="567"/>
        <w:jc w:val="both"/>
        <w:rPr>
          <w:rFonts w:ascii="Times New Roman" w:hAnsi="Times New Roman"/>
          <w:sz w:val="24"/>
          <w:szCs w:val="24"/>
        </w:rPr>
      </w:pPr>
    </w:p>
    <w:p w14:paraId="3C21F18C" w14:textId="77777777" w:rsidR="00207B98" w:rsidRDefault="00207B98" w:rsidP="003A6A80">
      <w:pPr>
        <w:spacing w:after="0" w:line="276" w:lineRule="auto"/>
        <w:ind w:left="426" w:right="567"/>
        <w:jc w:val="both"/>
        <w:rPr>
          <w:rFonts w:ascii="Times New Roman" w:hAnsi="Times New Roman"/>
          <w:sz w:val="24"/>
          <w:szCs w:val="24"/>
        </w:rPr>
      </w:pPr>
      <w:r w:rsidRPr="005844A5">
        <w:rPr>
          <w:rFonts w:ascii="Times New Roman" w:hAnsi="Times New Roman"/>
          <w:b/>
          <w:sz w:val="24"/>
          <w:szCs w:val="24"/>
        </w:rPr>
        <w:t>Les Contrats de partage de production (CPP)</w:t>
      </w:r>
      <w:r w:rsidRPr="00173CA9">
        <w:rPr>
          <w:rFonts w:ascii="Times New Roman" w:hAnsi="Times New Roman"/>
          <w:sz w:val="24"/>
          <w:szCs w:val="24"/>
        </w:rPr>
        <w:t xml:space="preserve"> prévoient le partage de production d’hydrocarbures entre l’Etat, la Société et/ou l’association composée des contractants ainsi que d’autres entités qui pourront les rejoindre. Les CPP prévoient également la possibilité de paiement en nature. Nonobstant leur assujettissement aux </w:t>
      </w:r>
      <w:r w:rsidRPr="00173CA9">
        <w:rPr>
          <w:rFonts w:ascii="Times New Roman" w:hAnsi="Times New Roman"/>
          <w:color w:val="383838"/>
          <w:sz w:val="24"/>
          <w:szCs w:val="24"/>
          <w:shd w:val="clear" w:color="auto" w:fill="FFFFFF"/>
        </w:rPr>
        <w:t xml:space="preserve">impôts, droits, taxes et redevances repris ci-haut (Article 125 du Code des Hydrocarbures), le régime fiscal </w:t>
      </w:r>
      <w:r w:rsidRPr="00173CA9">
        <w:rPr>
          <w:rFonts w:ascii="Times New Roman" w:hAnsi="Times New Roman"/>
          <w:sz w:val="24"/>
          <w:szCs w:val="24"/>
        </w:rPr>
        <w:t xml:space="preserve">des CPP est constitué : (i) des bonus (Article 127), (ii) des royalties, de la redevance </w:t>
      </w:r>
      <w:proofErr w:type="spellStart"/>
      <w:r w:rsidRPr="00173CA9">
        <w:rPr>
          <w:rFonts w:ascii="Times New Roman" w:hAnsi="Times New Roman"/>
          <w:sz w:val="24"/>
          <w:szCs w:val="24"/>
        </w:rPr>
        <w:t>superficaire</w:t>
      </w:r>
      <w:proofErr w:type="spellEnd"/>
      <w:r w:rsidRPr="00173CA9">
        <w:rPr>
          <w:rFonts w:ascii="Times New Roman" w:hAnsi="Times New Roman"/>
          <w:sz w:val="24"/>
          <w:szCs w:val="24"/>
        </w:rPr>
        <w:t xml:space="preserve"> et des taxes (Articles 127 à 129), ainsi que (iii) du </w:t>
      </w:r>
      <w:proofErr w:type="spellStart"/>
      <w:r w:rsidRPr="00173CA9">
        <w:rPr>
          <w:rFonts w:ascii="Times New Roman" w:hAnsi="Times New Roman"/>
          <w:sz w:val="24"/>
          <w:szCs w:val="24"/>
        </w:rPr>
        <w:t>cost</w:t>
      </w:r>
      <w:proofErr w:type="spellEnd"/>
      <w:r w:rsidRPr="00173CA9">
        <w:rPr>
          <w:rFonts w:ascii="Times New Roman" w:hAnsi="Times New Roman"/>
          <w:sz w:val="24"/>
          <w:szCs w:val="24"/>
        </w:rPr>
        <w:t xml:space="preserve"> oïl et de l'</w:t>
      </w:r>
      <w:proofErr w:type="spellStart"/>
      <w:r w:rsidRPr="00173CA9">
        <w:rPr>
          <w:rFonts w:ascii="Times New Roman" w:hAnsi="Times New Roman"/>
          <w:sz w:val="24"/>
          <w:szCs w:val="24"/>
        </w:rPr>
        <w:t>excess</w:t>
      </w:r>
      <w:proofErr w:type="spellEnd"/>
      <w:r w:rsidRPr="00173CA9">
        <w:rPr>
          <w:rFonts w:ascii="Times New Roman" w:hAnsi="Times New Roman"/>
          <w:sz w:val="24"/>
          <w:szCs w:val="24"/>
        </w:rPr>
        <w:t xml:space="preserve"> oïl (Articles 130 à 138).</w:t>
      </w:r>
    </w:p>
    <w:p w14:paraId="7D3C5448" w14:textId="77777777" w:rsidR="00207B98" w:rsidRPr="00173CA9" w:rsidRDefault="00207B98" w:rsidP="00207B98">
      <w:pPr>
        <w:spacing w:after="0" w:line="240" w:lineRule="auto"/>
        <w:ind w:left="1418" w:right="567"/>
        <w:jc w:val="both"/>
        <w:rPr>
          <w:rFonts w:ascii="Times New Roman" w:hAnsi="Times New Roman"/>
          <w:sz w:val="24"/>
          <w:szCs w:val="24"/>
        </w:rPr>
      </w:pPr>
    </w:p>
    <w:p w14:paraId="0E7A58DA" w14:textId="77777777" w:rsidR="00207B98" w:rsidRPr="002C5CE0" w:rsidRDefault="00207B98" w:rsidP="003A6A80">
      <w:pPr>
        <w:spacing w:after="0" w:line="276" w:lineRule="auto"/>
        <w:ind w:left="426" w:right="567"/>
        <w:jc w:val="both"/>
        <w:rPr>
          <w:rFonts w:ascii="Times New Roman" w:hAnsi="Times New Roman"/>
          <w:sz w:val="24"/>
          <w:szCs w:val="24"/>
        </w:rPr>
      </w:pPr>
      <w:r w:rsidRPr="002C5CE0">
        <w:rPr>
          <w:rFonts w:ascii="Times New Roman" w:hAnsi="Times New Roman"/>
          <w:b/>
          <w:sz w:val="24"/>
          <w:szCs w:val="24"/>
        </w:rPr>
        <w:t>De manière spécifique</w:t>
      </w:r>
      <w:r w:rsidRPr="002C5CE0">
        <w:rPr>
          <w:rFonts w:ascii="Times New Roman" w:hAnsi="Times New Roman"/>
          <w:sz w:val="24"/>
          <w:szCs w:val="24"/>
        </w:rPr>
        <w:t xml:space="preserve"> et en vertu de l’exception tirée de l’article 189 du Code des Hydrocarbures, les droits acquis découlant de l’article 189 de la Loi n°15/012 sont principalement ceux que certaines entreprises détiennent en vertu de la Convention du 11 août 1969 concernant l'exploitation sur la terre ferme (on-shore) régissant l'association PERENCO REP et LIREX, et que d’autres entreprises conservent de la Convention du 9 </w:t>
      </w:r>
      <w:r w:rsidRPr="002C5CE0">
        <w:rPr>
          <w:rFonts w:ascii="Times New Roman" w:hAnsi="Times New Roman"/>
          <w:sz w:val="24"/>
          <w:szCs w:val="24"/>
        </w:rPr>
        <w:lastRenderedPageBreak/>
        <w:t xml:space="preserve">août 1969 s’agissant de l'exploitation en mer (offshore) qui régit l’association MIOC, TEIKOKU et CHEVRON-ODS. </w:t>
      </w:r>
    </w:p>
    <w:p w14:paraId="06AF5F11" w14:textId="77777777" w:rsidR="00207B98" w:rsidRPr="002C5CE0" w:rsidRDefault="00207B98" w:rsidP="002C5CE0">
      <w:pPr>
        <w:spacing w:after="0" w:line="240" w:lineRule="auto"/>
        <w:ind w:left="426" w:right="567"/>
        <w:jc w:val="both"/>
        <w:rPr>
          <w:rFonts w:ascii="Times New Roman" w:hAnsi="Times New Roman"/>
          <w:sz w:val="24"/>
          <w:szCs w:val="24"/>
        </w:rPr>
      </w:pPr>
    </w:p>
    <w:p w14:paraId="10DEC7AD" w14:textId="77777777" w:rsidR="00207B98" w:rsidRPr="002C5CE0" w:rsidRDefault="00207B98" w:rsidP="002C5CE0">
      <w:pPr>
        <w:spacing w:after="0" w:line="240" w:lineRule="auto"/>
        <w:ind w:left="426" w:right="567"/>
        <w:jc w:val="both"/>
        <w:rPr>
          <w:rFonts w:ascii="Times New Roman" w:hAnsi="Times New Roman"/>
          <w:sz w:val="24"/>
          <w:szCs w:val="24"/>
        </w:rPr>
      </w:pPr>
      <w:r w:rsidRPr="002C5CE0">
        <w:rPr>
          <w:rFonts w:ascii="Times New Roman" w:hAnsi="Times New Roman"/>
          <w:sz w:val="24"/>
          <w:szCs w:val="24"/>
        </w:rPr>
        <w:t>A cet effet, en application de la Convention du 11 août 1969, les sociétés pétrolières versent à l'Etat les royalties, un dividende et l’impôt sur le bénéfice et profit, tandis que la Convention du 9 août 1969 oblige les sociétés pétrolières à payer à l'Etat la taxe statistique, la marge distribuable, la taxe de participation et l'impôt professionnel sur les bénéfices.</w:t>
      </w:r>
    </w:p>
    <w:p w14:paraId="4D9EE9AD" w14:textId="77777777" w:rsidR="00207B98" w:rsidRPr="00840E13" w:rsidRDefault="00207B98" w:rsidP="00207B98">
      <w:pPr>
        <w:spacing w:after="0" w:line="240" w:lineRule="auto"/>
        <w:ind w:left="1418" w:right="567"/>
        <w:jc w:val="both"/>
      </w:pPr>
    </w:p>
    <w:p w14:paraId="647763AB" w14:textId="77777777" w:rsidR="00207B98" w:rsidRPr="00840E13" w:rsidRDefault="00207B98" w:rsidP="003A6A80">
      <w:pPr>
        <w:pStyle w:val="Titre3"/>
        <w:spacing w:before="240"/>
        <w:ind w:left="426"/>
        <w:rPr>
          <w:rFonts w:ascii="Times New Roman" w:hAnsi="Times New Roman" w:cs="Times New Roman"/>
          <w:sz w:val="24"/>
          <w:szCs w:val="24"/>
        </w:rPr>
      </w:pPr>
      <w:bookmarkStart w:id="43" w:name="_Toc515792930"/>
      <w:bookmarkStart w:id="44" w:name="_Toc515793169"/>
      <w:bookmarkStart w:id="45" w:name="_Toc515589770"/>
      <w:bookmarkStart w:id="46" w:name="_Toc515792931"/>
      <w:bookmarkStart w:id="47" w:name="_Toc515793170"/>
      <w:bookmarkStart w:id="48" w:name="_Toc518135485"/>
      <w:bookmarkStart w:id="49" w:name="_Toc518468056"/>
      <w:bookmarkEnd w:id="43"/>
      <w:bookmarkEnd w:id="44"/>
      <w:r>
        <w:rPr>
          <w:rFonts w:ascii="Times New Roman" w:hAnsi="Times New Roman" w:cs="Times New Roman"/>
          <w:sz w:val="24"/>
          <w:szCs w:val="24"/>
        </w:rPr>
        <w:t xml:space="preserve">I.1.3. </w:t>
      </w:r>
      <w:r w:rsidRPr="00840E13">
        <w:rPr>
          <w:rFonts w:ascii="Times New Roman" w:hAnsi="Times New Roman" w:cs="Times New Roman"/>
          <w:sz w:val="24"/>
          <w:szCs w:val="24"/>
        </w:rPr>
        <w:t>Niveau de décentralisation fiscale</w:t>
      </w:r>
      <w:bookmarkEnd w:id="45"/>
      <w:bookmarkEnd w:id="46"/>
      <w:bookmarkEnd w:id="47"/>
      <w:r w:rsidRPr="00840E13">
        <w:rPr>
          <w:rFonts w:ascii="Times New Roman" w:hAnsi="Times New Roman" w:cs="Times New Roman"/>
          <w:sz w:val="24"/>
          <w:szCs w:val="24"/>
        </w:rPr>
        <w:t xml:space="preserve"> du secteur pétrolier</w:t>
      </w:r>
      <w:bookmarkEnd w:id="48"/>
      <w:bookmarkEnd w:id="49"/>
    </w:p>
    <w:p w14:paraId="53377E72" w14:textId="77777777" w:rsidR="00207B98" w:rsidRPr="003A6A80" w:rsidRDefault="00207B98" w:rsidP="003A6A80">
      <w:pPr>
        <w:spacing w:after="0" w:line="276" w:lineRule="auto"/>
        <w:ind w:left="426" w:right="567"/>
        <w:jc w:val="both"/>
        <w:rPr>
          <w:rFonts w:ascii="Times New Roman" w:hAnsi="Times New Roman"/>
          <w:sz w:val="24"/>
          <w:szCs w:val="24"/>
        </w:rPr>
      </w:pPr>
      <w:r w:rsidRPr="003A6A80">
        <w:rPr>
          <w:rFonts w:ascii="Times New Roman" w:hAnsi="Times New Roman"/>
          <w:sz w:val="24"/>
          <w:szCs w:val="24"/>
        </w:rPr>
        <w:t>Hormis l’impôt sur les Concessions Minières et d’Hydrocarbures (ICMH) revenant aux provinces, tous les autres paiements au titre d’impôt, droit ou taxe</w:t>
      </w:r>
      <w:r w:rsidRPr="003A6A80" w:rsidDel="00B51D12">
        <w:rPr>
          <w:rFonts w:ascii="Times New Roman" w:hAnsi="Times New Roman"/>
          <w:sz w:val="24"/>
          <w:szCs w:val="24"/>
        </w:rPr>
        <w:t xml:space="preserve"> </w:t>
      </w:r>
      <w:r w:rsidRPr="003A6A80">
        <w:rPr>
          <w:rFonts w:ascii="Times New Roman" w:hAnsi="Times New Roman"/>
          <w:sz w:val="24"/>
          <w:szCs w:val="24"/>
        </w:rPr>
        <w:t>prévus par la loi n°15/012 du 1</w:t>
      </w:r>
      <w:r w:rsidRPr="003A6A80">
        <w:rPr>
          <w:rFonts w:ascii="Times New Roman" w:hAnsi="Times New Roman"/>
          <w:sz w:val="24"/>
          <w:szCs w:val="24"/>
          <w:vertAlign w:val="superscript"/>
        </w:rPr>
        <w:t>er</w:t>
      </w:r>
      <w:r w:rsidRPr="003A6A80">
        <w:rPr>
          <w:rFonts w:ascii="Times New Roman" w:hAnsi="Times New Roman"/>
          <w:sz w:val="24"/>
          <w:szCs w:val="24"/>
        </w:rPr>
        <w:t xml:space="preserve"> août 2015 reviennent au Gouvernement central (</w:t>
      </w:r>
      <w:hyperlink r:id="rId20" w:history="1">
        <w:r w:rsidRPr="003A6A80">
          <w:rPr>
            <w:rStyle w:val="Lienhypertexte"/>
            <w:rFonts w:ascii="Times New Roman" w:hAnsi="Times New Roman"/>
            <w:sz w:val="24"/>
            <w:szCs w:val="24"/>
          </w:rPr>
          <w:t>Ord. Loi n°13/001 du 23/02/2013</w:t>
        </w:r>
      </w:hyperlink>
      <w:r w:rsidRPr="003A6A80">
        <w:rPr>
          <w:rFonts w:ascii="Times New Roman" w:hAnsi="Times New Roman"/>
          <w:color w:val="0070C0"/>
          <w:sz w:val="24"/>
          <w:szCs w:val="24"/>
        </w:rPr>
        <w:t xml:space="preserve"> </w:t>
      </w:r>
      <w:r w:rsidRPr="003A6A80">
        <w:rPr>
          <w:rFonts w:ascii="Times New Roman" w:hAnsi="Times New Roman"/>
          <w:sz w:val="24"/>
          <w:szCs w:val="24"/>
        </w:rPr>
        <w:t>fixant la nomenclature des impôts, droits, taxes et redevances des provinces et des entités territoriales décentralisées ainsi que leurs modalités de répartition)</w:t>
      </w:r>
      <w:r w:rsidRPr="003A6A80">
        <w:rPr>
          <w:rStyle w:val="Appelnotedebasdep"/>
          <w:rFonts w:ascii="Times New Roman" w:hAnsi="Times New Roman"/>
          <w:sz w:val="24"/>
          <w:szCs w:val="24"/>
        </w:rPr>
        <w:footnoteReference w:id="10"/>
      </w:r>
      <w:r w:rsidRPr="003A6A80">
        <w:rPr>
          <w:rFonts w:ascii="Times New Roman" w:hAnsi="Times New Roman"/>
          <w:sz w:val="24"/>
          <w:szCs w:val="24"/>
        </w:rPr>
        <w:t xml:space="preserve">. </w:t>
      </w:r>
    </w:p>
    <w:p w14:paraId="12FAC7C3" w14:textId="77777777" w:rsidR="00207B98" w:rsidRPr="003A6A80" w:rsidRDefault="00207B98" w:rsidP="003A6A80">
      <w:pPr>
        <w:spacing w:after="0" w:line="240" w:lineRule="auto"/>
        <w:ind w:left="426" w:right="567"/>
        <w:jc w:val="both"/>
        <w:rPr>
          <w:rFonts w:ascii="Times New Roman" w:hAnsi="Times New Roman"/>
          <w:sz w:val="24"/>
          <w:szCs w:val="24"/>
        </w:rPr>
      </w:pPr>
      <w:r w:rsidRPr="003A6A80">
        <w:rPr>
          <w:rFonts w:ascii="Times New Roman" w:hAnsi="Times New Roman"/>
          <w:sz w:val="24"/>
          <w:szCs w:val="24"/>
        </w:rPr>
        <w:t xml:space="preserve"> </w:t>
      </w:r>
    </w:p>
    <w:p w14:paraId="39CE5058" w14:textId="77777777" w:rsidR="003A6A80" w:rsidRDefault="00207B98" w:rsidP="003A6A80">
      <w:pPr>
        <w:spacing w:after="0" w:line="276" w:lineRule="auto"/>
        <w:ind w:left="426" w:right="567"/>
        <w:jc w:val="both"/>
        <w:rPr>
          <w:rFonts w:ascii="Times New Roman" w:hAnsi="Times New Roman"/>
          <w:i/>
          <w:sz w:val="24"/>
          <w:szCs w:val="24"/>
        </w:rPr>
      </w:pPr>
      <w:r w:rsidRPr="003A6A80">
        <w:rPr>
          <w:rFonts w:ascii="Times New Roman" w:hAnsi="Times New Roman"/>
          <w:sz w:val="24"/>
          <w:szCs w:val="24"/>
        </w:rPr>
        <w:t xml:space="preserve">De même, la </w:t>
      </w:r>
      <w:r w:rsidRPr="003A6A80">
        <w:rPr>
          <w:rFonts w:ascii="Times New Roman" w:hAnsi="Times New Roman"/>
          <w:b/>
          <w:i/>
          <w:sz w:val="24"/>
          <w:szCs w:val="24"/>
        </w:rPr>
        <w:t>Loi n°1/011 du 13 juillet 2011 relative aux Finances Publiques</w:t>
      </w:r>
      <w:r w:rsidRPr="003A6A80">
        <w:rPr>
          <w:rFonts w:ascii="Times New Roman" w:hAnsi="Times New Roman"/>
          <w:sz w:val="24"/>
          <w:szCs w:val="24"/>
        </w:rPr>
        <w:t xml:space="preserve"> (la </w:t>
      </w:r>
      <w:hyperlink r:id="rId21" w:history="1">
        <w:r w:rsidRPr="003A6A80">
          <w:rPr>
            <w:rStyle w:val="Lienhypertexte"/>
            <w:rFonts w:ascii="Times New Roman" w:hAnsi="Times New Roman"/>
            <w:sz w:val="24"/>
            <w:szCs w:val="24"/>
          </w:rPr>
          <w:t>LOFIP</w:t>
        </w:r>
      </w:hyperlink>
      <w:r w:rsidRPr="003A6A80">
        <w:rPr>
          <w:rFonts w:ascii="Times New Roman" w:hAnsi="Times New Roman"/>
          <w:sz w:val="24"/>
          <w:szCs w:val="24"/>
        </w:rPr>
        <w:t>)</w:t>
      </w:r>
      <w:r w:rsidRPr="003A6A80">
        <w:rPr>
          <w:rStyle w:val="Appelnotedebasdep"/>
          <w:rFonts w:ascii="Times New Roman" w:hAnsi="Times New Roman"/>
          <w:sz w:val="24"/>
          <w:szCs w:val="24"/>
        </w:rPr>
        <w:footnoteReference w:id="11"/>
      </w:r>
      <w:r w:rsidRPr="003A6A80">
        <w:rPr>
          <w:rFonts w:ascii="Times New Roman" w:hAnsi="Times New Roman"/>
          <w:sz w:val="24"/>
          <w:szCs w:val="24"/>
        </w:rPr>
        <w:t xml:space="preserve"> prévoit en son article 221 une allocation à la province productrice de 10% de la part des recettes de la catégorie B revenant aux provinces. En effet, cet article est ainsi libellé : </w:t>
      </w:r>
      <w:r w:rsidRPr="003A6A80">
        <w:rPr>
          <w:rFonts w:ascii="Times New Roman" w:hAnsi="Times New Roman"/>
          <w:i/>
          <w:sz w:val="24"/>
          <w:szCs w:val="24"/>
        </w:rPr>
        <w:t>« Sans préjudice des dispositions de l’article 218 de la présente loi, la retenue de 40% sur les recettes de la catégorie B s’effectue, au profit des provinces, suivant leur capacité contributive et leur poids démographique au regard des modalités déterminées, conformément à un arrêté conjoint des ministres du pouvoir central ayant les finances et le budget dans leurs attributions respectives ».</w:t>
      </w:r>
      <w:r w:rsidRPr="00173CA9">
        <w:rPr>
          <w:rFonts w:ascii="Times New Roman" w:hAnsi="Times New Roman"/>
          <w:i/>
          <w:sz w:val="24"/>
          <w:szCs w:val="24"/>
        </w:rPr>
        <w:t xml:space="preserve"> </w:t>
      </w:r>
    </w:p>
    <w:p w14:paraId="3AED04E7" w14:textId="77777777" w:rsidR="00207B98" w:rsidRPr="00173CA9" w:rsidRDefault="00207B98" w:rsidP="003A6A80">
      <w:pPr>
        <w:spacing w:after="0" w:line="240" w:lineRule="auto"/>
        <w:ind w:left="426" w:right="567"/>
        <w:jc w:val="both"/>
        <w:rPr>
          <w:rFonts w:ascii="Times New Roman" w:hAnsi="Times New Roman"/>
          <w:i/>
          <w:sz w:val="24"/>
          <w:szCs w:val="24"/>
        </w:rPr>
      </w:pPr>
      <w:r w:rsidRPr="00173CA9">
        <w:rPr>
          <w:rFonts w:ascii="Times New Roman" w:hAnsi="Times New Roman"/>
          <w:b/>
          <w:i/>
          <w:sz w:val="24"/>
          <w:szCs w:val="24"/>
        </w:rPr>
        <w:t>S’agissant des recettes pétrolières inclues dans la catégorie B, une allocation de 10% de la part revenant aux provinces est attribuée à la province productrice à titre compensatoire pour réparer notamment les dommages d’environnement résultant de l’extraction</w:t>
      </w:r>
      <w:r w:rsidRPr="00173CA9">
        <w:rPr>
          <w:rFonts w:ascii="Times New Roman" w:hAnsi="Times New Roman"/>
          <w:i/>
          <w:sz w:val="24"/>
          <w:szCs w:val="24"/>
        </w:rPr>
        <w:t> ».</w:t>
      </w:r>
    </w:p>
    <w:p w14:paraId="31E1EFF4" w14:textId="77777777" w:rsidR="00207B98" w:rsidRPr="00173CA9" w:rsidRDefault="00207B98" w:rsidP="003A6A80">
      <w:pPr>
        <w:spacing w:after="0" w:line="240" w:lineRule="auto"/>
        <w:ind w:left="426" w:right="567"/>
        <w:jc w:val="both"/>
        <w:rPr>
          <w:rFonts w:ascii="Times New Roman" w:hAnsi="Times New Roman"/>
          <w:sz w:val="24"/>
          <w:szCs w:val="24"/>
        </w:rPr>
      </w:pPr>
    </w:p>
    <w:p w14:paraId="43BF3BE8" w14:textId="77777777" w:rsidR="00207B98" w:rsidRPr="00173CA9" w:rsidRDefault="00207B98" w:rsidP="003A6A80">
      <w:pPr>
        <w:spacing w:after="0" w:line="240" w:lineRule="auto"/>
        <w:ind w:left="426" w:right="567"/>
        <w:jc w:val="both"/>
        <w:rPr>
          <w:rFonts w:ascii="Times New Roman" w:hAnsi="Times New Roman"/>
          <w:sz w:val="24"/>
          <w:szCs w:val="24"/>
        </w:rPr>
      </w:pPr>
      <w:r w:rsidRPr="00173CA9">
        <w:rPr>
          <w:rFonts w:ascii="Times New Roman" w:hAnsi="Times New Roman"/>
          <w:sz w:val="24"/>
          <w:szCs w:val="24"/>
        </w:rPr>
        <w:t xml:space="preserve">A ce jour, les 10% ci-dessus prévus </w:t>
      </w:r>
      <w:r>
        <w:rPr>
          <w:rFonts w:ascii="Times New Roman" w:hAnsi="Times New Roman"/>
          <w:sz w:val="24"/>
          <w:szCs w:val="24"/>
        </w:rPr>
        <w:t xml:space="preserve">ne </w:t>
      </w:r>
      <w:r w:rsidRPr="00173CA9">
        <w:rPr>
          <w:rFonts w:ascii="Times New Roman" w:hAnsi="Times New Roman"/>
          <w:sz w:val="24"/>
          <w:szCs w:val="24"/>
        </w:rPr>
        <w:t xml:space="preserve">sont </w:t>
      </w:r>
      <w:r>
        <w:rPr>
          <w:rFonts w:ascii="Times New Roman" w:hAnsi="Times New Roman"/>
          <w:sz w:val="24"/>
          <w:szCs w:val="24"/>
        </w:rPr>
        <w:t xml:space="preserve">pas </w:t>
      </w:r>
      <w:r w:rsidRPr="00173CA9">
        <w:rPr>
          <w:rFonts w:ascii="Times New Roman" w:hAnsi="Times New Roman"/>
          <w:sz w:val="24"/>
          <w:szCs w:val="24"/>
        </w:rPr>
        <w:t>remis à la province productrice, faute d’arrêté interministériel pris à cet effet.</w:t>
      </w:r>
    </w:p>
    <w:p w14:paraId="1A6A0C13" w14:textId="77777777" w:rsidR="00207B98" w:rsidRPr="00173CA9" w:rsidRDefault="00207B98" w:rsidP="003A6A80">
      <w:pPr>
        <w:spacing w:after="0" w:line="240" w:lineRule="auto"/>
        <w:ind w:left="426" w:right="567"/>
        <w:jc w:val="both"/>
        <w:rPr>
          <w:rFonts w:ascii="Times New Roman" w:hAnsi="Times New Roman"/>
          <w:sz w:val="24"/>
          <w:szCs w:val="24"/>
        </w:rPr>
      </w:pPr>
    </w:p>
    <w:p w14:paraId="715DF1BE" w14:textId="77777777" w:rsidR="00207B98" w:rsidRDefault="00207B98" w:rsidP="003A6A80">
      <w:pPr>
        <w:autoSpaceDE w:val="0"/>
        <w:autoSpaceDN w:val="0"/>
        <w:adjustRightInd w:val="0"/>
        <w:spacing w:after="0" w:line="276" w:lineRule="auto"/>
        <w:ind w:left="426" w:right="535"/>
        <w:jc w:val="both"/>
        <w:rPr>
          <w:rFonts w:ascii="Times New Roman" w:hAnsi="Times New Roman"/>
          <w:sz w:val="24"/>
          <w:szCs w:val="24"/>
        </w:rPr>
      </w:pPr>
      <w:r w:rsidRPr="00173CA9">
        <w:rPr>
          <w:rFonts w:ascii="Times New Roman" w:hAnsi="Times New Roman"/>
          <w:sz w:val="24"/>
          <w:szCs w:val="24"/>
        </w:rPr>
        <w:t xml:space="preserve">Par ailleurs, en application de l’article 181 de la Constitution, les provinces devraient bénéficier des ressources provenant de la </w:t>
      </w:r>
      <w:r w:rsidRPr="00173CA9">
        <w:rPr>
          <w:rFonts w:ascii="Times New Roman" w:hAnsi="Times New Roman"/>
          <w:b/>
          <w:i/>
          <w:sz w:val="24"/>
          <w:szCs w:val="24"/>
        </w:rPr>
        <w:t>Caisse nationale de péréquation</w:t>
      </w:r>
      <w:r w:rsidRPr="00173CA9">
        <w:rPr>
          <w:rFonts w:ascii="Times New Roman" w:hAnsi="Times New Roman"/>
          <w:sz w:val="24"/>
          <w:szCs w:val="24"/>
        </w:rPr>
        <w:t xml:space="preserve"> dont le budget est alimenté à concurrence de 10% de la totalité des recettes de catégorie A et B telle que définies à l’article 219 de la LOFIP. Mais, une fois de plus, des modalités pratiques ne sont pas encore prises au niveau du Pouvoir central pour matérialiser les prescrits de la Constitution à ce sujet. </w:t>
      </w:r>
      <w:r>
        <w:rPr>
          <w:rFonts w:ascii="Times New Roman" w:hAnsi="Times New Roman"/>
          <w:sz w:val="24"/>
          <w:szCs w:val="24"/>
        </w:rPr>
        <w:t xml:space="preserve">Certes, une loi organique a été promulguée en 2016, c’est la </w:t>
      </w:r>
      <w:r w:rsidRPr="003F56AB">
        <w:rPr>
          <w:rFonts w:ascii="Times New Roman" w:hAnsi="Times New Roman"/>
          <w:sz w:val="24"/>
          <w:szCs w:val="24"/>
        </w:rPr>
        <w:t>L</w:t>
      </w:r>
      <w:r w:rsidRPr="00654AB7">
        <w:rPr>
          <w:rFonts w:ascii="Times New Roman" w:hAnsi="Times New Roman"/>
          <w:sz w:val="24"/>
          <w:szCs w:val="24"/>
        </w:rPr>
        <w:t>oi organique n°</w:t>
      </w:r>
      <w:r w:rsidRPr="003F56AB">
        <w:rPr>
          <w:rFonts w:ascii="Times New Roman" w:hAnsi="Times New Roman"/>
          <w:sz w:val="24"/>
          <w:szCs w:val="24"/>
        </w:rPr>
        <w:t xml:space="preserve">16/028 </w:t>
      </w:r>
      <w:r w:rsidRPr="007C125D">
        <w:rPr>
          <w:rFonts w:ascii="Times New Roman" w:hAnsi="Times New Roman"/>
          <w:sz w:val="24"/>
          <w:szCs w:val="24"/>
        </w:rPr>
        <w:t>du 08 novembre 2016</w:t>
      </w:r>
      <w:r>
        <w:rPr>
          <w:rFonts w:ascii="Times New Roman" w:hAnsi="Times New Roman"/>
          <w:sz w:val="24"/>
          <w:szCs w:val="24"/>
        </w:rPr>
        <w:t xml:space="preserve"> </w:t>
      </w:r>
      <w:r w:rsidRPr="003F56AB">
        <w:rPr>
          <w:rFonts w:ascii="Times New Roman" w:hAnsi="Times New Roman"/>
          <w:sz w:val="24"/>
          <w:szCs w:val="24"/>
        </w:rPr>
        <w:t>portant organisation et fonctionnement de la Caisse nationale de péréquation</w:t>
      </w:r>
      <w:r>
        <w:rPr>
          <w:rFonts w:ascii="Times New Roman" w:hAnsi="Times New Roman"/>
          <w:sz w:val="24"/>
          <w:szCs w:val="24"/>
        </w:rPr>
        <w:t xml:space="preserve"> que l’on peut télécharger sur le site du Journal Officiel</w:t>
      </w:r>
      <w:r>
        <w:rPr>
          <w:rStyle w:val="Appelnotedebasdep"/>
          <w:rFonts w:ascii="Times New Roman" w:hAnsi="Times New Roman"/>
          <w:sz w:val="24"/>
          <w:szCs w:val="24"/>
        </w:rPr>
        <w:footnoteReference w:id="12"/>
      </w:r>
      <w:r>
        <w:rPr>
          <w:rFonts w:ascii="Times New Roman" w:hAnsi="Times New Roman"/>
          <w:sz w:val="24"/>
          <w:szCs w:val="24"/>
        </w:rPr>
        <w:t xml:space="preserve"> au lien </w:t>
      </w:r>
      <w:hyperlink r:id="rId22" w:history="1">
        <w:r w:rsidRPr="001C3CE1">
          <w:rPr>
            <w:rStyle w:val="Lienhypertexte"/>
            <w:rFonts w:ascii="Times New Roman" w:hAnsi="Times New Roman"/>
            <w:b/>
            <w:sz w:val="24"/>
            <w:szCs w:val="24"/>
          </w:rPr>
          <w:t>suivant</w:t>
        </w:r>
      </w:hyperlink>
      <w:r>
        <w:rPr>
          <w:rFonts w:ascii="Times New Roman" w:hAnsi="Times New Roman"/>
          <w:sz w:val="24"/>
          <w:szCs w:val="24"/>
        </w:rPr>
        <w:t xml:space="preserve">. </w:t>
      </w:r>
    </w:p>
    <w:p w14:paraId="3C0FF2BF" w14:textId="77777777" w:rsidR="00207B98" w:rsidRPr="001371A7" w:rsidRDefault="00207B98" w:rsidP="003A6A80">
      <w:pPr>
        <w:autoSpaceDE w:val="0"/>
        <w:autoSpaceDN w:val="0"/>
        <w:adjustRightInd w:val="0"/>
        <w:spacing w:after="0" w:line="276" w:lineRule="auto"/>
        <w:ind w:left="426" w:right="535"/>
        <w:jc w:val="both"/>
        <w:rPr>
          <w:rFonts w:ascii="Times New Roman" w:hAnsi="Times New Roman"/>
          <w:sz w:val="24"/>
          <w:szCs w:val="24"/>
        </w:rPr>
      </w:pPr>
      <w:r>
        <w:rPr>
          <w:rFonts w:ascii="Times New Roman" w:hAnsi="Times New Roman"/>
          <w:sz w:val="24"/>
          <w:szCs w:val="24"/>
        </w:rPr>
        <w:lastRenderedPageBreak/>
        <w:t xml:space="preserve">Cependant, le décret du Premier Ministre créant ledit organisme </w:t>
      </w:r>
      <w:r w:rsidRPr="003F56AB">
        <w:rPr>
          <w:rFonts w:ascii="Times New Roman" w:hAnsi="Times New Roman"/>
          <w:sz w:val="24"/>
          <w:szCs w:val="24"/>
        </w:rPr>
        <w:t xml:space="preserve">de droit public </w:t>
      </w:r>
      <w:r>
        <w:rPr>
          <w:rFonts w:ascii="Times New Roman" w:hAnsi="Times New Roman"/>
          <w:sz w:val="24"/>
          <w:szCs w:val="24"/>
        </w:rPr>
        <w:t xml:space="preserve">placé sous la tutelle du Gouvernement n’est pas encore pris. </w:t>
      </w:r>
    </w:p>
    <w:p w14:paraId="4AE05271" w14:textId="77777777" w:rsidR="00207B98" w:rsidRPr="00173CA9" w:rsidRDefault="00207B98" w:rsidP="003A6A80">
      <w:pPr>
        <w:spacing w:after="0" w:line="276" w:lineRule="auto"/>
        <w:ind w:left="426" w:right="567"/>
        <w:jc w:val="both"/>
        <w:rPr>
          <w:rFonts w:ascii="Times New Roman" w:hAnsi="Times New Roman"/>
          <w:sz w:val="24"/>
          <w:szCs w:val="24"/>
        </w:rPr>
      </w:pPr>
    </w:p>
    <w:p w14:paraId="1AC796B7" w14:textId="77777777" w:rsidR="00207B98" w:rsidRDefault="00207B98" w:rsidP="003A6A80">
      <w:pPr>
        <w:spacing w:after="0" w:line="276" w:lineRule="auto"/>
        <w:ind w:left="426" w:right="567"/>
        <w:jc w:val="both"/>
        <w:rPr>
          <w:rFonts w:ascii="Times New Roman" w:hAnsi="Times New Roman"/>
          <w:i/>
          <w:sz w:val="24"/>
          <w:szCs w:val="24"/>
        </w:rPr>
      </w:pPr>
      <w:r w:rsidRPr="00173CA9">
        <w:rPr>
          <w:rFonts w:ascii="Times New Roman" w:hAnsi="Times New Roman"/>
          <w:sz w:val="24"/>
          <w:szCs w:val="24"/>
        </w:rPr>
        <w:t>Enfin, l’</w:t>
      </w:r>
      <w:r w:rsidRPr="00173CA9">
        <w:rPr>
          <w:rFonts w:ascii="Times New Roman" w:hAnsi="Times New Roman"/>
          <w:b/>
          <w:i/>
          <w:sz w:val="24"/>
          <w:szCs w:val="24"/>
        </w:rPr>
        <w:t xml:space="preserve">Ordonnance-loi n°13/001 du 23 février 2013 </w:t>
      </w:r>
      <w:r w:rsidRPr="00173CA9">
        <w:rPr>
          <w:rFonts w:ascii="Times New Roman" w:hAnsi="Times New Roman"/>
          <w:sz w:val="24"/>
          <w:szCs w:val="24"/>
        </w:rPr>
        <w:t xml:space="preserve">fixant la nomenclature des impôts, droits, taxes et redevances des Provinces et des Entités Territoriales Décentralisées ainsi que leurs modalités de répartition liste, dans son </w:t>
      </w:r>
      <w:r w:rsidRPr="00173CA9">
        <w:rPr>
          <w:rFonts w:ascii="Times New Roman" w:hAnsi="Times New Roman"/>
          <w:b/>
          <w:i/>
          <w:sz w:val="24"/>
          <w:szCs w:val="24"/>
        </w:rPr>
        <w:t>annexe</w:t>
      </w:r>
      <w:r w:rsidRPr="00173CA9">
        <w:rPr>
          <w:rFonts w:ascii="Times New Roman" w:hAnsi="Times New Roman"/>
          <w:i/>
          <w:sz w:val="24"/>
          <w:szCs w:val="24"/>
        </w:rPr>
        <w:t>, les flux encadrés par les provinces en application de la décentralisation fiscale.</w:t>
      </w:r>
    </w:p>
    <w:p w14:paraId="75ED9FE7" w14:textId="77777777" w:rsidR="00207B98" w:rsidRPr="00840E13" w:rsidRDefault="00207B98" w:rsidP="00207B98">
      <w:pPr>
        <w:spacing w:after="0" w:line="240" w:lineRule="auto"/>
        <w:ind w:left="1418" w:right="567"/>
        <w:jc w:val="both"/>
        <w:rPr>
          <w:rFonts w:ascii="Times New Roman" w:hAnsi="Times New Roman"/>
          <w:sz w:val="10"/>
          <w:szCs w:val="10"/>
        </w:rPr>
      </w:pPr>
    </w:p>
    <w:p w14:paraId="381C4E50" w14:textId="77777777" w:rsidR="00207B98" w:rsidRPr="006443D7" w:rsidRDefault="00207B98" w:rsidP="006443D7">
      <w:pPr>
        <w:pStyle w:val="Titre3"/>
        <w:spacing w:before="240"/>
        <w:ind w:left="426"/>
        <w:rPr>
          <w:rFonts w:ascii="Times New Roman" w:hAnsi="Times New Roman" w:cs="Times New Roman"/>
          <w:sz w:val="24"/>
          <w:szCs w:val="24"/>
        </w:rPr>
      </w:pPr>
      <w:bookmarkStart w:id="50" w:name="_Toc515792932"/>
      <w:bookmarkStart w:id="51" w:name="_Toc515793171"/>
      <w:bookmarkStart w:id="52" w:name="_Toc515792933"/>
      <w:bookmarkStart w:id="53" w:name="_Toc515793172"/>
      <w:bookmarkStart w:id="54" w:name="_Toc515589771"/>
      <w:bookmarkStart w:id="55" w:name="_Toc515792934"/>
      <w:bookmarkStart w:id="56" w:name="_Toc515793173"/>
      <w:bookmarkStart w:id="57" w:name="_Toc518135486"/>
      <w:bookmarkStart w:id="58" w:name="_Toc518468057"/>
      <w:bookmarkEnd w:id="50"/>
      <w:bookmarkEnd w:id="51"/>
      <w:bookmarkEnd w:id="52"/>
      <w:bookmarkEnd w:id="53"/>
      <w:r w:rsidRPr="006443D7">
        <w:rPr>
          <w:rFonts w:ascii="Times New Roman" w:hAnsi="Times New Roman" w:cs="Times New Roman"/>
          <w:sz w:val="24"/>
          <w:szCs w:val="24"/>
        </w:rPr>
        <w:t>I.1.4. Rôles et responsabilités des entités de régulation</w:t>
      </w:r>
      <w:bookmarkEnd w:id="54"/>
      <w:bookmarkEnd w:id="55"/>
      <w:bookmarkEnd w:id="56"/>
      <w:r w:rsidRPr="006443D7">
        <w:rPr>
          <w:rFonts w:ascii="Times New Roman" w:hAnsi="Times New Roman" w:cs="Times New Roman"/>
          <w:sz w:val="24"/>
          <w:szCs w:val="24"/>
        </w:rPr>
        <w:t xml:space="preserve"> du secteur pétrolier</w:t>
      </w:r>
      <w:bookmarkEnd w:id="57"/>
      <w:bookmarkEnd w:id="58"/>
      <w:r w:rsidRPr="006443D7">
        <w:rPr>
          <w:rFonts w:ascii="Times New Roman" w:hAnsi="Times New Roman" w:cs="Times New Roman"/>
          <w:sz w:val="24"/>
          <w:szCs w:val="24"/>
        </w:rPr>
        <w:t xml:space="preserve"> </w:t>
      </w:r>
    </w:p>
    <w:p w14:paraId="30F53465" w14:textId="77777777" w:rsidR="00207B98" w:rsidRPr="00173CA9" w:rsidRDefault="00207B98" w:rsidP="000738D3">
      <w:pPr>
        <w:pStyle w:val="Paragraphedeliste"/>
        <w:numPr>
          <w:ilvl w:val="2"/>
          <w:numId w:val="16"/>
        </w:numPr>
        <w:tabs>
          <w:tab w:val="left" w:pos="1134"/>
        </w:tabs>
        <w:spacing w:after="0" w:line="240" w:lineRule="auto"/>
        <w:ind w:left="0" w:right="567" w:firstLine="426"/>
        <w:jc w:val="both"/>
        <w:rPr>
          <w:rFonts w:ascii="Times New Roman" w:hAnsi="Times New Roman" w:cs="Times New Roman"/>
          <w:sz w:val="24"/>
          <w:szCs w:val="24"/>
          <w:u w:val="single"/>
        </w:rPr>
      </w:pPr>
      <w:r w:rsidRPr="00173CA9">
        <w:rPr>
          <w:rFonts w:ascii="Times New Roman" w:hAnsi="Times New Roman" w:cs="Times New Roman"/>
          <w:b/>
          <w:sz w:val="24"/>
          <w:szCs w:val="24"/>
          <w:u w:val="single"/>
        </w:rPr>
        <w:t>Le Minist</w:t>
      </w:r>
      <w:r>
        <w:rPr>
          <w:rFonts w:ascii="Times New Roman" w:hAnsi="Times New Roman" w:cs="Times New Roman"/>
          <w:b/>
          <w:sz w:val="24"/>
          <w:szCs w:val="24"/>
          <w:u w:val="single"/>
        </w:rPr>
        <w:t>re</w:t>
      </w:r>
      <w:r w:rsidRPr="00173CA9">
        <w:rPr>
          <w:rFonts w:ascii="Times New Roman" w:hAnsi="Times New Roman" w:cs="Times New Roman"/>
          <w:b/>
          <w:sz w:val="24"/>
          <w:szCs w:val="24"/>
          <w:u w:val="single"/>
        </w:rPr>
        <w:t xml:space="preserve"> des Hydrocarbures </w:t>
      </w:r>
      <w:r>
        <w:rPr>
          <w:rFonts w:ascii="Times New Roman" w:hAnsi="Times New Roman" w:cs="Times New Roman"/>
          <w:b/>
          <w:sz w:val="24"/>
          <w:szCs w:val="24"/>
          <w:u w:val="single"/>
        </w:rPr>
        <w:t xml:space="preserve"> </w:t>
      </w:r>
    </w:p>
    <w:p w14:paraId="49E7DEA8" w14:textId="77777777" w:rsidR="00207B98" w:rsidRPr="00173CA9" w:rsidRDefault="00207B98" w:rsidP="00207B98">
      <w:pPr>
        <w:spacing w:after="0" w:line="240" w:lineRule="auto"/>
        <w:ind w:right="567"/>
        <w:rPr>
          <w:rFonts w:ascii="Times New Roman" w:hAnsi="Times New Roman"/>
          <w:sz w:val="24"/>
          <w:szCs w:val="24"/>
        </w:rPr>
      </w:pPr>
    </w:p>
    <w:p w14:paraId="5F55B64F" w14:textId="77777777" w:rsidR="00207B98" w:rsidRPr="00173CA9" w:rsidRDefault="00207B98" w:rsidP="006443D7">
      <w:pPr>
        <w:spacing w:after="0" w:line="240" w:lineRule="auto"/>
        <w:ind w:left="426" w:right="567"/>
        <w:rPr>
          <w:rFonts w:ascii="Times New Roman" w:hAnsi="Times New Roman"/>
          <w:sz w:val="24"/>
          <w:szCs w:val="24"/>
        </w:rPr>
      </w:pPr>
      <w:r>
        <w:rPr>
          <w:rFonts w:ascii="Times New Roman" w:hAnsi="Times New Roman"/>
          <w:sz w:val="24"/>
          <w:szCs w:val="24"/>
        </w:rPr>
        <w:t xml:space="preserve">Le Ministre applique la </w:t>
      </w:r>
      <w:r w:rsidRPr="00173CA9">
        <w:rPr>
          <w:rFonts w:ascii="Times New Roman" w:hAnsi="Times New Roman"/>
          <w:sz w:val="24"/>
          <w:szCs w:val="24"/>
        </w:rPr>
        <w:t xml:space="preserve">politique </w:t>
      </w:r>
      <w:r>
        <w:rPr>
          <w:rFonts w:ascii="Times New Roman" w:hAnsi="Times New Roman"/>
          <w:sz w:val="24"/>
          <w:szCs w:val="24"/>
        </w:rPr>
        <w:t xml:space="preserve">nationale des </w:t>
      </w:r>
      <w:r w:rsidRPr="00173CA9">
        <w:rPr>
          <w:rFonts w:ascii="Times New Roman" w:hAnsi="Times New Roman"/>
          <w:sz w:val="24"/>
          <w:szCs w:val="24"/>
        </w:rPr>
        <w:t>Hydrocarbures</w:t>
      </w:r>
      <w:r>
        <w:rPr>
          <w:rFonts w:ascii="Times New Roman" w:hAnsi="Times New Roman"/>
          <w:sz w:val="24"/>
          <w:szCs w:val="24"/>
        </w:rPr>
        <w:t>, telle que définie par le</w:t>
      </w:r>
      <w:r w:rsidRPr="00173CA9">
        <w:rPr>
          <w:rFonts w:ascii="Times New Roman" w:hAnsi="Times New Roman"/>
          <w:sz w:val="24"/>
          <w:szCs w:val="24"/>
        </w:rPr>
        <w:t xml:space="preserve"> Gouvernement</w:t>
      </w:r>
      <w:r>
        <w:rPr>
          <w:rFonts w:ascii="Times New Roman" w:hAnsi="Times New Roman"/>
          <w:sz w:val="24"/>
          <w:szCs w:val="24"/>
        </w:rPr>
        <w:t>.</w:t>
      </w:r>
      <w:r w:rsidRPr="00173CA9">
        <w:rPr>
          <w:rFonts w:ascii="Times New Roman" w:hAnsi="Times New Roman"/>
          <w:sz w:val="24"/>
          <w:szCs w:val="24"/>
        </w:rPr>
        <w:t xml:space="preserve"> </w:t>
      </w:r>
      <w:r>
        <w:rPr>
          <w:rFonts w:ascii="Times New Roman" w:hAnsi="Times New Roman"/>
          <w:sz w:val="24"/>
          <w:szCs w:val="24"/>
        </w:rPr>
        <w:t xml:space="preserve"> </w:t>
      </w:r>
    </w:p>
    <w:p w14:paraId="763FE863" w14:textId="77777777" w:rsidR="00207B98" w:rsidRPr="00173CA9" w:rsidRDefault="00207B98" w:rsidP="006443D7">
      <w:pPr>
        <w:spacing w:after="0" w:line="240" w:lineRule="auto"/>
        <w:ind w:left="426" w:right="567"/>
        <w:jc w:val="both"/>
        <w:rPr>
          <w:rFonts w:ascii="Times New Roman" w:hAnsi="Times New Roman"/>
          <w:sz w:val="24"/>
          <w:szCs w:val="24"/>
        </w:rPr>
      </w:pPr>
    </w:p>
    <w:p w14:paraId="0CC30931" w14:textId="77777777" w:rsidR="00207B98" w:rsidRPr="00173CA9" w:rsidRDefault="00207B98" w:rsidP="006443D7">
      <w:pPr>
        <w:spacing w:line="240" w:lineRule="auto"/>
        <w:ind w:left="426" w:right="567"/>
        <w:jc w:val="both"/>
        <w:rPr>
          <w:rFonts w:ascii="Times New Roman" w:hAnsi="Times New Roman"/>
          <w:sz w:val="24"/>
          <w:szCs w:val="24"/>
        </w:rPr>
      </w:pPr>
      <w:r>
        <w:rPr>
          <w:rFonts w:ascii="Times New Roman" w:hAnsi="Times New Roman"/>
          <w:sz w:val="24"/>
          <w:szCs w:val="24"/>
        </w:rPr>
        <w:t xml:space="preserve">A ce titre, en application du </w:t>
      </w:r>
      <w:r w:rsidRPr="00583052">
        <w:rPr>
          <w:rFonts w:ascii="Times New Roman" w:hAnsi="Times New Roman"/>
          <w:b/>
          <w:sz w:val="24"/>
          <w:szCs w:val="24"/>
        </w:rPr>
        <w:t>Règlement d’Hydrocarbures</w:t>
      </w:r>
      <w:r>
        <w:rPr>
          <w:rFonts w:ascii="Times New Roman" w:hAnsi="Times New Roman"/>
          <w:b/>
          <w:sz w:val="24"/>
          <w:szCs w:val="24"/>
        </w:rPr>
        <w:t xml:space="preserve"> </w:t>
      </w:r>
      <w:r w:rsidRPr="00B509CA">
        <w:rPr>
          <w:rFonts w:ascii="Times New Roman" w:hAnsi="Times New Roman"/>
          <w:sz w:val="24"/>
          <w:szCs w:val="24"/>
        </w:rPr>
        <w:t>(articles 13 et 14)</w:t>
      </w:r>
      <w:r>
        <w:rPr>
          <w:rFonts w:ascii="Times New Roman" w:hAnsi="Times New Roman"/>
          <w:sz w:val="24"/>
          <w:szCs w:val="24"/>
        </w:rPr>
        <w:t xml:space="preserve">, et sans préjudice de </w:t>
      </w:r>
      <w:r w:rsidRPr="00583052">
        <w:rPr>
          <w:rFonts w:ascii="Times New Roman" w:hAnsi="Times New Roman"/>
          <w:sz w:val="24"/>
          <w:szCs w:val="24"/>
        </w:rPr>
        <w:t>l’</w:t>
      </w:r>
      <w:hyperlink r:id="rId23" w:history="1">
        <w:r w:rsidRPr="00C55DB8">
          <w:rPr>
            <w:rStyle w:val="Lienhypertexte"/>
            <w:rFonts w:ascii="Times New Roman" w:hAnsi="Times New Roman"/>
            <w:i/>
            <w:sz w:val="24"/>
            <w:szCs w:val="24"/>
          </w:rPr>
          <w:t>Ordonnance n° 08/074 du 24 décembre 2008</w:t>
        </w:r>
      </w:hyperlink>
      <w:r w:rsidRPr="00173CA9">
        <w:rPr>
          <w:rFonts w:ascii="Times New Roman" w:hAnsi="Times New Roman"/>
          <w:sz w:val="24"/>
          <w:szCs w:val="24"/>
        </w:rPr>
        <w:t xml:space="preserve"> fixant les attributions des ministères</w:t>
      </w:r>
      <w:r>
        <w:rPr>
          <w:rStyle w:val="Appelnotedebasdep"/>
          <w:rFonts w:ascii="Times New Roman" w:hAnsi="Times New Roman"/>
          <w:sz w:val="24"/>
          <w:szCs w:val="24"/>
        </w:rPr>
        <w:footnoteReference w:id="13"/>
      </w:r>
      <w:r>
        <w:rPr>
          <w:rFonts w:ascii="Times New Roman" w:hAnsi="Times New Roman"/>
          <w:sz w:val="24"/>
          <w:szCs w:val="24"/>
        </w:rPr>
        <w:t>, i</w:t>
      </w:r>
      <w:r w:rsidRPr="00173CA9">
        <w:rPr>
          <w:rFonts w:ascii="Times New Roman" w:hAnsi="Times New Roman"/>
          <w:sz w:val="24"/>
          <w:szCs w:val="24"/>
        </w:rPr>
        <w:t xml:space="preserve">l est chargé </w:t>
      </w:r>
      <w:r>
        <w:rPr>
          <w:rFonts w:ascii="Times New Roman" w:hAnsi="Times New Roman"/>
          <w:sz w:val="24"/>
          <w:szCs w:val="24"/>
        </w:rPr>
        <w:t>notamment</w:t>
      </w:r>
      <w:r w:rsidRPr="00173CA9">
        <w:rPr>
          <w:rFonts w:ascii="Times New Roman" w:hAnsi="Times New Roman"/>
          <w:sz w:val="24"/>
          <w:szCs w:val="24"/>
        </w:rPr>
        <w:t xml:space="preserve"> de :</w:t>
      </w:r>
    </w:p>
    <w:p w14:paraId="31444D95" w14:textId="77777777" w:rsidR="00207B98" w:rsidRDefault="00207B98" w:rsidP="000738D3">
      <w:pPr>
        <w:numPr>
          <w:ilvl w:val="0"/>
          <w:numId w:val="17"/>
        </w:numPr>
        <w:spacing w:after="0" w:line="276" w:lineRule="auto"/>
        <w:ind w:left="709" w:right="567" w:hanging="142"/>
        <w:jc w:val="both"/>
        <w:rPr>
          <w:rFonts w:ascii="Times New Roman" w:hAnsi="Times New Roman"/>
          <w:sz w:val="24"/>
          <w:szCs w:val="24"/>
        </w:rPr>
      </w:pPr>
      <w:r>
        <w:rPr>
          <w:rFonts w:ascii="Times New Roman" w:hAnsi="Times New Roman"/>
          <w:sz w:val="24"/>
          <w:szCs w:val="24"/>
        </w:rPr>
        <w:t>veiller au respect des lois et règlements dans l’exercice des activités pétrolières ;</w:t>
      </w:r>
    </w:p>
    <w:p w14:paraId="24610A1F" w14:textId="77777777" w:rsidR="00207B98" w:rsidRDefault="00207B98" w:rsidP="000738D3">
      <w:pPr>
        <w:numPr>
          <w:ilvl w:val="0"/>
          <w:numId w:val="17"/>
        </w:numPr>
        <w:spacing w:after="0" w:line="276" w:lineRule="auto"/>
        <w:ind w:left="709" w:right="567" w:hanging="142"/>
        <w:jc w:val="both"/>
        <w:rPr>
          <w:rFonts w:ascii="Times New Roman" w:hAnsi="Times New Roman"/>
          <w:sz w:val="24"/>
          <w:szCs w:val="24"/>
        </w:rPr>
      </w:pPr>
      <w:r>
        <w:rPr>
          <w:rFonts w:ascii="Times New Roman" w:hAnsi="Times New Roman"/>
          <w:sz w:val="24"/>
          <w:szCs w:val="24"/>
        </w:rPr>
        <w:t>contrôler les travaux liés à la prospection, l’exploration, la production, le raffinage et l’approvisionnement du pays en produits pétroliers ;</w:t>
      </w:r>
    </w:p>
    <w:p w14:paraId="39CE1B8F" w14:textId="77777777" w:rsidR="00207B98" w:rsidRDefault="00207B98" w:rsidP="000738D3">
      <w:pPr>
        <w:numPr>
          <w:ilvl w:val="0"/>
          <w:numId w:val="17"/>
        </w:numPr>
        <w:spacing w:after="0" w:line="276" w:lineRule="auto"/>
        <w:ind w:left="709" w:right="567" w:hanging="142"/>
        <w:jc w:val="both"/>
        <w:rPr>
          <w:rFonts w:ascii="Times New Roman" w:hAnsi="Times New Roman"/>
          <w:sz w:val="24"/>
          <w:szCs w:val="24"/>
        </w:rPr>
      </w:pPr>
      <w:r>
        <w:rPr>
          <w:rFonts w:ascii="Times New Roman" w:hAnsi="Times New Roman"/>
          <w:sz w:val="24"/>
          <w:szCs w:val="24"/>
        </w:rPr>
        <w:t>accorder l’autorisation de prospection et attribuer les droits d’exploration et d’exploitation des hydrocarbures ;</w:t>
      </w:r>
    </w:p>
    <w:p w14:paraId="3303FDB0" w14:textId="77777777" w:rsidR="00207B98" w:rsidRDefault="00207B98" w:rsidP="000738D3">
      <w:pPr>
        <w:numPr>
          <w:ilvl w:val="0"/>
          <w:numId w:val="17"/>
        </w:numPr>
        <w:spacing w:after="0" w:line="276" w:lineRule="auto"/>
        <w:ind w:left="709" w:right="567" w:hanging="142"/>
        <w:jc w:val="both"/>
        <w:rPr>
          <w:rFonts w:ascii="Times New Roman" w:hAnsi="Times New Roman"/>
          <w:sz w:val="24"/>
          <w:szCs w:val="24"/>
        </w:rPr>
      </w:pPr>
      <w:r>
        <w:rPr>
          <w:rFonts w:ascii="Times New Roman" w:hAnsi="Times New Roman"/>
          <w:sz w:val="24"/>
          <w:szCs w:val="24"/>
        </w:rPr>
        <w:t>octroyer les autorisations de raffinage, de fournitures des produits pétroliers, de transport-stockage, d’importation et de commercialisation des produits pétroliers et de l’industrie pétrochimique ;</w:t>
      </w:r>
    </w:p>
    <w:p w14:paraId="3B282061" w14:textId="77777777" w:rsidR="00207B98" w:rsidRDefault="00207B98" w:rsidP="000738D3">
      <w:pPr>
        <w:numPr>
          <w:ilvl w:val="0"/>
          <w:numId w:val="17"/>
        </w:numPr>
        <w:spacing w:after="0" w:line="276" w:lineRule="auto"/>
        <w:ind w:left="709" w:right="567" w:hanging="142"/>
        <w:jc w:val="both"/>
        <w:rPr>
          <w:rFonts w:ascii="Times New Roman" w:hAnsi="Times New Roman"/>
          <w:sz w:val="24"/>
          <w:szCs w:val="24"/>
        </w:rPr>
      </w:pPr>
      <w:r>
        <w:rPr>
          <w:rFonts w:ascii="Times New Roman" w:hAnsi="Times New Roman"/>
          <w:sz w:val="24"/>
          <w:szCs w:val="24"/>
        </w:rPr>
        <w:t>veiller à la promotion des activités pétrolières des nationaux dans le cadre du contenu local ;</w:t>
      </w:r>
    </w:p>
    <w:p w14:paraId="0D6F021B" w14:textId="77777777" w:rsidR="00207B98" w:rsidRDefault="00207B98" w:rsidP="000738D3">
      <w:pPr>
        <w:numPr>
          <w:ilvl w:val="0"/>
          <w:numId w:val="17"/>
        </w:numPr>
        <w:spacing w:after="0" w:line="276" w:lineRule="auto"/>
        <w:ind w:left="709" w:right="567" w:hanging="142"/>
        <w:jc w:val="both"/>
        <w:rPr>
          <w:rFonts w:ascii="Times New Roman" w:hAnsi="Times New Roman"/>
          <w:sz w:val="24"/>
          <w:szCs w:val="24"/>
        </w:rPr>
      </w:pPr>
      <w:r>
        <w:rPr>
          <w:rFonts w:ascii="Times New Roman" w:hAnsi="Times New Roman"/>
          <w:sz w:val="24"/>
          <w:szCs w:val="24"/>
        </w:rPr>
        <w:t>assurer l’exécution des prescriptions d’Hygiène, Sécurité et Environnement (HSE) ;</w:t>
      </w:r>
    </w:p>
    <w:p w14:paraId="76B0899E" w14:textId="77777777" w:rsidR="00207B98" w:rsidRDefault="00207B98" w:rsidP="000738D3">
      <w:pPr>
        <w:numPr>
          <w:ilvl w:val="0"/>
          <w:numId w:val="17"/>
        </w:numPr>
        <w:spacing w:after="0" w:line="276" w:lineRule="auto"/>
        <w:ind w:left="709" w:right="567" w:hanging="142"/>
        <w:jc w:val="both"/>
        <w:rPr>
          <w:rFonts w:ascii="Times New Roman" w:hAnsi="Times New Roman"/>
          <w:sz w:val="24"/>
          <w:szCs w:val="24"/>
        </w:rPr>
      </w:pPr>
      <w:r>
        <w:rPr>
          <w:rFonts w:ascii="Times New Roman" w:hAnsi="Times New Roman"/>
          <w:sz w:val="24"/>
          <w:szCs w:val="24"/>
        </w:rPr>
        <w:t>fixer les normes et les spécifications des produits pétroliers ;</w:t>
      </w:r>
    </w:p>
    <w:p w14:paraId="6D9C5AFF" w14:textId="77777777" w:rsidR="00207B98" w:rsidRDefault="00207B98" w:rsidP="000738D3">
      <w:pPr>
        <w:numPr>
          <w:ilvl w:val="0"/>
          <w:numId w:val="17"/>
        </w:numPr>
        <w:spacing w:after="0" w:line="276" w:lineRule="auto"/>
        <w:ind w:left="709" w:right="567" w:hanging="142"/>
        <w:jc w:val="both"/>
        <w:rPr>
          <w:rFonts w:ascii="Times New Roman" w:hAnsi="Times New Roman"/>
          <w:sz w:val="24"/>
          <w:szCs w:val="24"/>
        </w:rPr>
      </w:pPr>
      <w:r>
        <w:rPr>
          <w:rFonts w:ascii="Times New Roman" w:hAnsi="Times New Roman"/>
          <w:sz w:val="24"/>
          <w:szCs w:val="24"/>
        </w:rPr>
        <w:t>certifier les quantités et qualités des produits pétroliers ;</w:t>
      </w:r>
    </w:p>
    <w:p w14:paraId="225BD85B" w14:textId="77777777" w:rsidR="00207B98" w:rsidRDefault="00207B98" w:rsidP="000738D3">
      <w:pPr>
        <w:numPr>
          <w:ilvl w:val="0"/>
          <w:numId w:val="17"/>
        </w:numPr>
        <w:spacing w:after="0" w:line="276" w:lineRule="auto"/>
        <w:ind w:left="709" w:right="567" w:hanging="142"/>
        <w:jc w:val="both"/>
        <w:rPr>
          <w:rFonts w:ascii="Times New Roman" w:hAnsi="Times New Roman"/>
          <w:sz w:val="24"/>
          <w:szCs w:val="24"/>
        </w:rPr>
      </w:pPr>
      <w:r>
        <w:rPr>
          <w:rFonts w:ascii="Times New Roman" w:hAnsi="Times New Roman"/>
          <w:sz w:val="24"/>
          <w:szCs w:val="24"/>
        </w:rPr>
        <w:t>contrôler la constitution des stocks de sécurité opérationnels ;</w:t>
      </w:r>
    </w:p>
    <w:p w14:paraId="3887EE4E" w14:textId="77777777" w:rsidR="00207B98" w:rsidRDefault="00207B98" w:rsidP="000738D3">
      <w:pPr>
        <w:numPr>
          <w:ilvl w:val="0"/>
          <w:numId w:val="17"/>
        </w:numPr>
        <w:spacing w:after="0" w:line="276" w:lineRule="auto"/>
        <w:ind w:left="709" w:right="567" w:hanging="142"/>
        <w:jc w:val="both"/>
        <w:rPr>
          <w:rFonts w:ascii="Times New Roman" w:hAnsi="Times New Roman"/>
          <w:sz w:val="24"/>
          <w:szCs w:val="24"/>
        </w:rPr>
      </w:pPr>
      <w:r>
        <w:rPr>
          <w:rFonts w:ascii="Times New Roman" w:hAnsi="Times New Roman"/>
          <w:sz w:val="24"/>
          <w:szCs w:val="24"/>
        </w:rPr>
        <w:t>contrôler et gérer les stocks stratégiques ;</w:t>
      </w:r>
    </w:p>
    <w:p w14:paraId="51CDF89B" w14:textId="77777777" w:rsidR="00207B98" w:rsidRDefault="00207B98" w:rsidP="000738D3">
      <w:pPr>
        <w:numPr>
          <w:ilvl w:val="0"/>
          <w:numId w:val="17"/>
        </w:numPr>
        <w:spacing w:after="0" w:line="276" w:lineRule="auto"/>
        <w:ind w:left="709" w:right="567" w:hanging="142"/>
        <w:jc w:val="both"/>
        <w:rPr>
          <w:rFonts w:ascii="Times New Roman" w:hAnsi="Times New Roman"/>
          <w:sz w:val="24"/>
          <w:szCs w:val="24"/>
        </w:rPr>
      </w:pPr>
      <w:r>
        <w:rPr>
          <w:rFonts w:ascii="Times New Roman" w:hAnsi="Times New Roman"/>
          <w:sz w:val="24"/>
          <w:szCs w:val="24"/>
        </w:rPr>
        <w:t>veiller sur le déroulement des activités d’hydrocarbures ainsi que des activités connexes ;</w:t>
      </w:r>
    </w:p>
    <w:p w14:paraId="65C73D14" w14:textId="77777777" w:rsidR="00207B98" w:rsidRDefault="00207B98" w:rsidP="000738D3">
      <w:pPr>
        <w:numPr>
          <w:ilvl w:val="0"/>
          <w:numId w:val="17"/>
        </w:numPr>
        <w:spacing w:after="0" w:line="276" w:lineRule="auto"/>
        <w:ind w:left="709" w:right="567" w:hanging="142"/>
        <w:jc w:val="both"/>
        <w:rPr>
          <w:rFonts w:ascii="Times New Roman" w:hAnsi="Times New Roman"/>
          <w:sz w:val="24"/>
          <w:szCs w:val="24"/>
        </w:rPr>
      </w:pPr>
      <w:r>
        <w:rPr>
          <w:rFonts w:ascii="Times New Roman" w:hAnsi="Times New Roman"/>
          <w:sz w:val="24"/>
          <w:szCs w:val="24"/>
        </w:rPr>
        <w:t>conclure des accords internationaux dans le domaine des hydrocarbures, le Conseil des Ministres entendu ;</w:t>
      </w:r>
    </w:p>
    <w:p w14:paraId="277F2240" w14:textId="77777777" w:rsidR="00207B98" w:rsidRDefault="00207B98" w:rsidP="000738D3">
      <w:pPr>
        <w:numPr>
          <w:ilvl w:val="0"/>
          <w:numId w:val="17"/>
        </w:numPr>
        <w:spacing w:after="0" w:line="276" w:lineRule="auto"/>
        <w:ind w:left="709" w:right="567" w:hanging="142"/>
        <w:jc w:val="both"/>
        <w:rPr>
          <w:rFonts w:ascii="Times New Roman" w:hAnsi="Times New Roman"/>
          <w:sz w:val="24"/>
          <w:szCs w:val="24"/>
        </w:rPr>
      </w:pPr>
      <w:r>
        <w:rPr>
          <w:rFonts w:ascii="Times New Roman" w:hAnsi="Times New Roman"/>
          <w:sz w:val="24"/>
          <w:szCs w:val="24"/>
        </w:rPr>
        <w:t>gérer la banque de données pétrolières et gazières du Ministère ;</w:t>
      </w:r>
    </w:p>
    <w:p w14:paraId="5351C000" w14:textId="77777777" w:rsidR="00207B98" w:rsidRDefault="00207B98" w:rsidP="000738D3">
      <w:pPr>
        <w:numPr>
          <w:ilvl w:val="0"/>
          <w:numId w:val="17"/>
        </w:numPr>
        <w:spacing w:after="0" w:line="276" w:lineRule="auto"/>
        <w:ind w:left="709" w:right="567" w:hanging="142"/>
        <w:jc w:val="both"/>
        <w:rPr>
          <w:rFonts w:ascii="Times New Roman" w:hAnsi="Times New Roman"/>
          <w:sz w:val="24"/>
          <w:szCs w:val="24"/>
        </w:rPr>
      </w:pPr>
      <w:r>
        <w:rPr>
          <w:rFonts w:ascii="Times New Roman" w:hAnsi="Times New Roman"/>
          <w:sz w:val="24"/>
          <w:szCs w:val="24"/>
        </w:rPr>
        <w:t>participer à la fixation des prix des produits pétroliers ;</w:t>
      </w:r>
    </w:p>
    <w:p w14:paraId="023F962C" w14:textId="77777777" w:rsidR="00256DE8" w:rsidRDefault="00207B98" w:rsidP="000738D3">
      <w:pPr>
        <w:numPr>
          <w:ilvl w:val="0"/>
          <w:numId w:val="17"/>
        </w:numPr>
        <w:spacing w:after="0" w:line="276" w:lineRule="auto"/>
        <w:ind w:left="709" w:right="567" w:hanging="142"/>
        <w:jc w:val="both"/>
        <w:rPr>
          <w:rFonts w:ascii="Times New Roman" w:hAnsi="Times New Roman"/>
          <w:sz w:val="24"/>
          <w:szCs w:val="24"/>
        </w:rPr>
      </w:pPr>
      <w:r>
        <w:rPr>
          <w:rFonts w:ascii="Times New Roman" w:hAnsi="Times New Roman"/>
          <w:sz w:val="24"/>
          <w:szCs w:val="24"/>
        </w:rPr>
        <w:t>publier annuellement sur le site web du Ministère toutes les statistiques relatives à la production, aux paiements et aux recettes déclarées, après vérification de l’Administration.</w:t>
      </w:r>
    </w:p>
    <w:p w14:paraId="6D46CD0A" w14:textId="77777777" w:rsidR="00207B98" w:rsidRPr="00DD3423" w:rsidRDefault="00207B98" w:rsidP="000738D3">
      <w:pPr>
        <w:pStyle w:val="Paragraphedeliste"/>
        <w:numPr>
          <w:ilvl w:val="2"/>
          <w:numId w:val="16"/>
        </w:numPr>
        <w:spacing w:before="240" w:line="240" w:lineRule="auto"/>
        <w:ind w:left="851" w:right="567" w:hanging="578"/>
        <w:jc w:val="both"/>
        <w:rPr>
          <w:rFonts w:ascii="Times New Roman" w:hAnsi="Times New Roman" w:cs="Times New Roman"/>
          <w:i/>
        </w:rPr>
      </w:pPr>
      <w:r w:rsidRPr="00173CA9">
        <w:rPr>
          <w:rFonts w:ascii="Times New Roman" w:hAnsi="Times New Roman" w:cs="Times New Roman"/>
          <w:b/>
          <w:u w:val="single"/>
        </w:rPr>
        <w:lastRenderedPageBreak/>
        <w:t>Le Secrétariat Général des Hydrocarbures</w:t>
      </w:r>
      <w:r w:rsidRPr="00DD3423">
        <w:rPr>
          <w:rFonts w:ascii="Times New Roman" w:hAnsi="Times New Roman" w:cs="Times New Roman"/>
          <w:b/>
        </w:rPr>
        <w:t xml:space="preserve"> </w:t>
      </w:r>
    </w:p>
    <w:p w14:paraId="5034F1DE" w14:textId="77777777" w:rsidR="00207B98" w:rsidRPr="00DD3423" w:rsidRDefault="00207B98" w:rsidP="00256DE8">
      <w:pPr>
        <w:pStyle w:val="Paragraphedeliste"/>
        <w:spacing w:before="240" w:line="240" w:lineRule="auto"/>
        <w:ind w:left="851" w:right="567"/>
        <w:jc w:val="both"/>
        <w:rPr>
          <w:rFonts w:ascii="Times New Roman" w:hAnsi="Times New Roman" w:cs="Times New Roman"/>
          <w:i/>
        </w:rPr>
      </w:pPr>
      <w:r w:rsidRPr="00DD3423">
        <w:rPr>
          <w:rFonts w:ascii="Times New Roman" w:hAnsi="Times New Roman" w:cs="Times New Roman"/>
          <w:i/>
        </w:rPr>
        <w:t>(Article 15, Règlement d’Hydrocarbures)</w:t>
      </w:r>
    </w:p>
    <w:p w14:paraId="1A2FA798" w14:textId="77777777" w:rsidR="00207B98" w:rsidRDefault="00207B98" w:rsidP="00256DE8">
      <w:pPr>
        <w:spacing w:line="240" w:lineRule="auto"/>
        <w:ind w:left="284" w:right="567"/>
        <w:jc w:val="both"/>
        <w:rPr>
          <w:rFonts w:ascii="Times New Roman" w:hAnsi="Times New Roman"/>
          <w:sz w:val="24"/>
          <w:szCs w:val="24"/>
        </w:rPr>
      </w:pPr>
      <w:r w:rsidRPr="00173CA9">
        <w:rPr>
          <w:rFonts w:ascii="Times New Roman" w:hAnsi="Times New Roman"/>
          <w:sz w:val="24"/>
          <w:szCs w:val="24"/>
        </w:rPr>
        <w:t xml:space="preserve">Le Ministère des Hydrocarbures est doté d’un </w:t>
      </w:r>
      <w:r w:rsidRPr="00173CA9">
        <w:rPr>
          <w:rFonts w:ascii="Times New Roman" w:hAnsi="Times New Roman"/>
          <w:b/>
          <w:sz w:val="24"/>
          <w:szCs w:val="24"/>
        </w:rPr>
        <w:t xml:space="preserve">Secrétariat Général </w:t>
      </w:r>
      <w:r w:rsidRPr="00173CA9">
        <w:rPr>
          <w:rFonts w:ascii="Times New Roman" w:hAnsi="Times New Roman"/>
          <w:sz w:val="24"/>
          <w:szCs w:val="24"/>
        </w:rPr>
        <w:t xml:space="preserve">qui </w:t>
      </w:r>
      <w:r>
        <w:rPr>
          <w:rFonts w:ascii="Times New Roman" w:hAnsi="Times New Roman"/>
          <w:sz w:val="24"/>
          <w:szCs w:val="24"/>
        </w:rPr>
        <w:t xml:space="preserve">en </w:t>
      </w:r>
      <w:r w:rsidRPr="00173CA9">
        <w:rPr>
          <w:rFonts w:ascii="Times New Roman" w:hAnsi="Times New Roman"/>
          <w:sz w:val="24"/>
          <w:szCs w:val="24"/>
        </w:rPr>
        <w:t xml:space="preserve">est l’organe </w:t>
      </w:r>
      <w:r>
        <w:rPr>
          <w:rFonts w:ascii="Times New Roman" w:hAnsi="Times New Roman"/>
          <w:sz w:val="24"/>
          <w:szCs w:val="24"/>
        </w:rPr>
        <w:t xml:space="preserve">administratif et </w:t>
      </w:r>
      <w:r w:rsidRPr="00173CA9">
        <w:rPr>
          <w:rFonts w:ascii="Times New Roman" w:hAnsi="Times New Roman"/>
          <w:sz w:val="24"/>
          <w:szCs w:val="24"/>
        </w:rPr>
        <w:t xml:space="preserve">technique </w:t>
      </w:r>
      <w:r>
        <w:rPr>
          <w:rFonts w:ascii="Times New Roman" w:hAnsi="Times New Roman"/>
          <w:sz w:val="24"/>
          <w:szCs w:val="24"/>
        </w:rPr>
        <w:t>assistant</w:t>
      </w:r>
      <w:r w:rsidRPr="00173CA9">
        <w:rPr>
          <w:rFonts w:ascii="Times New Roman" w:hAnsi="Times New Roman"/>
          <w:sz w:val="24"/>
          <w:szCs w:val="24"/>
        </w:rPr>
        <w:t xml:space="preserve"> le Ministre dans l’exercice de ses fonctions. Il est chargé essentiellement de :</w:t>
      </w:r>
    </w:p>
    <w:p w14:paraId="313D32CF" w14:textId="77777777" w:rsidR="00207B98" w:rsidRDefault="00207B98" w:rsidP="000738D3">
      <w:pPr>
        <w:numPr>
          <w:ilvl w:val="0"/>
          <w:numId w:val="17"/>
        </w:numPr>
        <w:spacing w:after="0" w:line="276" w:lineRule="auto"/>
        <w:ind w:left="567" w:right="567" w:hanging="142"/>
        <w:jc w:val="both"/>
        <w:rPr>
          <w:rFonts w:ascii="Times New Roman" w:hAnsi="Times New Roman"/>
          <w:sz w:val="24"/>
          <w:szCs w:val="24"/>
        </w:rPr>
      </w:pPr>
      <w:r>
        <w:rPr>
          <w:rFonts w:ascii="Times New Roman" w:hAnsi="Times New Roman"/>
          <w:sz w:val="24"/>
          <w:szCs w:val="24"/>
        </w:rPr>
        <w:t>traiter et analyser les dossiers lui confiés par le Ministre ;</w:t>
      </w:r>
    </w:p>
    <w:p w14:paraId="13D2F8B5" w14:textId="77777777" w:rsidR="00207B98" w:rsidRDefault="00207B98" w:rsidP="000738D3">
      <w:pPr>
        <w:numPr>
          <w:ilvl w:val="0"/>
          <w:numId w:val="17"/>
        </w:numPr>
        <w:spacing w:after="0" w:line="276" w:lineRule="auto"/>
        <w:ind w:left="567" w:right="567" w:hanging="142"/>
        <w:jc w:val="both"/>
        <w:rPr>
          <w:rFonts w:ascii="Times New Roman" w:hAnsi="Times New Roman"/>
          <w:sz w:val="24"/>
          <w:szCs w:val="24"/>
        </w:rPr>
      </w:pPr>
      <w:r>
        <w:rPr>
          <w:rFonts w:ascii="Times New Roman" w:hAnsi="Times New Roman"/>
          <w:sz w:val="24"/>
          <w:szCs w:val="24"/>
        </w:rPr>
        <w:t>veiller à la bonne exécution des décisions du Ministre ;</w:t>
      </w:r>
    </w:p>
    <w:p w14:paraId="1F9BF280" w14:textId="77777777" w:rsidR="00207B98" w:rsidRDefault="00207B98" w:rsidP="000738D3">
      <w:pPr>
        <w:numPr>
          <w:ilvl w:val="0"/>
          <w:numId w:val="17"/>
        </w:numPr>
        <w:spacing w:after="0" w:line="276" w:lineRule="auto"/>
        <w:ind w:left="567" w:right="567" w:hanging="142"/>
        <w:jc w:val="both"/>
        <w:rPr>
          <w:rFonts w:ascii="Times New Roman" w:hAnsi="Times New Roman"/>
          <w:sz w:val="24"/>
          <w:szCs w:val="24"/>
        </w:rPr>
      </w:pPr>
      <w:r>
        <w:rPr>
          <w:rFonts w:ascii="Times New Roman" w:hAnsi="Times New Roman"/>
          <w:sz w:val="24"/>
          <w:szCs w:val="24"/>
        </w:rPr>
        <w:t>contrôler, suivre et évaluer les activités des sociétés pétrolières et gazières ainsi que de leurs filiales participant à l’activité ou sous-traitants ;</w:t>
      </w:r>
    </w:p>
    <w:p w14:paraId="3CB2DB90" w14:textId="77777777" w:rsidR="00207B98" w:rsidRDefault="00207B98" w:rsidP="000738D3">
      <w:pPr>
        <w:numPr>
          <w:ilvl w:val="0"/>
          <w:numId w:val="17"/>
        </w:numPr>
        <w:spacing w:after="0" w:line="276" w:lineRule="auto"/>
        <w:ind w:left="567" w:right="567" w:hanging="142"/>
        <w:jc w:val="both"/>
        <w:rPr>
          <w:rFonts w:ascii="Times New Roman" w:hAnsi="Times New Roman"/>
          <w:sz w:val="24"/>
          <w:szCs w:val="24"/>
        </w:rPr>
      </w:pPr>
      <w:r>
        <w:rPr>
          <w:rFonts w:ascii="Times New Roman" w:hAnsi="Times New Roman"/>
          <w:sz w:val="24"/>
          <w:szCs w:val="24"/>
        </w:rPr>
        <w:t>traiter les requêtes et rapports des opérateurs pétroliers ;</w:t>
      </w:r>
    </w:p>
    <w:p w14:paraId="349DEC98" w14:textId="77777777" w:rsidR="00207B98" w:rsidRDefault="00207B98" w:rsidP="000738D3">
      <w:pPr>
        <w:numPr>
          <w:ilvl w:val="0"/>
          <w:numId w:val="17"/>
        </w:numPr>
        <w:spacing w:after="0" w:line="276" w:lineRule="auto"/>
        <w:ind w:left="567" w:right="567" w:hanging="142"/>
        <w:jc w:val="both"/>
        <w:rPr>
          <w:rFonts w:ascii="Times New Roman" w:hAnsi="Times New Roman"/>
          <w:sz w:val="24"/>
          <w:szCs w:val="24"/>
        </w:rPr>
      </w:pPr>
      <w:r>
        <w:rPr>
          <w:rFonts w:ascii="Times New Roman" w:hAnsi="Times New Roman"/>
          <w:sz w:val="24"/>
          <w:szCs w:val="24"/>
        </w:rPr>
        <w:t>constater, liquider les recettes du Ministère ;</w:t>
      </w:r>
    </w:p>
    <w:p w14:paraId="298A4F6C" w14:textId="77777777" w:rsidR="00207B98" w:rsidRDefault="00207B98" w:rsidP="000738D3">
      <w:pPr>
        <w:numPr>
          <w:ilvl w:val="0"/>
          <w:numId w:val="17"/>
        </w:numPr>
        <w:spacing w:after="0" w:line="276" w:lineRule="auto"/>
        <w:ind w:left="567" w:right="567" w:hanging="142"/>
        <w:jc w:val="both"/>
        <w:rPr>
          <w:rFonts w:ascii="Times New Roman" w:hAnsi="Times New Roman"/>
          <w:sz w:val="24"/>
          <w:szCs w:val="24"/>
        </w:rPr>
      </w:pPr>
      <w:r>
        <w:rPr>
          <w:rFonts w:ascii="Times New Roman" w:hAnsi="Times New Roman"/>
          <w:sz w:val="24"/>
          <w:szCs w:val="24"/>
        </w:rPr>
        <w:t>constater les besoins et préparer les dossiers d’appel d’offres à soumettre au Ministre ;</w:t>
      </w:r>
    </w:p>
    <w:p w14:paraId="3A15B1A9" w14:textId="77777777" w:rsidR="00207B98" w:rsidRDefault="00207B98" w:rsidP="000738D3">
      <w:pPr>
        <w:numPr>
          <w:ilvl w:val="0"/>
          <w:numId w:val="17"/>
        </w:numPr>
        <w:spacing w:after="0" w:line="276" w:lineRule="auto"/>
        <w:ind w:left="567" w:right="567" w:hanging="142"/>
        <w:jc w:val="both"/>
        <w:rPr>
          <w:rFonts w:ascii="Times New Roman" w:hAnsi="Times New Roman"/>
          <w:sz w:val="24"/>
          <w:szCs w:val="24"/>
        </w:rPr>
      </w:pPr>
      <w:r>
        <w:rPr>
          <w:rFonts w:ascii="Times New Roman" w:hAnsi="Times New Roman"/>
          <w:sz w:val="24"/>
          <w:szCs w:val="24"/>
        </w:rPr>
        <w:t>préparer les contrats et assurer le suivi ;</w:t>
      </w:r>
    </w:p>
    <w:p w14:paraId="6D4D688C" w14:textId="77777777" w:rsidR="00207B98" w:rsidRDefault="00207B98" w:rsidP="000738D3">
      <w:pPr>
        <w:numPr>
          <w:ilvl w:val="0"/>
          <w:numId w:val="17"/>
        </w:numPr>
        <w:spacing w:after="0" w:line="276" w:lineRule="auto"/>
        <w:ind w:left="567" w:right="567" w:hanging="142"/>
        <w:jc w:val="both"/>
        <w:rPr>
          <w:rFonts w:ascii="Times New Roman" w:hAnsi="Times New Roman"/>
          <w:sz w:val="24"/>
          <w:szCs w:val="24"/>
        </w:rPr>
      </w:pPr>
      <w:r>
        <w:rPr>
          <w:rFonts w:ascii="Times New Roman" w:hAnsi="Times New Roman"/>
          <w:sz w:val="24"/>
          <w:szCs w:val="24"/>
        </w:rPr>
        <w:t>concevoir les normes techniques du secteur ;</w:t>
      </w:r>
    </w:p>
    <w:p w14:paraId="4DB0BFFD" w14:textId="77777777" w:rsidR="00207B98" w:rsidRDefault="00207B98" w:rsidP="000738D3">
      <w:pPr>
        <w:numPr>
          <w:ilvl w:val="0"/>
          <w:numId w:val="17"/>
        </w:numPr>
        <w:spacing w:after="0" w:line="276" w:lineRule="auto"/>
        <w:ind w:left="567" w:right="567" w:hanging="142"/>
        <w:jc w:val="both"/>
        <w:rPr>
          <w:rFonts w:ascii="Times New Roman" w:hAnsi="Times New Roman"/>
          <w:sz w:val="24"/>
          <w:szCs w:val="24"/>
        </w:rPr>
      </w:pPr>
      <w:r>
        <w:rPr>
          <w:rFonts w:ascii="Times New Roman" w:hAnsi="Times New Roman"/>
          <w:sz w:val="24"/>
          <w:szCs w:val="24"/>
        </w:rPr>
        <w:t>contrôler les infrastructures de distribution, transport-stockage des produits pétroliers et de pétrochimie ;</w:t>
      </w:r>
    </w:p>
    <w:p w14:paraId="10C233F1" w14:textId="77777777" w:rsidR="00207B98" w:rsidRDefault="00207B98" w:rsidP="000738D3">
      <w:pPr>
        <w:numPr>
          <w:ilvl w:val="0"/>
          <w:numId w:val="17"/>
        </w:numPr>
        <w:spacing w:after="0" w:line="276" w:lineRule="auto"/>
        <w:ind w:left="567" w:right="567" w:hanging="142"/>
        <w:jc w:val="both"/>
        <w:rPr>
          <w:rFonts w:ascii="Times New Roman" w:hAnsi="Times New Roman"/>
          <w:sz w:val="24"/>
          <w:szCs w:val="24"/>
        </w:rPr>
      </w:pPr>
      <w:r>
        <w:rPr>
          <w:rFonts w:ascii="Times New Roman" w:hAnsi="Times New Roman"/>
          <w:sz w:val="24"/>
          <w:szCs w:val="24"/>
        </w:rPr>
        <w:t>identifier les besoins en formation et élaborer les plans et programmes de renforcement des capacités du personnel du Ministère ;</w:t>
      </w:r>
    </w:p>
    <w:p w14:paraId="054F4EAA" w14:textId="77777777" w:rsidR="00207B98" w:rsidRDefault="00207B98" w:rsidP="000738D3">
      <w:pPr>
        <w:numPr>
          <w:ilvl w:val="0"/>
          <w:numId w:val="17"/>
        </w:numPr>
        <w:spacing w:after="0" w:line="276" w:lineRule="auto"/>
        <w:ind w:left="567" w:right="567" w:hanging="142"/>
        <w:jc w:val="both"/>
        <w:rPr>
          <w:rFonts w:ascii="Times New Roman" w:hAnsi="Times New Roman"/>
          <w:sz w:val="24"/>
          <w:szCs w:val="24"/>
        </w:rPr>
      </w:pPr>
      <w:r>
        <w:rPr>
          <w:rFonts w:ascii="Times New Roman" w:hAnsi="Times New Roman"/>
          <w:sz w:val="24"/>
          <w:szCs w:val="24"/>
        </w:rPr>
        <w:t>tenir les registres des droits d’hydrocarbures et autorisation spécifiques accordés par le Ministre ;</w:t>
      </w:r>
    </w:p>
    <w:p w14:paraId="4E898661" w14:textId="77777777" w:rsidR="00207B98" w:rsidRDefault="00207B98" w:rsidP="000738D3">
      <w:pPr>
        <w:numPr>
          <w:ilvl w:val="0"/>
          <w:numId w:val="17"/>
        </w:numPr>
        <w:spacing w:after="0" w:line="276" w:lineRule="auto"/>
        <w:ind w:left="567" w:right="567" w:hanging="142"/>
        <w:jc w:val="both"/>
        <w:rPr>
          <w:rFonts w:ascii="Times New Roman" w:hAnsi="Times New Roman"/>
          <w:sz w:val="24"/>
          <w:szCs w:val="24"/>
        </w:rPr>
      </w:pPr>
      <w:r>
        <w:rPr>
          <w:rFonts w:ascii="Times New Roman" w:hAnsi="Times New Roman"/>
          <w:sz w:val="24"/>
          <w:szCs w:val="24"/>
        </w:rPr>
        <w:t>élaborer et évaluer les projets pétroliers ;</w:t>
      </w:r>
    </w:p>
    <w:p w14:paraId="0CF5210A" w14:textId="77777777" w:rsidR="00207B98" w:rsidRDefault="00207B98" w:rsidP="000738D3">
      <w:pPr>
        <w:numPr>
          <w:ilvl w:val="0"/>
          <w:numId w:val="17"/>
        </w:numPr>
        <w:spacing w:after="0" w:line="276" w:lineRule="auto"/>
        <w:ind w:left="567" w:right="567" w:hanging="142"/>
        <w:jc w:val="both"/>
        <w:rPr>
          <w:rFonts w:ascii="Times New Roman" w:hAnsi="Times New Roman"/>
          <w:sz w:val="24"/>
          <w:szCs w:val="24"/>
        </w:rPr>
      </w:pPr>
      <w:r>
        <w:rPr>
          <w:rFonts w:ascii="Times New Roman" w:hAnsi="Times New Roman"/>
          <w:sz w:val="24"/>
          <w:szCs w:val="24"/>
        </w:rPr>
        <w:t>préparer les prévisions budgétaires des dépenses, des recettes et d’investissement du Ministère ;</w:t>
      </w:r>
    </w:p>
    <w:p w14:paraId="33014264" w14:textId="77777777" w:rsidR="00207B98" w:rsidRDefault="00207B98" w:rsidP="000738D3">
      <w:pPr>
        <w:numPr>
          <w:ilvl w:val="0"/>
          <w:numId w:val="17"/>
        </w:numPr>
        <w:spacing w:after="0" w:line="276" w:lineRule="auto"/>
        <w:ind w:left="567" w:right="567" w:hanging="142"/>
        <w:jc w:val="both"/>
        <w:rPr>
          <w:rFonts w:ascii="Times New Roman" w:hAnsi="Times New Roman"/>
          <w:sz w:val="24"/>
          <w:szCs w:val="24"/>
        </w:rPr>
      </w:pPr>
      <w:r>
        <w:rPr>
          <w:rFonts w:ascii="Times New Roman" w:hAnsi="Times New Roman"/>
          <w:sz w:val="24"/>
          <w:szCs w:val="24"/>
        </w:rPr>
        <w:t>inspecter les conditions de travail dans les activités d’hydrocarbures ;</w:t>
      </w:r>
    </w:p>
    <w:p w14:paraId="525CD44A" w14:textId="77777777" w:rsidR="0027285F" w:rsidRDefault="00207B98" w:rsidP="000738D3">
      <w:pPr>
        <w:numPr>
          <w:ilvl w:val="0"/>
          <w:numId w:val="17"/>
        </w:numPr>
        <w:spacing w:line="276" w:lineRule="auto"/>
        <w:ind w:left="567" w:right="567" w:hanging="142"/>
        <w:jc w:val="both"/>
        <w:rPr>
          <w:rFonts w:ascii="Times New Roman" w:hAnsi="Times New Roman"/>
          <w:sz w:val="24"/>
          <w:szCs w:val="24"/>
        </w:rPr>
      </w:pPr>
      <w:r>
        <w:rPr>
          <w:rFonts w:ascii="Times New Roman" w:hAnsi="Times New Roman"/>
          <w:sz w:val="24"/>
          <w:szCs w:val="24"/>
        </w:rPr>
        <w:t>élaborer, conserver et diffuser la documentation relative aux hydrocarbures.</w:t>
      </w:r>
    </w:p>
    <w:p w14:paraId="5E997D9F" w14:textId="77777777" w:rsidR="00207B98" w:rsidRPr="00840E13" w:rsidRDefault="00207B98" w:rsidP="00207B98">
      <w:pPr>
        <w:spacing w:after="0" w:line="240" w:lineRule="auto"/>
        <w:ind w:left="1418" w:right="567"/>
        <w:jc w:val="both"/>
        <w:rPr>
          <w:rFonts w:ascii="Times New Roman" w:hAnsi="Times New Roman"/>
          <w:b/>
          <w:sz w:val="8"/>
          <w:szCs w:val="8"/>
        </w:rPr>
      </w:pPr>
    </w:p>
    <w:p w14:paraId="41751F98" w14:textId="77777777" w:rsidR="00207B98" w:rsidRPr="00173CA9" w:rsidRDefault="00207B98" w:rsidP="000738D3">
      <w:pPr>
        <w:pStyle w:val="Paragraphedeliste"/>
        <w:numPr>
          <w:ilvl w:val="2"/>
          <w:numId w:val="16"/>
        </w:numPr>
        <w:spacing w:line="240" w:lineRule="auto"/>
        <w:ind w:left="851" w:right="567" w:hanging="578"/>
        <w:jc w:val="both"/>
        <w:rPr>
          <w:rFonts w:ascii="Times New Roman" w:hAnsi="Times New Roman" w:cs="Times New Roman"/>
          <w:b/>
          <w:u w:val="single"/>
        </w:rPr>
      </w:pPr>
      <w:r w:rsidRPr="00173CA9">
        <w:rPr>
          <w:rFonts w:ascii="Times New Roman" w:hAnsi="Times New Roman" w:cs="Times New Roman"/>
          <w:b/>
          <w:u w:val="single"/>
        </w:rPr>
        <w:t xml:space="preserve">La Société Nationale des Hydrocarbures du Congo (SONAHYDROC SA) </w:t>
      </w:r>
    </w:p>
    <w:p w14:paraId="4549D419" w14:textId="77777777" w:rsidR="00207B98" w:rsidRPr="00840E13" w:rsidRDefault="00207B98" w:rsidP="00207B98">
      <w:pPr>
        <w:spacing w:after="0" w:line="240" w:lineRule="auto"/>
        <w:ind w:left="1418" w:right="567"/>
        <w:jc w:val="both"/>
        <w:rPr>
          <w:rFonts w:ascii="Times New Roman" w:hAnsi="Times New Roman"/>
          <w:sz w:val="10"/>
          <w:szCs w:val="10"/>
        </w:rPr>
      </w:pPr>
    </w:p>
    <w:p w14:paraId="3C5AA0AB" w14:textId="77777777" w:rsidR="00207B98" w:rsidRPr="00173CA9" w:rsidRDefault="00207B98" w:rsidP="00256DE8">
      <w:pPr>
        <w:spacing w:after="0" w:line="240" w:lineRule="auto"/>
        <w:ind w:left="284" w:right="567"/>
        <w:jc w:val="both"/>
        <w:rPr>
          <w:rFonts w:ascii="Times New Roman" w:hAnsi="Times New Roman"/>
          <w:sz w:val="24"/>
          <w:szCs w:val="24"/>
        </w:rPr>
      </w:pPr>
      <w:r w:rsidRPr="00173CA9">
        <w:rPr>
          <w:rFonts w:ascii="Times New Roman" w:hAnsi="Times New Roman"/>
          <w:sz w:val="24"/>
          <w:szCs w:val="24"/>
        </w:rPr>
        <w:t xml:space="preserve">Les </w:t>
      </w:r>
      <w:r w:rsidRPr="00173CA9">
        <w:rPr>
          <w:rFonts w:ascii="Times New Roman" w:hAnsi="Times New Roman"/>
          <w:b/>
          <w:i/>
          <w:sz w:val="24"/>
          <w:szCs w:val="24"/>
        </w:rPr>
        <w:t>Statuts coordonnés</w:t>
      </w:r>
      <w:r w:rsidRPr="00173CA9">
        <w:rPr>
          <w:rFonts w:ascii="Times New Roman" w:hAnsi="Times New Roman"/>
          <w:sz w:val="24"/>
          <w:szCs w:val="24"/>
        </w:rPr>
        <w:t xml:space="preserve"> de SONAHYDROC SA sont publiés dans le Journal Officiel de la RDC (57</w:t>
      </w:r>
      <w:r w:rsidRPr="00173CA9">
        <w:rPr>
          <w:rFonts w:ascii="Times New Roman" w:hAnsi="Times New Roman"/>
          <w:sz w:val="24"/>
          <w:szCs w:val="24"/>
          <w:vertAlign w:val="superscript"/>
        </w:rPr>
        <w:t>ème</w:t>
      </w:r>
      <w:r w:rsidRPr="00173CA9">
        <w:rPr>
          <w:rFonts w:ascii="Times New Roman" w:hAnsi="Times New Roman"/>
          <w:sz w:val="24"/>
          <w:szCs w:val="24"/>
        </w:rPr>
        <w:t xml:space="preserve"> année, numéro spécial du 26 novembre 2016</w:t>
      </w:r>
      <w:r>
        <w:rPr>
          <w:rFonts w:ascii="Times New Roman" w:hAnsi="Times New Roman"/>
          <w:sz w:val="24"/>
          <w:szCs w:val="24"/>
        </w:rPr>
        <w:t>) et aussi sur le site web de l’ITIE-RDC</w:t>
      </w:r>
      <w:r>
        <w:rPr>
          <w:rStyle w:val="Appelnotedebasdep"/>
          <w:rFonts w:ascii="Times New Roman" w:hAnsi="Times New Roman"/>
          <w:sz w:val="24"/>
          <w:szCs w:val="24"/>
        </w:rPr>
        <w:footnoteReference w:id="14"/>
      </w:r>
      <w:r>
        <w:rPr>
          <w:rFonts w:ascii="Times New Roman" w:hAnsi="Times New Roman"/>
          <w:sz w:val="24"/>
          <w:szCs w:val="24"/>
        </w:rPr>
        <w:t xml:space="preserve"> sur ce </w:t>
      </w:r>
      <w:hyperlink r:id="rId24" w:history="1">
        <w:r w:rsidRPr="00E512DE">
          <w:rPr>
            <w:rStyle w:val="Lienhypertexte"/>
            <w:rFonts w:ascii="Times New Roman" w:hAnsi="Times New Roman"/>
            <w:sz w:val="24"/>
            <w:szCs w:val="24"/>
          </w:rPr>
          <w:t>lien</w:t>
        </w:r>
      </w:hyperlink>
      <w:r w:rsidRPr="00173CA9">
        <w:rPr>
          <w:rFonts w:ascii="Times New Roman" w:hAnsi="Times New Roman"/>
          <w:sz w:val="24"/>
          <w:szCs w:val="24"/>
        </w:rPr>
        <w:t>.</w:t>
      </w:r>
    </w:p>
    <w:p w14:paraId="7BD294F0" w14:textId="77777777" w:rsidR="00207B98" w:rsidRDefault="00207B98" w:rsidP="00256DE8">
      <w:pPr>
        <w:spacing w:before="240" w:after="0" w:line="240" w:lineRule="auto"/>
        <w:ind w:left="284" w:right="567"/>
        <w:jc w:val="both"/>
        <w:rPr>
          <w:rFonts w:ascii="Times New Roman" w:hAnsi="Times New Roman"/>
          <w:sz w:val="24"/>
          <w:szCs w:val="24"/>
        </w:rPr>
      </w:pPr>
      <w:r w:rsidRPr="00173CA9">
        <w:rPr>
          <w:rFonts w:ascii="Times New Roman" w:hAnsi="Times New Roman"/>
          <w:sz w:val="24"/>
          <w:szCs w:val="24"/>
        </w:rPr>
        <w:t xml:space="preserve">Créée par le Décret-loi n° 245 du 9 août 1999, </w:t>
      </w:r>
      <w:r>
        <w:rPr>
          <w:rFonts w:ascii="Times New Roman" w:hAnsi="Times New Roman"/>
          <w:sz w:val="24"/>
          <w:szCs w:val="24"/>
        </w:rPr>
        <w:t xml:space="preserve">la Congolaise des Hydrocarbures (COHYDRO) a été transformée en </w:t>
      </w:r>
      <w:r w:rsidRPr="00173CA9">
        <w:rPr>
          <w:rFonts w:ascii="Times New Roman" w:hAnsi="Times New Roman"/>
          <w:sz w:val="24"/>
          <w:szCs w:val="24"/>
        </w:rPr>
        <w:t xml:space="preserve">SONAHYDROC SA </w:t>
      </w:r>
      <w:r>
        <w:rPr>
          <w:rFonts w:ascii="Times New Roman" w:hAnsi="Times New Roman"/>
          <w:sz w:val="24"/>
          <w:szCs w:val="24"/>
        </w:rPr>
        <w:t xml:space="preserve">en application des articles 14 à 18 du Code des Hydrocarbures. </w:t>
      </w:r>
    </w:p>
    <w:p w14:paraId="58A8ACB4" w14:textId="77777777" w:rsidR="00207B98" w:rsidRDefault="00207B98" w:rsidP="00256DE8">
      <w:pPr>
        <w:spacing w:before="240" w:after="0" w:line="240" w:lineRule="auto"/>
        <w:ind w:left="284" w:right="567"/>
        <w:jc w:val="both"/>
        <w:rPr>
          <w:rFonts w:ascii="Times New Roman" w:hAnsi="Times New Roman"/>
          <w:sz w:val="24"/>
          <w:szCs w:val="24"/>
        </w:rPr>
      </w:pPr>
      <w:r>
        <w:rPr>
          <w:rFonts w:ascii="Times New Roman" w:hAnsi="Times New Roman"/>
          <w:sz w:val="24"/>
          <w:szCs w:val="24"/>
        </w:rPr>
        <w:t>Aux termes du Règlement d’Hydrocarbures (article 16), elle a pour mission, entre autres, de :</w:t>
      </w:r>
    </w:p>
    <w:p w14:paraId="59F6566C" w14:textId="77777777" w:rsidR="00207B98" w:rsidRDefault="00207B98" w:rsidP="000738D3">
      <w:pPr>
        <w:numPr>
          <w:ilvl w:val="0"/>
          <w:numId w:val="17"/>
        </w:numPr>
        <w:spacing w:after="0" w:line="276" w:lineRule="auto"/>
        <w:ind w:left="426" w:right="567" w:firstLine="0"/>
        <w:jc w:val="both"/>
        <w:rPr>
          <w:rFonts w:ascii="Times New Roman" w:hAnsi="Times New Roman"/>
          <w:sz w:val="24"/>
          <w:szCs w:val="24"/>
        </w:rPr>
      </w:pPr>
      <w:r>
        <w:rPr>
          <w:rFonts w:ascii="Times New Roman" w:hAnsi="Times New Roman"/>
          <w:sz w:val="24"/>
          <w:szCs w:val="24"/>
        </w:rPr>
        <w:t>contribuer à la valorisation et à la gestion du patrimoine pétrolier ;</w:t>
      </w:r>
    </w:p>
    <w:p w14:paraId="5A5E4FB0" w14:textId="77777777" w:rsidR="00207B98" w:rsidRDefault="00207B98" w:rsidP="000738D3">
      <w:pPr>
        <w:numPr>
          <w:ilvl w:val="0"/>
          <w:numId w:val="17"/>
        </w:numPr>
        <w:spacing w:after="0" w:line="276" w:lineRule="auto"/>
        <w:ind w:left="709" w:right="567" w:hanging="283"/>
        <w:jc w:val="both"/>
        <w:rPr>
          <w:rFonts w:ascii="Times New Roman" w:hAnsi="Times New Roman"/>
          <w:sz w:val="24"/>
          <w:szCs w:val="24"/>
        </w:rPr>
      </w:pPr>
      <w:r>
        <w:rPr>
          <w:rFonts w:ascii="Times New Roman" w:hAnsi="Times New Roman"/>
          <w:sz w:val="24"/>
          <w:szCs w:val="24"/>
        </w:rPr>
        <w:t xml:space="preserve">constituer et maintenir pour le compte de l’Etat les stocks stratégiques de tous les produits pétroliers ; </w:t>
      </w:r>
    </w:p>
    <w:p w14:paraId="6F2406B3" w14:textId="77777777" w:rsidR="00207B98" w:rsidRDefault="00207B98" w:rsidP="000738D3">
      <w:pPr>
        <w:numPr>
          <w:ilvl w:val="0"/>
          <w:numId w:val="17"/>
        </w:numPr>
        <w:spacing w:after="0" w:line="276" w:lineRule="auto"/>
        <w:ind w:left="709" w:right="567" w:hanging="283"/>
        <w:jc w:val="both"/>
        <w:rPr>
          <w:rFonts w:ascii="Times New Roman" w:hAnsi="Times New Roman"/>
          <w:sz w:val="24"/>
          <w:szCs w:val="24"/>
        </w:rPr>
      </w:pPr>
      <w:r>
        <w:rPr>
          <w:rFonts w:ascii="Times New Roman" w:hAnsi="Times New Roman"/>
          <w:sz w:val="24"/>
          <w:szCs w:val="24"/>
        </w:rPr>
        <w:lastRenderedPageBreak/>
        <w:t>participer au développement des activités pétrolières et gazières sur l’ensemble du territoire National.</w:t>
      </w:r>
    </w:p>
    <w:p w14:paraId="5421F338" w14:textId="77777777" w:rsidR="00207B98" w:rsidRPr="00173CA9" w:rsidRDefault="00207B98" w:rsidP="00256DE8">
      <w:pPr>
        <w:spacing w:before="240" w:line="240" w:lineRule="auto"/>
        <w:ind w:left="284" w:right="567"/>
        <w:jc w:val="both"/>
        <w:rPr>
          <w:rFonts w:ascii="Times New Roman" w:hAnsi="Times New Roman"/>
          <w:sz w:val="24"/>
          <w:szCs w:val="24"/>
        </w:rPr>
      </w:pPr>
      <w:r>
        <w:rPr>
          <w:rFonts w:ascii="Times New Roman" w:hAnsi="Times New Roman"/>
          <w:sz w:val="24"/>
          <w:szCs w:val="24"/>
        </w:rPr>
        <w:t xml:space="preserve">Au regard de ses statuts, SONAHYDROC SA </w:t>
      </w:r>
      <w:r w:rsidRPr="00173CA9">
        <w:rPr>
          <w:rFonts w:ascii="Times New Roman" w:hAnsi="Times New Roman"/>
          <w:sz w:val="24"/>
          <w:szCs w:val="24"/>
        </w:rPr>
        <w:t>est une société spécialisée dans :</w:t>
      </w:r>
    </w:p>
    <w:p w14:paraId="357C7E4A" w14:textId="77777777" w:rsidR="00207B98" w:rsidRPr="00173CA9" w:rsidRDefault="00207B98" w:rsidP="000738D3">
      <w:pPr>
        <w:numPr>
          <w:ilvl w:val="0"/>
          <w:numId w:val="17"/>
        </w:numPr>
        <w:spacing w:after="0" w:line="276" w:lineRule="auto"/>
        <w:ind w:left="709" w:right="567" w:hanging="284"/>
        <w:jc w:val="both"/>
        <w:rPr>
          <w:rFonts w:ascii="Times New Roman" w:hAnsi="Times New Roman"/>
          <w:sz w:val="24"/>
          <w:szCs w:val="24"/>
        </w:rPr>
      </w:pPr>
      <w:r w:rsidRPr="00173CA9">
        <w:rPr>
          <w:rFonts w:ascii="Times New Roman" w:hAnsi="Times New Roman"/>
          <w:sz w:val="24"/>
          <w:szCs w:val="24"/>
        </w:rPr>
        <w:t>la prospection, l’exploration et la production des hydrocarbures, seule et/ou en association avec des partenaires nationaux et étrangers, dans les bassins sédimentaires à l’intérieur et à l’extérieur de la RDC ;</w:t>
      </w:r>
    </w:p>
    <w:p w14:paraId="0405B9A6" w14:textId="77777777" w:rsidR="00207B98" w:rsidRPr="00173CA9" w:rsidRDefault="00207B98" w:rsidP="000738D3">
      <w:pPr>
        <w:numPr>
          <w:ilvl w:val="0"/>
          <w:numId w:val="17"/>
        </w:numPr>
        <w:spacing w:after="0" w:line="276" w:lineRule="auto"/>
        <w:ind w:left="709" w:right="567" w:hanging="284"/>
        <w:jc w:val="both"/>
        <w:rPr>
          <w:rFonts w:ascii="Times New Roman" w:hAnsi="Times New Roman"/>
          <w:sz w:val="24"/>
          <w:szCs w:val="24"/>
        </w:rPr>
      </w:pPr>
      <w:r w:rsidRPr="00173CA9">
        <w:rPr>
          <w:rFonts w:ascii="Times New Roman" w:hAnsi="Times New Roman"/>
          <w:sz w:val="24"/>
          <w:szCs w:val="24"/>
        </w:rPr>
        <w:t>l’exploration, la production et le développement des gisements d’hydrocarbures liquides, solides et gazeux en amont, seule et/ou en association avec des partenaires nationaux et étrangers ;</w:t>
      </w:r>
    </w:p>
    <w:p w14:paraId="6AAFC3D5" w14:textId="77777777" w:rsidR="00207B98" w:rsidRPr="00173CA9" w:rsidRDefault="00207B98" w:rsidP="000738D3">
      <w:pPr>
        <w:numPr>
          <w:ilvl w:val="0"/>
          <w:numId w:val="17"/>
        </w:numPr>
        <w:spacing w:after="0" w:line="276" w:lineRule="auto"/>
        <w:ind w:left="709" w:right="567" w:hanging="284"/>
        <w:jc w:val="both"/>
        <w:rPr>
          <w:rFonts w:ascii="Times New Roman" w:hAnsi="Times New Roman"/>
          <w:sz w:val="24"/>
          <w:szCs w:val="24"/>
        </w:rPr>
      </w:pPr>
      <w:r w:rsidRPr="00173CA9">
        <w:rPr>
          <w:rFonts w:ascii="Times New Roman" w:hAnsi="Times New Roman"/>
          <w:sz w:val="24"/>
          <w:szCs w:val="24"/>
        </w:rPr>
        <w:t>la commercialisation des hydrocarbures pour elle-même ou pour le compte de l’Etat ;</w:t>
      </w:r>
    </w:p>
    <w:p w14:paraId="73F8BADC" w14:textId="77777777" w:rsidR="00207B98" w:rsidRPr="00173CA9" w:rsidRDefault="00207B98" w:rsidP="000738D3">
      <w:pPr>
        <w:numPr>
          <w:ilvl w:val="0"/>
          <w:numId w:val="17"/>
        </w:numPr>
        <w:spacing w:after="0" w:line="276" w:lineRule="auto"/>
        <w:ind w:left="709" w:right="567" w:hanging="284"/>
        <w:jc w:val="both"/>
        <w:rPr>
          <w:rFonts w:ascii="Times New Roman" w:hAnsi="Times New Roman"/>
          <w:sz w:val="24"/>
          <w:szCs w:val="24"/>
        </w:rPr>
      </w:pPr>
      <w:r w:rsidRPr="00173CA9">
        <w:rPr>
          <w:rFonts w:ascii="Times New Roman" w:hAnsi="Times New Roman"/>
          <w:sz w:val="24"/>
          <w:szCs w:val="24"/>
        </w:rPr>
        <w:t>l’implantation et le développement de l’industrie de raffinage, de pétrochimie et de production de biocarburant, seule et/ou en association avec des partenaires nationaux et étrangers ;</w:t>
      </w:r>
    </w:p>
    <w:p w14:paraId="28258D20" w14:textId="77777777" w:rsidR="00207B98" w:rsidRPr="00173CA9" w:rsidRDefault="00207B98" w:rsidP="000738D3">
      <w:pPr>
        <w:numPr>
          <w:ilvl w:val="0"/>
          <w:numId w:val="17"/>
        </w:numPr>
        <w:spacing w:after="0" w:line="276" w:lineRule="auto"/>
        <w:ind w:left="709" w:right="567" w:hanging="284"/>
        <w:jc w:val="both"/>
        <w:rPr>
          <w:rFonts w:ascii="Times New Roman" w:hAnsi="Times New Roman"/>
          <w:sz w:val="24"/>
          <w:szCs w:val="24"/>
        </w:rPr>
      </w:pPr>
      <w:r w:rsidRPr="00173CA9">
        <w:rPr>
          <w:rFonts w:ascii="Times New Roman" w:hAnsi="Times New Roman"/>
          <w:sz w:val="24"/>
          <w:szCs w:val="24"/>
        </w:rPr>
        <w:t>les activités de stockage et de transport des produits pétroliers ;</w:t>
      </w:r>
    </w:p>
    <w:p w14:paraId="43A3BA33" w14:textId="77777777" w:rsidR="00207B98" w:rsidRPr="00173CA9" w:rsidRDefault="00207B98" w:rsidP="000738D3">
      <w:pPr>
        <w:numPr>
          <w:ilvl w:val="0"/>
          <w:numId w:val="17"/>
        </w:numPr>
        <w:spacing w:after="0" w:line="276" w:lineRule="auto"/>
        <w:ind w:left="709" w:right="567" w:hanging="284"/>
        <w:jc w:val="both"/>
        <w:rPr>
          <w:rFonts w:ascii="Times New Roman" w:hAnsi="Times New Roman"/>
          <w:sz w:val="24"/>
          <w:szCs w:val="24"/>
        </w:rPr>
      </w:pPr>
      <w:r w:rsidRPr="00173CA9">
        <w:rPr>
          <w:rFonts w:ascii="Times New Roman" w:hAnsi="Times New Roman"/>
          <w:sz w:val="24"/>
          <w:szCs w:val="24"/>
        </w:rPr>
        <w:t>la distribution commerciale par l’importation et l’exportation des produits pétroliers et dérivés ;</w:t>
      </w:r>
    </w:p>
    <w:p w14:paraId="7B2B0B7E" w14:textId="77777777" w:rsidR="00207B98" w:rsidRPr="00173CA9" w:rsidRDefault="00207B98" w:rsidP="000738D3">
      <w:pPr>
        <w:numPr>
          <w:ilvl w:val="0"/>
          <w:numId w:val="17"/>
        </w:numPr>
        <w:spacing w:line="276" w:lineRule="auto"/>
        <w:ind w:left="709" w:right="567" w:hanging="284"/>
        <w:jc w:val="both"/>
        <w:rPr>
          <w:rFonts w:ascii="Times New Roman" w:hAnsi="Times New Roman"/>
          <w:sz w:val="24"/>
          <w:szCs w:val="24"/>
        </w:rPr>
      </w:pPr>
      <w:r w:rsidRPr="00173CA9">
        <w:rPr>
          <w:rFonts w:ascii="Times New Roman" w:hAnsi="Times New Roman"/>
          <w:sz w:val="24"/>
          <w:szCs w:val="24"/>
        </w:rPr>
        <w:t>la prise et la détention des participations de l’Etat dans les sociétés du secteur des hydrocarbures en amont et à la création des filiales.</w:t>
      </w:r>
    </w:p>
    <w:p w14:paraId="3D64E03A" w14:textId="77777777" w:rsidR="00207B98" w:rsidRPr="00173CA9" w:rsidRDefault="00207B98" w:rsidP="00256DE8">
      <w:pPr>
        <w:spacing w:after="0" w:line="276" w:lineRule="auto"/>
        <w:ind w:left="426" w:right="567"/>
        <w:jc w:val="both"/>
        <w:rPr>
          <w:rFonts w:ascii="Times New Roman" w:hAnsi="Times New Roman"/>
          <w:sz w:val="24"/>
          <w:szCs w:val="24"/>
        </w:rPr>
      </w:pPr>
      <w:r w:rsidRPr="00173CA9">
        <w:rPr>
          <w:rFonts w:ascii="Times New Roman" w:hAnsi="Times New Roman"/>
          <w:sz w:val="24"/>
          <w:szCs w:val="24"/>
        </w:rPr>
        <w:t>SONAHYDROC SA peut aussi entreprendre, par voie d’apports, souscription, fusion, participation financière, ou sous toute autre forme, toute opération dans des sociétés ou entreprises ayant un objet similaire ou connexe, et d’une manière générale, toutes opérations commerciales, industrielles, financières, mobilières ou immobilières pouvant se rattacher directement ou indirectement, en totalité ou en partie, à l’un quelconque de ses objets ou à tous objets similaires ou connexes et susceptibles d’en faciliter ou d’en favoriser le développement, la réalisation ou l’extension.</w:t>
      </w:r>
    </w:p>
    <w:p w14:paraId="61FAE9DC" w14:textId="77777777" w:rsidR="00207B98" w:rsidRPr="00840E13" w:rsidRDefault="00207B98" w:rsidP="00207B98">
      <w:pPr>
        <w:spacing w:after="0" w:line="240" w:lineRule="auto"/>
        <w:ind w:left="1418" w:right="567"/>
        <w:jc w:val="both"/>
        <w:rPr>
          <w:rFonts w:ascii="Times New Roman" w:hAnsi="Times New Roman"/>
          <w:color w:val="FF0000"/>
          <w:sz w:val="8"/>
          <w:szCs w:val="8"/>
        </w:rPr>
      </w:pPr>
    </w:p>
    <w:p w14:paraId="71EA8020" w14:textId="77777777" w:rsidR="00207B98" w:rsidRPr="00173CA9" w:rsidRDefault="00207B98" w:rsidP="000738D3">
      <w:pPr>
        <w:pStyle w:val="Paragraphedeliste"/>
        <w:numPr>
          <w:ilvl w:val="2"/>
          <w:numId w:val="16"/>
        </w:numPr>
        <w:spacing w:after="0" w:line="240" w:lineRule="auto"/>
        <w:ind w:left="851" w:right="567" w:hanging="567"/>
        <w:jc w:val="both"/>
        <w:rPr>
          <w:rFonts w:ascii="Times New Roman" w:hAnsi="Times New Roman" w:cs="Times New Roman"/>
          <w:sz w:val="24"/>
          <w:szCs w:val="24"/>
          <w:u w:val="single"/>
        </w:rPr>
      </w:pPr>
      <w:r w:rsidRPr="00173CA9">
        <w:rPr>
          <w:rFonts w:ascii="Times New Roman" w:hAnsi="Times New Roman" w:cs="Times New Roman"/>
          <w:b/>
          <w:sz w:val="24"/>
          <w:szCs w:val="24"/>
          <w:u w:val="single"/>
        </w:rPr>
        <w:t>Le Fonds pour les générations futures</w:t>
      </w:r>
    </w:p>
    <w:p w14:paraId="4C423858" w14:textId="77777777" w:rsidR="00207B98" w:rsidRPr="00173CA9" w:rsidRDefault="00207B98" w:rsidP="00207B98">
      <w:pPr>
        <w:spacing w:after="0" w:line="240" w:lineRule="auto"/>
        <w:ind w:left="1418" w:right="567"/>
        <w:jc w:val="both"/>
        <w:rPr>
          <w:rFonts w:ascii="Times New Roman" w:hAnsi="Times New Roman"/>
          <w:sz w:val="24"/>
          <w:szCs w:val="24"/>
        </w:rPr>
      </w:pPr>
    </w:p>
    <w:p w14:paraId="23787764" w14:textId="77777777" w:rsidR="00207B98" w:rsidRDefault="00207B98" w:rsidP="00256DE8">
      <w:pPr>
        <w:spacing w:line="276" w:lineRule="auto"/>
        <w:ind w:left="284" w:right="567"/>
        <w:jc w:val="both"/>
        <w:rPr>
          <w:rFonts w:ascii="Times New Roman" w:hAnsi="Times New Roman"/>
          <w:sz w:val="24"/>
          <w:szCs w:val="24"/>
        </w:rPr>
      </w:pPr>
      <w:r w:rsidRPr="00173CA9">
        <w:rPr>
          <w:rFonts w:ascii="Times New Roman" w:hAnsi="Times New Roman"/>
          <w:sz w:val="24"/>
          <w:szCs w:val="24"/>
        </w:rPr>
        <w:t>La Loi n°15/012 du 1</w:t>
      </w:r>
      <w:r w:rsidRPr="00173CA9">
        <w:rPr>
          <w:rFonts w:ascii="Times New Roman" w:hAnsi="Times New Roman"/>
          <w:sz w:val="24"/>
          <w:szCs w:val="24"/>
          <w:vertAlign w:val="superscript"/>
        </w:rPr>
        <w:t>er</w:t>
      </w:r>
      <w:r w:rsidRPr="00173CA9">
        <w:rPr>
          <w:rFonts w:ascii="Times New Roman" w:hAnsi="Times New Roman"/>
          <w:sz w:val="24"/>
          <w:szCs w:val="24"/>
        </w:rPr>
        <w:t xml:space="preserve"> août 2015 a institué un fonds pour les générations futures dont les ressources proviennent notamment d'une quotité de la part du profit oïl de l'Etat. La gestion du fonds pour les générations futures est confiée à un établissement public qui sera créé à cet effet par un décret du Premier Ministre délibéré en Conseil des Ministres. </w:t>
      </w:r>
    </w:p>
    <w:p w14:paraId="5F88EEA0" w14:textId="419BE3C1" w:rsidR="00AA5F3F" w:rsidRDefault="00207B98" w:rsidP="00256DE8">
      <w:pPr>
        <w:spacing w:line="276" w:lineRule="auto"/>
        <w:ind w:left="284" w:right="567"/>
        <w:jc w:val="both"/>
        <w:rPr>
          <w:rFonts w:ascii="Times New Roman" w:hAnsi="Times New Roman"/>
          <w:sz w:val="24"/>
          <w:szCs w:val="24"/>
        </w:rPr>
      </w:pPr>
      <w:r>
        <w:rPr>
          <w:rFonts w:ascii="Times New Roman" w:hAnsi="Times New Roman"/>
          <w:sz w:val="24"/>
          <w:szCs w:val="24"/>
        </w:rPr>
        <w:t>Il y a lieu de constater que trois</w:t>
      </w:r>
      <w:r w:rsidRPr="004151FC">
        <w:rPr>
          <w:rFonts w:ascii="Times New Roman" w:hAnsi="Times New Roman"/>
          <w:sz w:val="24"/>
          <w:szCs w:val="24"/>
        </w:rPr>
        <w:t xml:space="preserve"> ans après la promulgation de la loi portant régime général des hydrocarbures et </w:t>
      </w:r>
      <w:r>
        <w:rPr>
          <w:rFonts w:ascii="Times New Roman" w:hAnsi="Times New Roman"/>
          <w:sz w:val="24"/>
          <w:szCs w:val="24"/>
        </w:rPr>
        <w:t>deux</w:t>
      </w:r>
      <w:r w:rsidRPr="004151FC">
        <w:rPr>
          <w:rFonts w:ascii="Times New Roman" w:hAnsi="Times New Roman"/>
          <w:sz w:val="24"/>
          <w:szCs w:val="24"/>
        </w:rPr>
        <w:t xml:space="preserve"> ans après la signature de ses mesures d’applications (Règlement d’Hydrocarbures)</w:t>
      </w:r>
      <w:r>
        <w:rPr>
          <w:rFonts w:ascii="Times New Roman" w:hAnsi="Times New Roman"/>
          <w:sz w:val="24"/>
          <w:szCs w:val="24"/>
        </w:rPr>
        <w:t>, le décret portant création de l’établissement chargé de gérer ce Fonds n’est toujours pas signé par le Premier Ministre</w:t>
      </w:r>
      <w:r w:rsidRPr="004151FC">
        <w:rPr>
          <w:rFonts w:ascii="Times New Roman" w:hAnsi="Times New Roman"/>
          <w:sz w:val="24"/>
          <w:szCs w:val="24"/>
        </w:rPr>
        <w:t xml:space="preserve">. </w:t>
      </w:r>
    </w:p>
    <w:p w14:paraId="147D4C3E" w14:textId="77777777" w:rsidR="00AA5F3F" w:rsidRDefault="00AA5F3F">
      <w:pPr>
        <w:rPr>
          <w:rFonts w:ascii="Times New Roman" w:hAnsi="Times New Roman"/>
          <w:sz w:val="24"/>
          <w:szCs w:val="24"/>
        </w:rPr>
      </w:pPr>
      <w:r>
        <w:rPr>
          <w:rFonts w:ascii="Times New Roman" w:hAnsi="Times New Roman"/>
          <w:sz w:val="24"/>
          <w:szCs w:val="24"/>
        </w:rPr>
        <w:br w:type="page"/>
      </w:r>
    </w:p>
    <w:p w14:paraId="23374BEA" w14:textId="77777777" w:rsidR="00207B98" w:rsidRPr="006443D7" w:rsidRDefault="00207B98" w:rsidP="006443D7">
      <w:pPr>
        <w:pStyle w:val="Titre3"/>
        <w:spacing w:before="240"/>
        <w:ind w:left="426"/>
        <w:rPr>
          <w:rFonts w:ascii="Times New Roman" w:hAnsi="Times New Roman" w:cs="Times New Roman"/>
          <w:sz w:val="24"/>
          <w:szCs w:val="24"/>
        </w:rPr>
      </w:pPr>
      <w:bookmarkStart w:id="59" w:name="_Toc515589772"/>
      <w:bookmarkStart w:id="60" w:name="_Toc515792935"/>
      <w:bookmarkStart w:id="61" w:name="_Toc515793174"/>
      <w:bookmarkStart w:id="62" w:name="_Toc518135487"/>
      <w:bookmarkStart w:id="63" w:name="_Toc518468058"/>
      <w:r w:rsidRPr="006443D7">
        <w:rPr>
          <w:rFonts w:ascii="Times New Roman" w:hAnsi="Times New Roman" w:cs="Times New Roman"/>
          <w:sz w:val="24"/>
          <w:szCs w:val="24"/>
        </w:rPr>
        <w:lastRenderedPageBreak/>
        <w:t>I.1.5. Réformes entreprises ou envisagées dans le secteur des hydrocarbures</w:t>
      </w:r>
      <w:bookmarkEnd w:id="59"/>
      <w:bookmarkEnd w:id="60"/>
      <w:bookmarkEnd w:id="61"/>
      <w:bookmarkEnd w:id="62"/>
      <w:bookmarkEnd w:id="63"/>
    </w:p>
    <w:p w14:paraId="1B68170B" w14:textId="77777777" w:rsidR="00207B98" w:rsidRPr="00256DE8" w:rsidRDefault="00207B98" w:rsidP="006443D7">
      <w:pPr>
        <w:spacing w:after="175" w:line="240" w:lineRule="auto"/>
        <w:ind w:left="426" w:right="567"/>
        <w:jc w:val="both"/>
        <w:rPr>
          <w:rFonts w:ascii="Times New Roman" w:hAnsi="Times New Roman"/>
          <w:sz w:val="24"/>
          <w:szCs w:val="24"/>
        </w:rPr>
      </w:pPr>
      <w:r w:rsidRPr="00256DE8">
        <w:rPr>
          <w:rFonts w:ascii="Times New Roman" w:hAnsi="Times New Roman"/>
          <w:sz w:val="24"/>
          <w:szCs w:val="24"/>
        </w:rPr>
        <w:t>Actuellement, le Décret n°16/010 du 19 avril 2016 portant Règlement d’hydrocarbures met en œuvre l’arsenal juridique ci-dessus prévu par la Loi n°15/012 du 1</w:t>
      </w:r>
      <w:r w:rsidRPr="00256DE8">
        <w:rPr>
          <w:rFonts w:ascii="Times New Roman" w:hAnsi="Times New Roman"/>
          <w:sz w:val="24"/>
          <w:szCs w:val="24"/>
          <w:vertAlign w:val="superscript"/>
        </w:rPr>
        <w:t>er</w:t>
      </w:r>
      <w:r w:rsidRPr="00256DE8">
        <w:rPr>
          <w:rFonts w:ascii="Times New Roman" w:hAnsi="Times New Roman"/>
          <w:sz w:val="24"/>
          <w:szCs w:val="24"/>
        </w:rPr>
        <w:t xml:space="preserve"> août 2015 portant Code des Hydrocarbures.</w:t>
      </w:r>
    </w:p>
    <w:p w14:paraId="0348BBF8" w14:textId="77777777" w:rsidR="00207B98" w:rsidRPr="00256DE8" w:rsidRDefault="00207B98" w:rsidP="006443D7">
      <w:pPr>
        <w:spacing w:after="0" w:line="240" w:lineRule="auto"/>
        <w:ind w:left="426" w:right="567"/>
        <w:jc w:val="both"/>
        <w:rPr>
          <w:rFonts w:ascii="Times New Roman" w:hAnsi="Times New Roman"/>
          <w:sz w:val="24"/>
          <w:szCs w:val="24"/>
        </w:rPr>
      </w:pPr>
      <w:r w:rsidRPr="00256DE8">
        <w:rPr>
          <w:rFonts w:ascii="Times New Roman" w:hAnsi="Times New Roman"/>
          <w:sz w:val="24"/>
          <w:szCs w:val="24"/>
        </w:rPr>
        <w:t>Ce dernier évoque les innovations à couler en réformes pour appliquer efficacement le Code. Ces innovations concernent principalement :</w:t>
      </w:r>
    </w:p>
    <w:p w14:paraId="185FCAB3" w14:textId="77777777" w:rsidR="00207B98" w:rsidRPr="00840E13" w:rsidRDefault="00207B98" w:rsidP="00207B98">
      <w:pPr>
        <w:spacing w:after="0" w:line="240" w:lineRule="auto"/>
        <w:ind w:left="1418" w:right="567"/>
        <w:jc w:val="both"/>
        <w:rPr>
          <w:rFonts w:ascii="Times New Roman" w:hAnsi="Times New Roman"/>
          <w:sz w:val="8"/>
          <w:szCs w:val="8"/>
        </w:rPr>
      </w:pPr>
    </w:p>
    <w:p w14:paraId="2DEFF1F3" w14:textId="77777777" w:rsidR="00207B98" w:rsidRPr="00840E13" w:rsidRDefault="00207B98" w:rsidP="000738D3">
      <w:pPr>
        <w:numPr>
          <w:ilvl w:val="0"/>
          <w:numId w:val="17"/>
        </w:numPr>
        <w:spacing w:line="240" w:lineRule="auto"/>
        <w:ind w:left="993" w:right="567" w:hanging="284"/>
        <w:jc w:val="both"/>
        <w:rPr>
          <w:rFonts w:ascii="Times New Roman" w:hAnsi="Times New Roman"/>
        </w:rPr>
      </w:pPr>
      <w:r w:rsidRPr="00840E13">
        <w:rPr>
          <w:rFonts w:ascii="Times New Roman" w:hAnsi="Times New Roman"/>
        </w:rPr>
        <w:t>l'affirmation de la propriété de l'Etat sur les ressources d'hydrocarbures du sous-sol jusqu'au point d'exportation ;</w:t>
      </w:r>
    </w:p>
    <w:p w14:paraId="6921B53E" w14:textId="77777777" w:rsidR="00207B98" w:rsidRPr="00840E13" w:rsidRDefault="00207B98" w:rsidP="000738D3">
      <w:pPr>
        <w:numPr>
          <w:ilvl w:val="0"/>
          <w:numId w:val="17"/>
        </w:numPr>
        <w:spacing w:line="240" w:lineRule="auto"/>
        <w:ind w:left="993" w:right="567" w:hanging="284"/>
        <w:jc w:val="both"/>
        <w:rPr>
          <w:rFonts w:ascii="Times New Roman" w:hAnsi="Times New Roman"/>
        </w:rPr>
      </w:pPr>
      <w:r w:rsidRPr="00840E13">
        <w:rPr>
          <w:rFonts w:ascii="Times New Roman" w:hAnsi="Times New Roman"/>
        </w:rPr>
        <w:t>la mise en place d'un régime d'hydrocarbures basé principalement sur le contrat de partage de production et subsidiairement sur le contrat de services ;</w:t>
      </w:r>
    </w:p>
    <w:p w14:paraId="4D32EDAE" w14:textId="77777777" w:rsidR="00207B98" w:rsidRPr="00840E13" w:rsidRDefault="00207B98" w:rsidP="000738D3">
      <w:pPr>
        <w:numPr>
          <w:ilvl w:val="0"/>
          <w:numId w:val="17"/>
        </w:numPr>
        <w:spacing w:line="240" w:lineRule="auto"/>
        <w:ind w:left="993" w:right="567" w:hanging="284"/>
        <w:jc w:val="both"/>
        <w:rPr>
          <w:rFonts w:ascii="Times New Roman" w:hAnsi="Times New Roman"/>
        </w:rPr>
      </w:pPr>
      <w:r w:rsidRPr="00840E13">
        <w:rPr>
          <w:rFonts w:ascii="Times New Roman" w:hAnsi="Times New Roman"/>
        </w:rPr>
        <w:t>la couverture à travers son champ d'application de l'ensemble des segments du secteur des hydrocarbures, à savoir l'amont et l’aval pétroliers ;</w:t>
      </w:r>
    </w:p>
    <w:p w14:paraId="35D5041A" w14:textId="77777777" w:rsidR="00207B98" w:rsidRPr="00840E13" w:rsidRDefault="00207B98" w:rsidP="000738D3">
      <w:pPr>
        <w:numPr>
          <w:ilvl w:val="0"/>
          <w:numId w:val="17"/>
        </w:numPr>
        <w:spacing w:line="240" w:lineRule="auto"/>
        <w:ind w:left="993" w:right="567" w:hanging="284"/>
        <w:jc w:val="both"/>
        <w:rPr>
          <w:rFonts w:ascii="Times New Roman" w:hAnsi="Times New Roman"/>
        </w:rPr>
      </w:pPr>
      <w:r w:rsidRPr="00840E13">
        <w:rPr>
          <w:rFonts w:ascii="Times New Roman" w:hAnsi="Times New Roman"/>
        </w:rPr>
        <w:t>la consécration et le regroupement des grands principes généraux de l'aval pétrolier actuellement éparpillés dans des textes réglementaires ;</w:t>
      </w:r>
    </w:p>
    <w:p w14:paraId="480B35C2" w14:textId="77777777" w:rsidR="00207B98" w:rsidRPr="00840E13" w:rsidRDefault="00207B98" w:rsidP="000738D3">
      <w:pPr>
        <w:numPr>
          <w:ilvl w:val="0"/>
          <w:numId w:val="17"/>
        </w:numPr>
        <w:spacing w:line="240" w:lineRule="auto"/>
        <w:ind w:left="993" w:right="567" w:hanging="284"/>
        <w:jc w:val="both"/>
        <w:rPr>
          <w:rFonts w:ascii="Times New Roman" w:hAnsi="Times New Roman"/>
        </w:rPr>
      </w:pPr>
      <w:r w:rsidRPr="00840E13">
        <w:rPr>
          <w:rFonts w:ascii="Times New Roman" w:hAnsi="Times New Roman"/>
        </w:rPr>
        <w:t xml:space="preserve">la création de 4 zones fiscales distinctes en fonction des caractéristiques géologiques et environnementales ; </w:t>
      </w:r>
    </w:p>
    <w:p w14:paraId="711A24EC" w14:textId="77777777" w:rsidR="00207B98" w:rsidRPr="00840E13" w:rsidRDefault="00207B98" w:rsidP="000738D3">
      <w:pPr>
        <w:numPr>
          <w:ilvl w:val="0"/>
          <w:numId w:val="17"/>
        </w:numPr>
        <w:spacing w:line="240" w:lineRule="auto"/>
        <w:ind w:left="993" w:right="567" w:hanging="284"/>
        <w:jc w:val="both"/>
        <w:rPr>
          <w:rFonts w:ascii="Times New Roman" w:hAnsi="Times New Roman"/>
        </w:rPr>
      </w:pPr>
      <w:r w:rsidRPr="00840E13">
        <w:rPr>
          <w:rFonts w:ascii="Times New Roman" w:hAnsi="Times New Roman"/>
        </w:rPr>
        <w:t>L’harmonisation du régime fiscal et douanier pour toutes les sociétés pétrolières. Cette mesure vient annuler celle de l’ancienne législation qui prévoyait 2 régimes distincts pour les sociétés On shore et les sociétés off-shore ;</w:t>
      </w:r>
    </w:p>
    <w:p w14:paraId="13075C96" w14:textId="77777777" w:rsidR="00207B98" w:rsidRPr="00840E13" w:rsidRDefault="00207B98" w:rsidP="000738D3">
      <w:pPr>
        <w:numPr>
          <w:ilvl w:val="0"/>
          <w:numId w:val="17"/>
        </w:numPr>
        <w:spacing w:line="240" w:lineRule="auto"/>
        <w:ind w:left="993" w:right="567" w:hanging="284"/>
        <w:jc w:val="both"/>
        <w:rPr>
          <w:rFonts w:ascii="Times New Roman" w:hAnsi="Times New Roman"/>
        </w:rPr>
      </w:pPr>
      <w:r w:rsidRPr="00840E13">
        <w:rPr>
          <w:rFonts w:ascii="Times New Roman" w:hAnsi="Times New Roman"/>
        </w:rPr>
        <w:t>l'obligation faite à l’Etat de s'investir dans les travaux de recherche géologique, géophysique et géochimique en vue de l'évaluation de ses ressources en hydrocarbures ;</w:t>
      </w:r>
    </w:p>
    <w:p w14:paraId="1C779ADF" w14:textId="77777777" w:rsidR="00207B98" w:rsidRPr="00840E13" w:rsidRDefault="00207B98" w:rsidP="000738D3">
      <w:pPr>
        <w:numPr>
          <w:ilvl w:val="0"/>
          <w:numId w:val="17"/>
        </w:numPr>
        <w:spacing w:line="240" w:lineRule="auto"/>
        <w:ind w:left="993" w:right="567" w:hanging="284"/>
        <w:jc w:val="both"/>
        <w:rPr>
          <w:rFonts w:ascii="Times New Roman" w:hAnsi="Times New Roman"/>
        </w:rPr>
      </w:pPr>
      <w:r w:rsidRPr="00840E13">
        <w:rPr>
          <w:rFonts w:ascii="Times New Roman" w:hAnsi="Times New Roman"/>
        </w:rPr>
        <w:t>l’affirmation du principe selon lequel les droits d'hydrocarbures régulièrement acquis avant l'entrée en vigueur de la nouvelle loi conservent leurs validités jusqu'à expiration. A leur renouvellement, ils seront régis par les dispositions de la nouvelle loi ;</w:t>
      </w:r>
    </w:p>
    <w:p w14:paraId="337D0F37" w14:textId="77777777" w:rsidR="00207B98" w:rsidRPr="00840E13" w:rsidRDefault="00207B98" w:rsidP="000738D3">
      <w:pPr>
        <w:numPr>
          <w:ilvl w:val="0"/>
          <w:numId w:val="17"/>
        </w:numPr>
        <w:spacing w:line="240" w:lineRule="auto"/>
        <w:ind w:left="993" w:right="567" w:hanging="284"/>
        <w:jc w:val="both"/>
        <w:rPr>
          <w:rFonts w:ascii="Times New Roman" w:hAnsi="Times New Roman"/>
        </w:rPr>
      </w:pPr>
      <w:r w:rsidRPr="00840E13">
        <w:rPr>
          <w:rFonts w:ascii="Times New Roman" w:hAnsi="Times New Roman"/>
        </w:rPr>
        <w:t>l’instauration d'une procédure spécifique d'appel d'offres pour l'attribution des droits d'hydrocarbures différente de la procédure organisant les marchés publics. Cette procédure est régulée et contrôlée par le Conseil des ministres (Gouvernement central) ;</w:t>
      </w:r>
    </w:p>
    <w:p w14:paraId="5FBD7F47" w14:textId="77777777" w:rsidR="00207B98" w:rsidRPr="00840E13" w:rsidRDefault="00207B98" w:rsidP="000738D3">
      <w:pPr>
        <w:numPr>
          <w:ilvl w:val="0"/>
          <w:numId w:val="17"/>
        </w:numPr>
        <w:spacing w:line="240" w:lineRule="auto"/>
        <w:ind w:left="993" w:right="567" w:hanging="284"/>
        <w:jc w:val="both"/>
        <w:rPr>
          <w:rFonts w:ascii="Times New Roman" w:hAnsi="Times New Roman"/>
        </w:rPr>
      </w:pPr>
      <w:r w:rsidRPr="00840E13">
        <w:rPr>
          <w:rFonts w:ascii="Times New Roman" w:hAnsi="Times New Roman"/>
        </w:rPr>
        <w:t xml:space="preserve">la mise en place d’un fonds pour les générations futures. Les ressources du fonds proviennent notamment de la part du profit Oïl de l'Etat ; </w:t>
      </w:r>
    </w:p>
    <w:p w14:paraId="03C8BFE2" w14:textId="77777777" w:rsidR="00207B98" w:rsidRPr="00840E13" w:rsidRDefault="00207B98" w:rsidP="000738D3">
      <w:pPr>
        <w:numPr>
          <w:ilvl w:val="0"/>
          <w:numId w:val="17"/>
        </w:numPr>
        <w:spacing w:line="240" w:lineRule="auto"/>
        <w:ind w:left="993" w:right="567" w:hanging="284"/>
        <w:jc w:val="both"/>
        <w:rPr>
          <w:rFonts w:ascii="Times New Roman" w:hAnsi="Times New Roman"/>
        </w:rPr>
      </w:pPr>
      <w:r w:rsidRPr="00840E13">
        <w:rPr>
          <w:rFonts w:ascii="Times New Roman" w:hAnsi="Times New Roman"/>
        </w:rPr>
        <w:t>la création d’une société nationale (SONAHYDROC) destinée à participer aux activités d’hydrocarbures en amont (avec une participation minimum de 20% non cessible) ;</w:t>
      </w:r>
    </w:p>
    <w:p w14:paraId="4775E298" w14:textId="77777777" w:rsidR="00207B98" w:rsidRPr="00840E13" w:rsidRDefault="00207B98" w:rsidP="000738D3">
      <w:pPr>
        <w:numPr>
          <w:ilvl w:val="0"/>
          <w:numId w:val="17"/>
        </w:numPr>
        <w:spacing w:line="240" w:lineRule="auto"/>
        <w:ind w:left="993" w:right="567" w:hanging="284"/>
        <w:jc w:val="both"/>
        <w:rPr>
          <w:rFonts w:ascii="Times New Roman" w:hAnsi="Times New Roman"/>
        </w:rPr>
      </w:pPr>
      <w:r w:rsidRPr="00840E13">
        <w:rPr>
          <w:rFonts w:ascii="Times New Roman" w:hAnsi="Times New Roman"/>
        </w:rPr>
        <w:t>l'instauration de la règle selon laquelle les droits d'hydrocarbures, en l'occurrence, le droit d'explorer et d'exploiter sont accordés uniquement par voie de contrat, à l'exclusion du permis ;</w:t>
      </w:r>
    </w:p>
    <w:p w14:paraId="1082C27B" w14:textId="77777777" w:rsidR="00207B98" w:rsidRPr="00840E13" w:rsidRDefault="00207B98" w:rsidP="000738D3">
      <w:pPr>
        <w:numPr>
          <w:ilvl w:val="0"/>
          <w:numId w:val="17"/>
        </w:numPr>
        <w:spacing w:after="0" w:line="240" w:lineRule="auto"/>
        <w:ind w:left="993" w:right="567" w:hanging="284"/>
        <w:jc w:val="both"/>
        <w:rPr>
          <w:rFonts w:ascii="Times New Roman" w:hAnsi="Times New Roman"/>
        </w:rPr>
      </w:pPr>
      <w:r w:rsidRPr="00840E13">
        <w:rPr>
          <w:rFonts w:ascii="Times New Roman" w:hAnsi="Times New Roman"/>
        </w:rPr>
        <w:t>la responsabilité sociétale des entreprises pétrolières aux fins d'impliquer ces dernières aux enjeux de développement durable en faveur des populations directement affectées par les travaux pétroliers, à travers des contributions et une provision pour les interventions sociales tant en phase d'exploration qu'en phase d'exploitation ; etc.</w:t>
      </w:r>
    </w:p>
    <w:p w14:paraId="50FF71D3" w14:textId="77777777" w:rsidR="00207B98" w:rsidRPr="00840E13" w:rsidRDefault="00207B98" w:rsidP="00207B98">
      <w:pPr>
        <w:spacing w:after="0" w:line="240" w:lineRule="auto"/>
        <w:ind w:left="1418" w:right="567"/>
        <w:jc w:val="both"/>
        <w:rPr>
          <w:rFonts w:ascii="Times New Roman" w:hAnsi="Times New Roman"/>
        </w:rPr>
      </w:pPr>
      <w:r w:rsidRPr="00840E13">
        <w:rPr>
          <w:rFonts w:ascii="Times New Roman" w:hAnsi="Times New Roman"/>
        </w:rPr>
        <w:t xml:space="preserve"> </w:t>
      </w:r>
    </w:p>
    <w:p w14:paraId="72BE9EF7" w14:textId="4BD38D85" w:rsidR="00207B98" w:rsidRPr="00F93418" w:rsidRDefault="00207B98" w:rsidP="00F077D5">
      <w:pPr>
        <w:pStyle w:val="Titre2"/>
        <w:spacing w:line="276" w:lineRule="auto"/>
        <w:rPr>
          <w:rFonts w:ascii="Times New Roman" w:hAnsi="Times New Roman" w:cs="Times New Roman"/>
          <w:sz w:val="24"/>
          <w:szCs w:val="24"/>
        </w:rPr>
      </w:pPr>
      <w:bookmarkStart w:id="64" w:name="_Toc515589773"/>
      <w:bookmarkStart w:id="65" w:name="_Toc515792936"/>
      <w:bookmarkStart w:id="66" w:name="_Toc515793175"/>
      <w:bookmarkStart w:id="67" w:name="_Toc518135488"/>
      <w:bookmarkStart w:id="68" w:name="_Toc518468059"/>
      <w:r w:rsidRPr="00F93418">
        <w:rPr>
          <w:rFonts w:ascii="Times New Roman" w:hAnsi="Times New Roman" w:cs="Times New Roman"/>
          <w:sz w:val="24"/>
          <w:szCs w:val="24"/>
        </w:rPr>
        <w:lastRenderedPageBreak/>
        <w:t xml:space="preserve">I.2. </w:t>
      </w:r>
      <w:r w:rsidR="00AA5F3F" w:rsidRPr="00F93418">
        <w:rPr>
          <w:rFonts w:ascii="Times New Roman" w:hAnsi="Times New Roman" w:cs="Times New Roman"/>
          <w:caps w:val="0"/>
          <w:sz w:val="24"/>
          <w:szCs w:val="24"/>
        </w:rPr>
        <w:t xml:space="preserve">Cadre légal et régime fiscal applicables aux industries </w:t>
      </w:r>
      <w:bookmarkEnd w:id="64"/>
      <w:bookmarkEnd w:id="65"/>
      <w:bookmarkEnd w:id="66"/>
      <w:bookmarkEnd w:id="67"/>
      <w:r w:rsidR="00AA5F3F" w:rsidRPr="00F93418">
        <w:rPr>
          <w:rFonts w:ascii="Times New Roman" w:hAnsi="Times New Roman" w:cs="Times New Roman"/>
          <w:caps w:val="0"/>
          <w:sz w:val="24"/>
          <w:szCs w:val="24"/>
        </w:rPr>
        <w:t>minières</w:t>
      </w:r>
      <w:bookmarkEnd w:id="68"/>
    </w:p>
    <w:p w14:paraId="15E5587A" w14:textId="77777777" w:rsidR="00207B98" w:rsidRPr="006443D7" w:rsidRDefault="00207B98" w:rsidP="006443D7">
      <w:pPr>
        <w:pStyle w:val="Titre3"/>
        <w:rPr>
          <w:rFonts w:ascii="Times New Roman" w:hAnsi="Times New Roman" w:cs="Times New Roman"/>
          <w:sz w:val="24"/>
          <w:szCs w:val="24"/>
        </w:rPr>
      </w:pPr>
      <w:bookmarkStart w:id="69" w:name="_Toc515589774"/>
      <w:bookmarkStart w:id="70" w:name="_Toc515792937"/>
      <w:bookmarkStart w:id="71" w:name="_Toc515793176"/>
      <w:bookmarkStart w:id="72" w:name="_Toc518135489"/>
      <w:bookmarkStart w:id="73" w:name="_Toc518468060"/>
      <w:r w:rsidRPr="006443D7">
        <w:rPr>
          <w:rFonts w:ascii="Times New Roman" w:hAnsi="Times New Roman" w:cs="Times New Roman"/>
          <w:sz w:val="24"/>
          <w:szCs w:val="24"/>
        </w:rPr>
        <w:t>I.2.1. Cadre légal et aperçu des lois et règlements en vigueur</w:t>
      </w:r>
      <w:bookmarkEnd w:id="69"/>
      <w:bookmarkEnd w:id="70"/>
      <w:bookmarkEnd w:id="71"/>
      <w:bookmarkEnd w:id="72"/>
      <w:bookmarkEnd w:id="73"/>
    </w:p>
    <w:p w14:paraId="1A8005C8" w14:textId="77777777" w:rsidR="00207B98" w:rsidRPr="00F077D5" w:rsidRDefault="00207B98" w:rsidP="00F077D5">
      <w:pPr>
        <w:spacing w:line="276" w:lineRule="auto"/>
        <w:ind w:right="567"/>
        <w:jc w:val="both"/>
        <w:rPr>
          <w:rFonts w:ascii="Times New Roman" w:hAnsi="Times New Roman"/>
          <w:sz w:val="24"/>
          <w:szCs w:val="24"/>
        </w:rPr>
      </w:pPr>
      <w:r w:rsidRPr="00F077D5">
        <w:rPr>
          <w:rFonts w:ascii="Times New Roman" w:hAnsi="Times New Roman"/>
          <w:sz w:val="24"/>
          <w:szCs w:val="24"/>
        </w:rPr>
        <w:t xml:space="preserve">Le Secteur minier congolais est régi par la </w:t>
      </w:r>
      <w:r w:rsidRPr="00F077D5">
        <w:rPr>
          <w:rFonts w:ascii="Times New Roman" w:hAnsi="Times New Roman"/>
          <w:b/>
          <w:i/>
          <w:sz w:val="24"/>
          <w:szCs w:val="24"/>
        </w:rPr>
        <w:t>Loi n°007 du 11 juillet 2002</w:t>
      </w:r>
      <w:r w:rsidRPr="00F077D5">
        <w:rPr>
          <w:rFonts w:ascii="Times New Roman" w:hAnsi="Times New Roman"/>
          <w:sz w:val="24"/>
          <w:szCs w:val="24"/>
        </w:rPr>
        <w:t xml:space="preserve"> portant Code Minier (CM), telle que modifiée et complétée par la </w:t>
      </w:r>
      <w:r w:rsidRPr="00F077D5">
        <w:rPr>
          <w:rFonts w:ascii="Times New Roman" w:hAnsi="Times New Roman"/>
          <w:b/>
          <w:i/>
          <w:sz w:val="24"/>
          <w:szCs w:val="24"/>
        </w:rPr>
        <w:t>Loi n°18/001 du 09 mars 2018</w:t>
      </w:r>
      <w:r w:rsidRPr="00F077D5">
        <w:rPr>
          <w:rFonts w:ascii="Times New Roman" w:hAnsi="Times New Roman"/>
          <w:sz w:val="24"/>
          <w:szCs w:val="24"/>
        </w:rPr>
        <w:t xml:space="preserve">. </w:t>
      </w:r>
    </w:p>
    <w:p w14:paraId="3C6A8BBE" w14:textId="77777777" w:rsidR="00207B98" w:rsidRPr="00F077D5" w:rsidRDefault="00207B98" w:rsidP="00F077D5">
      <w:pPr>
        <w:spacing w:line="276" w:lineRule="auto"/>
        <w:ind w:right="567"/>
        <w:jc w:val="both"/>
        <w:rPr>
          <w:rFonts w:ascii="Times New Roman" w:hAnsi="Times New Roman"/>
          <w:sz w:val="24"/>
          <w:szCs w:val="24"/>
        </w:rPr>
      </w:pPr>
      <w:r w:rsidRPr="00F077D5">
        <w:rPr>
          <w:rFonts w:ascii="Times New Roman" w:hAnsi="Times New Roman"/>
          <w:sz w:val="24"/>
          <w:szCs w:val="24"/>
        </w:rPr>
        <w:t xml:space="preserve">Cette loi est mise en application par le </w:t>
      </w:r>
      <w:r w:rsidRPr="00F077D5">
        <w:rPr>
          <w:rFonts w:ascii="Times New Roman" w:hAnsi="Times New Roman"/>
          <w:b/>
          <w:i/>
          <w:sz w:val="24"/>
          <w:szCs w:val="24"/>
        </w:rPr>
        <w:t>Décret n°038/2003 du 26 mars 2003</w:t>
      </w:r>
      <w:r w:rsidRPr="00F077D5">
        <w:rPr>
          <w:rFonts w:ascii="Times New Roman" w:hAnsi="Times New Roman"/>
          <w:sz w:val="24"/>
          <w:szCs w:val="24"/>
        </w:rPr>
        <w:t xml:space="preserve"> portant Règlement minier ainsi que par divers arrêtés ministériels et interministériels. Néanmoins, une Commission multipartite convoquée par le Ministre des Mines et composée des représentants du Gouvernement, des entreprises et des organisations de la Société civile a révisé le Décret n°038/2003 du 26 mars 2003 portant Règlement minier, et un projet de décret déposé sur la table du Premier Ministre pour signature attend d’être publié.</w:t>
      </w:r>
    </w:p>
    <w:p w14:paraId="5E7FD9CE" w14:textId="77777777" w:rsidR="00207B98" w:rsidRPr="00F077D5" w:rsidRDefault="00207B98" w:rsidP="00F077D5">
      <w:pPr>
        <w:spacing w:line="276" w:lineRule="auto"/>
        <w:ind w:right="567"/>
        <w:jc w:val="both"/>
        <w:rPr>
          <w:rFonts w:ascii="Times New Roman" w:hAnsi="Times New Roman"/>
          <w:sz w:val="24"/>
          <w:szCs w:val="24"/>
        </w:rPr>
      </w:pPr>
      <w:r w:rsidRPr="00F077D5">
        <w:rPr>
          <w:rFonts w:ascii="Times New Roman" w:hAnsi="Times New Roman"/>
          <w:sz w:val="24"/>
          <w:szCs w:val="24"/>
        </w:rPr>
        <w:t>Au regard de la mise en œuvre du processus ITIE en RDC, il y a lieu de mentionner une avancée remarquable en ce que le Code Minier intègre désormais la définition de la « </w:t>
      </w:r>
      <w:r w:rsidRPr="00F077D5">
        <w:rPr>
          <w:rFonts w:ascii="Times New Roman" w:hAnsi="Times New Roman"/>
          <w:b/>
          <w:sz w:val="24"/>
          <w:szCs w:val="24"/>
        </w:rPr>
        <w:t>Traçabilité</w:t>
      </w:r>
      <w:r w:rsidRPr="00F077D5">
        <w:rPr>
          <w:rFonts w:ascii="Times New Roman" w:hAnsi="Times New Roman"/>
          <w:sz w:val="24"/>
          <w:szCs w:val="24"/>
        </w:rPr>
        <w:t> » et celle de la « </w:t>
      </w:r>
      <w:r w:rsidRPr="00F077D5">
        <w:rPr>
          <w:rFonts w:ascii="Times New Roman" w:hAnsi="Times New Roman"/>
          <w:b/>
          <w:sz w:val="24"/>
          <w:szCs w:val="24"/>
        </w:rPr>
        <w:t>Transparence</w:t>
      </w:r>
      <w:r w:rsidRPr="00F077D5">
        <w:rPr>
          <w:rFonts w:ascii="Times New Roman" w:hAnsi="Times New Roman"/>
          <w:sz w:val="24"/>
          <w:szCs w:val="24"/>
        </w:rPr>
        <w:t xml:space="preserve"> ». Bien plus, il sanctionne d’une amende sévère toute entrave à la transparence et à la traçabilité dans l’industrie minière. </w:t>
      </w:r>
    </w:p>
    <w:p w14:paraId="69D38F3F" w14:textId="77777777" w:rsidR="00207B98" w:rsidRPr="00F077D5" w:rsidRDefault="00207B98" w:rsidP="00F077D5">
      <w:pPr>
        <w:spacing w:line="276" w:lineRule="auto"/>
        <w:ind w:right="567"/>
        <w:jc w:val="both"/>
        <w:rPr>
          <w:rFonts w:ascii="Times New Roman" w:hAnsi="Times New Roman"/>
          <w:sz w:val="24"/>
          <w:szCs w:val="24"/>
        </w:rPr>
      </w:pPr>
      <w:r w:rsidRPr="00F077D5">
        <w:rPr>
          <w:rFonts w:ascii="Times New Roman" w:hAnsi="Times New Roman"/>
          <w:sz w:val="24"/>
          <w:szCs w:val="24"/>
        </w:rPr>
        <w:t xml:space="preserve">En effet, il définit la traçabilité comme suit : </w:t>
      </w:r>
      <w:r w:rsidRPr="00F077D5">
        <w:rPr>
          <w:rFonts w:ascii="Times New Roman" w:hAnsi="Times New Roman"/>
          <w:b/>
          <w:i/>
          <w:sz w:val="24"/>
          <w:szCs w:val="24"/>
        </w:rPr>
        <w:t>« Mécanisme mis en place pour assurer le suivi des étapes de la filière de production minière et de flux financiers subséquents depuis le site d’extraction des produits miniers jusqu’à leur exportation en passant par leur détention, transport, commercialisation, traitement et/ou transformation »</w:t>
      </w:r>
      <w:r w:rsidRPr="00F077D5">
        <w:rPr>
          <w:rFonts w:ascii="Times New Roman" w:hAnsi="Times New Roman"/>
          <w:sz w:val="24"/>
          <w:szCs w:val="24"/>
        </w:rPr>
        <w:t xml:space="preserve"> (Article 1</w:t>
      </w:r>
      <w:r w:rsidRPr="00F077D5">
        <w:rPr>
          <w:rFonts w:ascii="Times New Roman" w:hAnsi="Times New Roman"/>
          <w:sz w:val="24"/>
          <w:szCs w:val="24"/>
          <w:vertAlign w:val="superscript"/>
        </w:rPr>
        <w:t>er</w:t>
      </w:r>
      <w:r w:rsidRPr="00F077D5">
        <w:rPr>
          <w:rFonts w:ascii="Times New Roman" w:hAnsi="Times New Roman"/>
          <w:sz w:val="24"/>
          <w:szCs w:val="24"/>
        </w:rPr>
        <w:t>, alinéa 53bis).</w:t>
      </w:r>
    </w:p>
    <w:p w14:paraId="742B54CD" w14:textId="77777777" w:rsidR="00207B98" w:rsidRPr="00F077D5" w:rsidRDefault="00207B98" w:rsidP="00F077D5">
      <w:pPr>
        <w:spacing w:line="276" w:lineRule="auto"/>
        <w:ind w:right="567"/>
        <w:jc w:val="both"/>
        <w:rPr>
          <w:rFonts w:ascii="Times New Roman" w:hAnsi="Times New Roman"/>
          <w:sz w:val="24"/>
          <w:szCs w:val="24"/>
        </w:rPr>
      </w:pPr>
      <w:r w:rsidRPr="00F077D5">
        <w:rPr>
          <w:rFonts w:ascii="Times New Roman" w:hAnsi="Times New Roman"/>
          <w:sz w:val="24"/>
          <w:szCs w:val="24"/>
        </w:rPr>
        <w:t xml:space="preserve">La définition qu’il donne à la transparence est la suivante : </w:t>
      </w:r>
      <w:r w:rsidRPr="00F077D5">
        <w:rPr>
          <w:rFonts w:ascii="Times New Roman" w:hAnsi="Times New Roman"/>
          <w:b/>
          <w:i/>
          <w:sz w:val="24"/>
          <w:szCs w:val="24"/>
        </w:rPr>
        <w:t xml:space="preserve">« Ensemble de règles, mécanismes et pratiques rendant obligatoires les déclarations et les publications, de la part de l’Etat et des entreprises extractives, en particulier celles de l’industrie minière, des revenus et paiements de tout   genre, comprenant, notamment les revenus des exploitations et des transactions minières, la publication des statistiques de production et de vente, la publication  des contrats et la divulgation des propriétaires réels des actifs miniers ainsi que les données sur l’allocation des ressources provenant du secteur minier. Elle s’étend également au respect des obligations de procédures d’acquisition et d’aliénation des droits miniers » </w:t>
      </w:r>
      <w:r w:rsidRPr="00F077D5">
        <w:rPr>
          <w:rFonts w:ascii="Times New Roman" w:hAnsi="Times New Roman"/>
          <w:sz w:val="24"/>
          <w:szCs w:val="24"/>
        </w:rPr>
        <w:t>(Article 1</w:t>
      </w:r>
      <w:r w:rsidRPr="00F077D5">
        <w:rPr>
          <w:rFonts w:ascii="Times New Roman" w:hAnsi="Times New Roman"/>
          <w:sz w:val="24"/>
          <w:szCs w:val="24"/>
          <w:vertAlign w:val="superscript"/>
        </w:rPr>
        <w:t>er</w:t>
      </w:r>
      <w:r w:rsidRPr="00F077D5">
        <w:rPr>
          <w:rFonts w:ascii="Times New Roman" w:hAnsi="Times New Roman"/>
          <w:sz w:val="24"/>
          <w:szCs w:val="24"/>
        </w:rPr>
        <w:t>, alinéa 54bis).</w:t>
      </w:r>
    </w:p>
    <w:p w14:paraId="3D613269" w14:textId="2203AB68" w:rsidR="00207B98" w:rsidRPr="00F077D5" w:rsidRDefault="00207B98" w:rsidP="00F077D5">
      <w:pPr>
        <w:spacing w:line="276" w:lineRule="auto"/>
        <w:ind w:right="567"/>
        <w:jc w:val="both"/>
        <w:rPr>
          <w:rFonts w:ascii="Times New Roman" w:hAnsi="Times New Roman"/>
          <w:sz w:val="24"/>
          <w:szCs w:val="24"/>
        </w:rPr>
      </w:pPr>
      <w:r w:rsidRPr="00F077D5">
        <w:rPr>
          <w:rFonts w:ascii="Times New Roman" w:hAnsi="Times New Roman"/>
          <w:sz w:val="24"/>
          <w:szCs w:val="24"/>
        </w:rPr>
        <w:t xml:space="preserve">En ce </w:t>
      </w:r>
      <w:r w:rsidR="0004223F">
        <w:rPr>
          <w:rFonts w:ascii="Times New Roman" w:hAnsi="Times New Roman"/>
          <w:sz w:val="24"/>
          <w:szCs w:val="24"/>
        </w:rPr>
        <w:t xml:space="preserve">qui </w:t>
      </w:r>
      <w:r w:rsidRPr="00F077D5">
        <w:rPr>
          <w:rFonts w:ascii="Times New Roman" w:hAnsi="Times New Roman"/>
          <w:sz w:val="24"/>
          <w:szCs w:val="24"/>
        </w:rPr>
        <w:t xml:space="preserve">concerne les entraves à la transparence et à la traçabilité dans l’industrie minière, l’article 311 quater du Code Minier dispose : « Est passible d’une amende dont le montant s’élève à l’équivalent en francs congolais de </w:t>
      </w:r>
      <w:r w:rsidRPr="00F077D5">
        <w:rPr>
          <w:rFonts w:ascii="Times New Roman" w:hAnsi="Times New Roman"/>
          <w:b/>
          <w:sz w:val="24"/>
          <w:szCs w:val="24"/>
        </w:rPr>
        <w:t>100.000</w:t>
      </w:r>
      <w:r w:rsidRPr="00F077D5">
        <w:rPr>
          <w:rFonts w:ascii="Times New Roman" w:hAnsi="Times New Roman"/>
          <w:sz w:val="24"/>
          <w:szCs w:val="24"/>
        </w:rPr>
        <w:t xml:space="preserve"> à </w:t>
      </w:r>
      <w:r w:rsidRPr="00F077D5">
        <w:rPr>
          <w:rFonts w:ascii="Times New Roman" w:hAnsi="Times New Roman"/>
          <w:b/>
          <w:sz w:val="24"/>
          <w:szCs w:val="24"/>
        </w:rPr>
        <w:t>1.000.000 USD</w:t>
      </w:r>
      <w:r w:rsidRPr="00F077D5">
        <w:rPr>
          <w:rFonts w:ascii="Times New Roman" w:hAnsi="Times New Roman"/>
          <w:sz w:val="24"/>
          <w:szCs w:val="24"/>
        </w:rPr>
        <w:t>, quiconque, par tout acte, tout accord, toute convention, tout arrangement ou tout autre fait, entrave à la transparence et à la traçabilité dans l’industrie minière ».Il importe de noter également qu’à sa publication, le Règlement minier apportera plus d’éléments d’intégration des principes et critères de l’ITIE dans la législation congolaise.</w:t>
      </w:r>
    </w:p>
    <w:p w14:paraId="54D7BC63" w14:textId="77777777" w:rsidR="00207B98" w:rsidRPr="00F077D5" w:rsidRDefault="00207B98" w:rsidP="00F077D5">
      <w:pPr>
        <w:spacing w:line="276" w:lineRule="auto"/>
        <w:ind w:right="567"/>
        <w:jc w:val="both"/>
        <w:rPr>
          <w:rFonts w:ascii="Times New Roman" w:hAnsi="Times New Roman"/>
          <w:sz w:val="24"/>
          <w:szCs w:val="24"/>
        </w:rPr>
      </w:pPr>
      <w:r w:rsidRPr="00F077D5">
        <w:rPr>
          <w:rFonts w:ascii="Times New Roman" w:hAnsi="Times New Roman"/>
          <w:sz w:val="24"/>
          <w:szCs w:val="24"/>
        </w:rPr>
        <w:t xml:space="preserve">Les dispositions du Code s’appliquent, dans leur intégralité et dans leur ensemble, aux opérations de recherches, d’exploitation industrielle, semi-industrielle et artisanale ainsi que de traitement, de stockage, de détention, de transport, de commercialisation et d’exportation des substances minérales. </w:t>
      </w:r>
    </w:p>
    <w:p w14:paraId="7362FE6C" w14:textId="77777777" w:rsidR="00207B98" w:rsidRPr="00F077D5" w:rsidRDefault="00207B98" w:rsidP="00F077D5">
      <w:pPr>
        <w:spacing w:line="276" w:lineRule="auto"/>
        <w:ind w:right="567"/>
        <w:jc w:val="both"/>
        <w:rPr>
          <w:rFonts w:ascii="Times New Roman" w:hAnsi="Times New Roman"/>
          <w:sz w:val="24"/>
          <w:szCs w:val="24"/>
        </w:rPr>
      </w:pPr>
      <w:r w:rsidRPr="00F077D5">
        <w:rPr>
          <w:rFonts w:ascii="Times New Roman" w:hAnsi="Times New Roman"/>
          <w:sz w:val="24"/>
          <w:szCs w:val="24"/>
        </w:rPr>
        <w:lastRenderedPageBreak/>
        <w:t xml:space="preserve">Les activités de transformation des substances minérales et des produits des carrières extraits ou traités, effectuées par une personne autre que le titulaire d’un droit minier ou de carrière d’exploitation, sont régies par la législation et la réglementation générale sur l’industrie. </w:t>
      </w:r>
    </w:p>
    <w:p w14:paraId="37C77AFB" w14:textId="77777777" w:rsidR="00207B98" w:rsidRPr="00F077D5" w:rsidRDefault="00207B98" w:rsidP="00F077D5">
      <w:pPr>
        <w:spacing w:line="240" w:lineRule="auto"/>
        <w:ind w:right="567"/>
        <w:jc w:val="both"/>
        <w:rPr>
          <w:rFonts w:ascii="Times New Roman" w:hAnsi="Times New Roman"/>
          <w:sz w:val="24"/>
          <w:szCs w:val="24"/>
        </w:rPr>
      </w:pPr>
      <w:r w:rsidRPr="00F077D5">
        <w:rPr>
          <w:rFonts w:ascii="Times New Roman" w:hAnsi="Times New Roman"/>
          <w:sz w:val="24"/>
          <w:szCs w:val="24"/>
        </w:rPr>
        <w:t xml:space="preserve">En plus du Code Minier, d'autres textes légaux et règlementaires contiennent des dispositions relatives au secteur minier. </w:t>
      </w:r>
    </w:p>
    <w:p w14:paraId="7AC5D1DC" w14:textId="77777777" w:rsidR="00207B98" w:rsidRPr="00F077D5" w:rsidRDefault="00207B98" w:rsidP="00F077D5">
      <w:pPr>
        <w:spacing w:line="240" w:lineRule="auto"/>
        <w:ind w:right="567"/>
        <w:jc w:val="both"/>
        <w:rPr>
          <w:rFonts w:ascii="Times New Roman" w:hAnsi="Times New Roman"/>
          <w:sz w:val="24"/>
          <w:szCs w:val="24"/>
        </w:rPr>
      </w:pPr>
      <w:r w:rsidRPr="00F077D5">
        <w:rPr>
          <w:rFonts w:ascii="Times New Roman" w:hAnsi="Times New Roman"/>
          <w:sz w:val="24"/>
          <w:szCs w:val="24"/>
        </w:rPr>
        <w:t>Les principaux sont :</w:t>
      </w:r>
    </w:p>
    <w:p w14:paraId="1210ED98" w14:textId="77777777" w:rsidR="00207B98" w:rsidRPr="00840E13"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rPr>
        <w:t xml:space="preserve">le </w:t>
      </w:r>
      <w:r w:rsidRPr="00840E13">
        <w:rPr>
          <w:rFonts w:ascii="Times New Roman" w:hAnsi="Times New Roman"/>
          <w:b/>
          <w:i/>
        </w:rPr>
        <w:t>Code des Impôts</w:t>
      </w:r>
      <w:r w:rsidRPr="00840E13">
        <w:rPr>
          <w:rFonts w:ascii="Times New Roman" w:hAnsi="Times New Roman"/>
        </w:rPr>
        <w:t xml:space="preserve"> ;</w:t>
      </w:r>
    </w:p>
    <w:p w14:paraId="2E779FAF" w14:textId="77777777" w:rsidR="00207B98" w:rsidRPr="00840E13"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rPr>
        <w:t xml:space="preserve">le </w:t>
      </w:r>
      <w:r w:rsidRPr="00840E13">
        <w:rPr>
          <w:rFonts w:ascii="Times New Roman" w:hAnsi="Times New Roman"/>
          <w:b/>
          <w:i/>
        </w:rPr>
        <w:t>Code des Douanes</w:t>
      </w:r>
      <w:r w:rsidRPr="00840E13">
        <w:rPr>
          <w:rFonts w:ascii="Times New Roman" w:hAnsi="Times New Roman"/>
        </w:rPr>
        <w:t xml:space="preserve"> ;</w:t>
      </w:r>
    </w:p>
    <w:p w14:paraId="3E35D0A5" w14:textId="77777777" w:rsidR="00207B98" w:rsidRPr="00840E13"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rPr>
        <w:t xml:space="preserve">la </w:t>
      </w:r>
      <w:r w:rsidRPr="00840E13">
        <w:rPr>
          <w:rFonts w:ascii="Times New Roman" w:hAnsi="Times New Roman"/>
          <w:b/>
          <w:i/>
        </w:rPr>
        <w:t>Loi n°03/003 du 28 février 2013</w:t>
      </w:r>
      <w:r w:rsidRPr="00840E13">
        <w:rPr>
          <w:rFonts w:ascii="Times New Roman" w:hAnsi="Times New Roman"/>
        </w:rPr>
        <w:t xml:space="preserve"> fixant la nomenclature des actes générateurs des Recettes Administratives, Judiciaires, Domaniales et de Participations ainsi que leurs modalités de perception ;</w:t>
      </w:r>
    </w:p>
    <w:p w14:paraId="31921C24" w14:textId="77777777" w:rsidR="00207B98" w:rsidRPr="00840E13"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b/>
          <w:i/>
        </w:rPr>
        <w:t xml:space="preserve">l’Ordonnance-Loi n° 10/001 du 20 août 2010 </w:t>
      </w:r>
      <w:r w:rsidRPr="00840E13">
        <w:rPr>
          <w:rFonts w:ascii="Times New Roman" w:hAnsi="Times New Roman"/>
        </w:rPr>
        <w:t>portant institution de la Taxe sur la Valeur Ajoutée, telle que modifiée et complétée par l’O.L. n°13/007 du 23/02/2013 ;</w:t>
      </w:r>
    </w:p>
    <w:p w14:paraId="4D4E4E85" w14:textId="77777777" w:rsidR="00207B98" w:rsidRPr="00840E13"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rPr>
        <w:t xml:space="preserve">la </w:t>
      </w:r>
      <w:r w:rsidRPr="00840E13">
        <w:rPr>
          <w:rFonts w:ascii="Times New Roman" w:hAnsi="Times New Roman"/>
          <w:b/>
          <w:i/>
        </w:rPr>
        <w:t>Loi n°11/009 du 09 juillet 2011</w:t>
      </w:r>
      <w:r w:rsidRPr="00840E13">
        <w:rPr>
          <w:rFonts w:ascii="Times New Roman" w:hAnsi="Times New Roman"/>
        </w:rPr>
        <w:t xml:space="preserve"> portant principes fondamentaux relatifs à la protection de l’environnement ;</w:t>
      </w:r>
    </w:p>
    <w:p w14:paraId="50271C0F" w14:textId="77777777" w:rsidR="00207B98" w:rsidRPr="00840E13"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rPr>
        <w:t xml:space="preserve">la </w:t>
      </w:r>
      <w:r w:rsidRPr="00840E13">
        <w:rPr>
          <w:rFonts w:ascii="Times New Roman" w:hAnsi="Times New Roman"/>
          <w:b/>
          <w:i/>
        </w:rPr>
        <w:t>Loi n°08/007 du 07 juillet 2008</w:t>
      </w:r>
      <w:r w:rsidRPr="00840E13">
        <w:rPr>
          <w:rFonts w:ascii="Times New Roman" w:hAnsi="Times New Roman"/>
        </w:rPr>
        <w:t xml:space="preserve"> portant dispositions générales relatives à la transformation des entreprises publiques ;</w:t>
      </w:r>
    </w:p>
    <w:p w14:paraId="076C39D4" w14:textId="77777777" w:rsidR="00207B98" w:rsidRPr="00840E13"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rPr>
        <w:t xml:space="preserve">la </w:t>
      </w:r>
      <w:r w:rsidRPr="00840E13">
        <w:rPr>
          <w:rFonts w:ascii="Times New Roman" w:hAnsi="Times New Roman"/>
          <w:b/>
          <w:i/>
        </w:rPr>
        <w:t>Loi n°08/008 du 07 juillet 2008</w:t>
      </w:r>
      <w:r w:rsidRPr="00840E13">
        <w:rPr>
          <w:rFonts w:ascii="Times New Roman" w:hAnsi="Times New Roman"/>
        </w:rPr>
        <w:t xml:space="preserve"> portant dispositions générales relatives au désengagement de l’Etat des entreprises du Portefeuille ;</w:t>
      </w:r>
    </w:p>
    <w:p w14:paraId="5DF32D57" w14:textId="77777777" w:rsidR="00207B98" w:rsidRPr="00840E13"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rPr>
        <w:t xml:space="preserve">la </w:t>
      </w:r>
      <w:r w:rsidRPr="00840E13">
        <w:rPr>
          <w:rFonts w:ascii="Times New Roman" w:hAnsi="Times New Roman"/>
          <w:b/>
          <w:i/>
        </w:rPr>
        <w:t>Loi n°08/009 du 7 juillet 2008</w:t>
      </w:r>
      <w:r w:rsidRPr="00840E13">
        <w:rPr>
          <w:rFonts w:ascii="Times New Roman" w:hAnsi="Times New Roman"/>
        </w:rPr>
        <w:t xml:space="preserve"> portant dispositions générales applicables aux établissements publics ;</w:t>
      </w:r>
    </w:p>
    <w:p w14:paraId="551F4CB4" w14:textId="77777777" w:rsidR="00207B98" w:rsidRPr="00840E13"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rPr>
        <w:t xml:space="preserve">la </w:t>
      </w:r>
      <w:r w:rsidRPr="00840E13">
        <w:rPr>
          <w:rFonts w:ascii="Times New Roman" w:hAnsi="Times New Roman"/>
          <w:b/>
          <w:i/>
        </w:rPr>
        <w:t>Loi n°08/010 du 7 juillet 2008</w:t>
      </w:r>
      <w:r w:rsidRPr="00840E13">
        <w:rPr>
          <w:rFonts w:ascii="Times New Roman" w:hAnsi="Times New Roman"/>
        </w:rPr>
        <w:t xml:space="preserve"> fixant les règles relatives à l’organisation et à la gestion du Portefeuille de l’Etat ;</w:t>
      </w:r>
    </w:p>
    <w:p w14:paraId="2CCE7706" w14:textId="77777777" w:rsidR="00207B98" w:rsidRPr="00840E13"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rPr>
        <w:t xml:space="preserve">le </w:t>
      </w:r>
      <w:r w:rsidRPr="00840E13">
        <w:rPr>
          <w:rFonts w:ascii="Times New Roman" w:hAnsi="Times New Roman"/>
          <w:b/>
          <w:i/>
        </w:rPr>
        <w:t>Décret n°13/003 du 15 janvier 2013</w:t>
      </w:r>
      <w:r w:rsidRPr="00840E13">
        <w:rPr>
          <w:rFonts w:ascii="Times New Roman" w:hAnsi="Times New Roman"/>
        </w:rPr>
        <w:t xml:space="preserve"> relatif aux conditions et modalités de cession des parts sociales ou actions de l'Etat aux personnes physiques ou morales de nationalité congolaise et/ou aux salariés ;</w:t>
      </w:r>
    </w:p>
    <w:p w14:paraId="07B8EEA9" w14:textId="77777777" w:rsidR="00207B98" w:rsidRPr="00840E13"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rPr>
        <w:t xml:space="preserve">le </w:t>
      </w:r>
      <w:r w:rsidRPr="00840E13">
        <w:rPr>
          <w:rFonts w:ascii="Times New Roman" w:hAnsi="Times New Roman"/>
          <w:b/>
          <w:i/>
        </w:rPr>
        <w:t>Décret n°13/002 du 15 janvier 2013</w:t>
      </w:r>
      <w:r w:rsidRPr="00840E13">
        <w:rPr>
          <w:rFonts w:ascii="Times New Roman" w:hAnsi="Times New Roman"/>
        </w:rPr>
        <w:t xml:space="preserve"> portant organisation de la représentation de l'Etat actionnaire unique au sein de l'Assemblée Générale d'une entreprise publique transformée en société commerciale ;</w:t>
      </w:r>
    </w:p>
    <w:p w14:paraId="5CA875D3" w14:textId="77777777" w:rsidR="00207B98" w:rsidRPr="00840E13"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rPr>
        <w:t xml:space="preserve">la </w:t>
      </w:r>
      <w:r w:rsidRPr="00840E13">
        <w:rPr>
          <w:rFonts w:ascii="Times New Roman" w:hAnsi="Times New Roman"/>
          <w:b/>
          <w:i/>
        </w:rPr>
        <w:t>Loi n° 11/011 du 13 juillet 2011</w:t>
      </w:r>
      <w:r w:rsidRPr="00840E13">
        <w:rPr>
          <w:rFonts w:ascii="Times New Roman" w:hAnsi="Times New Roman"/>
        </w:rPr>
        <w:t xml:space="preserve"> relative aux Finances Publiques ;</w:t>
      </w:r>
    </w:p>
    <w:p w14:paraId="45BD14D7" w14:textId="77777777" w:rsidR="00207B98" w:rsidRPr="00840E13"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rPr>
        <w:t xml:space="preserve">la </w:t>
      </w:r>
      <w:r w:rsidRPr="00840E13">
        <w:rPr>
          <w:rFonts w:ascii="Times New Roman" w:hAnsi="Times New Roman"/>
          <w:b/>
          <w:i/>
        </w:rPr>
        <w:t>Loi n°08/012 du 31 juillet 2008</w:t>
      </w:r>
      <w:r w:rsidRPr="00840E13">
        <w:rPr>
          <w:rFonts w:ascii="Times New Roman" w:hAnsi="Times New Roman"/>
        </w:rPr>
        <w:t xml:space="preserve"> portant principes généraux sur la libre administration des Provinces et des Entités Territoriales Décentralisées ;</w:t>
      </w:r>
    </w:p>
    <w:p w14:paraId="01D5593F" w14:textId="77777777" w:rsidR="00207B98" w:rsidRPr="00840E13"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rPr>
        <w:t>l’</w:t>
      </w:r>
      <w:r w:rsidRPr="00840E13">
        <w:rPr>
          <w:rFonts w:ascii="Times New Roman" w:hAnsi="Times New Roman"/>
          <w:b/>
          <w:i/>
        </w:rPr>
        <w:t>Ordonnance-loi  n° 13/001  du 23 février 2013</w:t>
      </w:r>
      <w:r w:rsidRPr="00840E13">
        <w:rPr>
          <w:rFonts w:ascii="Times New Roman" w:hAnsi="Times New Roman"/>
        </w:rPr>
        <w:t xml:space="preserve"> fixant la nomenclature des impôts, droits,  taxes et redevances  des Provinces et des Entités  Territoriales Décentralisées ainsi que leurs modalités  de répartition ;</w:t>
      </w:r>
    </w:p>
    <w:p w14:paraId="70CD70E5" w14:textId="77777777" w:rsidR="00207B98" w:rsidRPr="00840E13"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rPr>
        <w:t xml:space="preserve">la </w:t>
      </w:r>
      <w:r w:rsidRPr="00840E13">
        <w:rPr>
          <w:rFonts w:ascii="Times New Roman" w:hAnsi="Times New Roman"/>
          <w:b/>
          <w:i/>
        </w:rPr>
        <w:t>Règlementation du Change</w:t>
      </w:r>
      <w:r w:rsidRPr="00840E13">
        <w:rPr>
          <w:rFonts w:ascii="Times New Roman" w:hAnsi="Times New Roman"/>
        </w:rPr>
        <w:t xml:space="preserve"> en République Démocratique du Congo édictée par la Banque Centrale du Congo le 25 mars 2014 ;</w:t>
      </w:r>
    </w:p>
    <w:p w14:paraId="1470E513" w14:textId="77777777" w:rsidR="00207B98"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rPr>
        <w:t xml:space="preserve">la </w:t>
      </w:r>
      <w:r w:rsidRPr="00840E13">
        <w:rPr>
          <w:rFonts w:ascii="Times New Roman" w:hAnsi="Times New Roman"/>
          <w:b/>
          <w:i/>
        </w:rPr>
        <w:t>Loi n°13/005 du 11 février 2014</w:t>
      </w:r>
      <w:r w:rsidRPr="00840E13">
        <w:rPr>
          <w:rFonts w:ascii="Times New Roman" w:hAnsi="Times New Roman"/>
        </w:rPr>
        <w:t xml:space="preserve"> portant régime fiscal, douanier parafiscal des recettes non fiscales et de change applicables aux conventions de collaboration et aux projets de coopération ;</w:t>
      </w:r>
    </w:p>
    <w:p w14:paraId="4A10D940" w14:textId="77777777" w:rsidR="00207B98" w:rsidRPr="00840E13" w:rsidRDefault="00207B98" w:rsidP="00F077D5">
      <w:pPr>
        <w:spacing w:before="240" w:after="0" w:line="240" w:lineRule="auto"/>
        <w:ind w:left="567" w:right="567"/>
        <w:jc w:val="both"/>
        <w:rPr>
          <w:rFonts w:ascii="Times New Roman" w:hAnsi="Times New Roman"/>
        </w:rPr>
      </w:pPr>
      <w:r>
        <w:rPr>
          <w:rFonts w:ascii="Times New Roman" w:hAnsi="Times New Roman"/>
        </w:rPr>
        <w:t xml:space="preserve">Pour la Province de l’ex. Katanga : </w:t>
      </w:r>
    </w:p>
    <w:p w14:paraId="036B53CE" w14:textId="77777777" w:rsidR="00207B98" w:rsidRPr="00840E13"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b/>
          <w:i/>
        </w:rPr>
        <w:t>l’Edit n°0001 du 23 mai 2008</w:t>
      </w:r>
      <w:r w:rsidRPr="00840E13">
        <w:rPr>
          <w:rFonts w:ascii="Times New Roman" w:hAnsi="Times New Roman"/>
        </w:rPr>
        <w:t xml:space="preserve"> portant création de la taxe provinciale d’intervention en matière de réhabilitation des infrastructures urbaines de voirie et drainage ainsi que des routes d’intérêt provincial ;  </w:t>
      </w:r>
    </w:p>
    <w:p w14:paraId="477ABA5C" w14:textId="77777777" w:rsidR="00207B98" w:rsidRDefault="00207B98" w:rsidP="000738D3">
      <w:pPr>
        <w:numPr>
          <w:ilvl w:val="0"/>
          <w:numId w:val="17"/>
        </w:numPr>
        <w:spacing w:line="240" w:lineRule="auto"/>
        <w:ind w:left="567" w:right="567" w:hanging="141"/>
        <w:jc w:val="both"/>
        <w:rPr>
          <w:rFonts w:ascii="Times New Roman" w:hAnsi="Times New Roman"/>
        </w:rPr>
      </w:pPr>
      <w:r w:rsidRPr="00840E13">
        <w:rPr>
          <w:rFonts w:ascii="Times New Roman" w:hAnsi="Times New Roman"/>
        </w:rPr>
        <w:t>l’</w:t>
      </w:r>
      <w:r w:rsidRPr="00840E13">
        <w:rPr>
          <w:rFonts w:ascii="Times New Roman" w:hAnsi="Times New Roman"/>
          <w:b/>
          <w:i/>
        </w:rPr>
        <w:t>Edit n°003 du 16 novembre 2010</w:t>
      </w:r>
      <w:r w:rsidRPr="00840E13">
        <w:rPr>
          <w:rFonts w:ascii="Times New Roman" w:hAnsi="Times New Roman"/>
        </w:rPr>
        <w:t xml:space="preserve"> portant institution de la taxe incitative à la création des unités locales de transformation des concentrés</w:t>
      </w:r>
      <w:r>
        <w:rPr>
          <w:rFonts w:ascii="Times New Roman" w:hAnsi="Times New Roman"/>
        </w:rPr>
        <w:t> ;</w:t>
      </w:r>
    </w:p>
    <w:p w14:paraId="4A4C41EC" w14:textId="77777777" w:rsidR="00207B98" w:rsidRDefault="00207B98" w:rsidP="00F077D5">
      <w:pPr>
        <w:spacing w:after="0" w:line="240" w:lineRule="auto"/>
        <w:ind w:left="567" w:right="567"/>
        <w:jc w:val="both"/>
        <w:rPr>
          <w:rFonts w:ascii="Times New Roman" w:hAnsi="Times New Roman"/>
        </w:rPr>
      </w:pPr>
      <w:r>
        <w:rPr>
          <w:rFonts w:ascii="Times New Roman" w:hAnsi="Times New Roman"/>
        </w:rPr>
        <w:t>Pour la Province du Lualaba :</w:t>
      </w:r>
    </w:p>
    <w:p w14:paraId="6A89E727" w14:textId="77777777" w:rsidR="00207B98" w:rsidRPr="004D2E18" w:rsidRDefault="00207B98" w:rsidP="000738D3">
      <w:pPr>
        <w:numPr>
          <w:ilvl w:val="0"/>
          <w:numId w:val="17"/>
        </w:numPr>
        <w:spacing w:line="240" w:lineRule="auto"/>
        <w:ind w:left="567" w:right="567" w:hanging="141"/>
        <w:jc w:val="both"/>
        <w:rPr>
          <w:rFonts w:ascii="Times New Roman" w:hAnsi="Times New Roman"/>
        </w:rPr>
      </w:pPr>
      <w:r w:rsidRPr="004D2E18">
        <w:rPr>
          <w:rFonts w:ascii="Times New Roman" w:hAnsi="Times New Roman"/>
        </w:rPr>
        <w:t>l’</w:t>
      </w:r>
      <w:r w:rsidRPr="004D2E18">
        <w:rPr>
          <w:rFonts w:ascii="Times New Roman" w:hAnsi="Times New Roman"/>
          <w:b/>
          <w:i/>
        </w:rPr>
        <w:t>Edit N°002 du 7 juillet 2016</w:t>
      </w:r>
      <w:r w:rsidRPr="004D2E18">
        <w:rPr>
          <w:rFonts w:ascii="Times New Roman" w:hAnsi="Times New Roman"/>
        </w:rPr>
        <w:t xml:space="preserve"> portant voirie et drainage</w:t>
      </w:r>
      <w:r>
        <w:rPr>
          <w:rFonts w:ascii="Times New Roman" w:hAnsi="Times New Roman"/>
        </w:rPr>
        <w:t>.</w:t>
      </w:r>
      <w:r w:rsidRPr="004D2E18">
        <w:rPr>
          <w:rFonts w:ascii="Times New Roman" w:hAnsi="Times New Roman"/>
        </w:rPr>
        <w:t xml:space="preserve"> </w:t>
      </w:r>
      <w:r>
        <w:rPr>
          <w:rFonts w:ascii="Times New Roman" w:hAnsi="Times New Roman"/>
        </w:rPr>
        <w:t xml:space="preserve"> </w:t>
      </w:r>
    </w:p>
    <w:p w14:paraId="4775BD00" w14:textId="77777777" w:rsidR="00207B98" w:rsidRPr="006443D7" w:rsidRDefault="00207B98" w:rsidP="006443D7">
      <w:pPr>
        <w:pStyle w:val="Titre3"/>
        <w:rPr>
          <w:rFonts w:ascii="Times New Roman" w:hAnsi="Times New Roman" w:cs="Times New Roman"/>
          <w:sz w:val="24"/>
          <w:szCs w:val="24"/>
        </w:rPr>
      </w:pPr>
      <w:bookmarkStart w:id="74" w:name="_Toc515589775"/>
      <w:bookmarkStart w:id="75" w:name="_Toc515792938"/>
      <w:bookmarkStart w:id="76" w:name="_Toc515793177"/>
      <w:bookmarkStart w:id="77" w:name="_Toc518135490"/>
      <w:bookmarkStart w:id="78" w:name="_Toc518468061"/>
      <w:r w:rsidRPr="006443D7">
        <w:rPr>
          <w:rFonts w:ascii="Times New Roman" w:hAnsi="Times New Roman" w:cs="Times New Roman"/>
          <w:sz w:val="24"/>
          <w:szCs w:val="24"/>
        </w:rPr>
        <w:lastRenderedPageBreak/>
        <w:t>I.2.2. Régime fiscal, douanier et de change du secteur minier</w:t>
      </w:r>
      <w:bookmarkEnd w:id="74"/>
      <w:bookmarkEnd w:id="75"/>
      <w:bookmarkEnd w:id="76"/>
      <w:bookmarkEnd w:id="77"/>
      <w:bookmarkEnd w:id="78"/>
    </w:p>
    <w:p w14:paraId="0AE0902E" w14:textId="01D37E5D" w:rsidR="00207B98" w:rsidRPr="002C1F2C" w:rsidRDefault="00207B98" w:rsidP="00F077D5">
      <w:pPr>
        <w:spacing w:line="276" w:lineRule="auto"/>
        <w:ind w:right="567"/>
        <w:jc w:val="both"/>
        <w:rPr>
          <w:rFonts w:ascii="Times New Roman" w:hAnsi="Times New Roman"/>
          <w:sz w:val="24"/>
          <w:szCs w:val="24"/>
        </w:rPr>
      </w:pPr>
      <w:r w:rsidRPr="002C1F2C">
        <w:rPr>
          <w:rFonts w:ascii="Times New Roman" w:hAnsi="Times New Roman"/>
          <w:sz w:val="24"/>
          <w:szCs w:val="24"/>
        </w:rPr>
        <w:t xml:space="preserve">La </w:t>
      </w:r>
      <w:r w:rsidRPr="002C1F2C">
        <w:rPr>
          <w:rFonts w:ascii="Times New Roman" w:hAnsi="Times New Roman"/>
          <w:b/>
          <w:i/>
          <w:sz w:val="24"/>
          <w:szCs w:val="24"/>
        </w:rPr>
        <w:t>Loi n°007 du 11 juillet 2002</w:t>
      </w:r>
      <w:r w:rsidRPr="002C1F2C">
        <w:rPr>
          <w:rFonts w:ascii="Times New Roman" w:hAnsi="Times New Roman"/>
          <w:sz w:val="24"/>
          <w:szCs w:val="24"/>
        </w:rPr>
        <w:t xml:space="preserve"> portant Code Minier, telle que modifiée et complétée par la </w:t>
      </w:r>
      <w:r w:rsidRPr="002C1F2C">
        <w:rPr>
          <w:rFonts w:ascii="Times New Roman" w:hAnsi="Times New Roman"/>
          <w:b/>
          <w:i/>
          <w:sz w:val="24"/>
          <w:szCs w:val="24"/>
        </w:rPr>
        <w:t>Loi n°18/001 du 09 mars 2018</w:t>
      </w:r>
      <w:r w:rsidRPr="002C1F2C">
        <w:rPr>
          <w:rFonts w:ascii="Times New Roman" w:hAnsi="Times New Roman"/>
          <w:sz w:val="24"/>
          <w:szCs w:val="24"/>
        </w:rPr>
        <w:t xml:space="preserve"> prévoit pour les mines, </w:t>
      </w:r>
      <w:r w:rsidR="0004223F">
        <w:rPr>
          <w:rFonts w:ascii="Times New Roman" w:hAnsi="Times New Roman"/>
          <w:sz w:val="24"/>
          <w:szCs w:val="24"/>
        </w:rPr>
        <w:t xml:space="preserve">un </w:t>
      </w:r>
      <w:r w:rsidRPr="002C1F2C">
        <w:rPr>
          <w:rFonts w:ascii="Times New Roman" w:hAnsi="Times New Roman"/>
          <w:sz w:val="24"/>
          <w:szCs w:val="24"/>
        </w:rPr>
        <w:t>régime fiscal et douanier (Titre IX) et une Règlementation de change (Titre X).</w:t>
      </w:r>
    </w:p>
    <w:p w14:paraId="6407ECC1" w14:textId="77777777" w:rsidR="00207B98" w:rsidRPr="00F93418" w:rsidRDefault="00207B98" w:rsidP="00F077D5">
      <w:pPr>
        <w:spacing w:line="276" w:lineRule="auto"/>
        <w:ind w:right="567"/>
        <w:jc w:val="both"/>
        <w:rPr>
          <w:rFonts w:ascii="Times New Roman" w:hAnsi="Times New Roman"/>
          <w:sz w:val="24"/>
          <w:szCs w:val="24"/>
        </w:rPr>
      </w:pPr>
      <w:r w:rsidRPr="002C1F2C">
        <w:rPr>
          <w:rFonts w:ascii="Times New Roman" w:hAnsi="Times New Roman"/>
          <w:sz w:val="24"/>
          <w:szCs w:val="24"/>
        </w:rPr>
        <w:t>Au regard de l’</w:t>
      </w:r>
      <w:r w:rsidRPr="00052F7B">
        <w:rPr>
          <w:rFonts w:ascii="Times New Roman" w:hAnsi="Times New Roman"/>
          <w:b/>
          <w:sz w:val="24"/>
          <w:szCs w:val="24"/>
        </w:rPr>
        <w:t xml:space="preserve">article 220 </w:t>
      </w:r>
      <w:r w:rsidRPr="002C1F2C">
        <w:rPr>
          <w:rFonts w:ascii="Times New Roman" w:hAnsi="Times New Roman"/>
          <w:sz w:val="24"/>
          <w:szCs w:val="24"/>
        </w:rPr>
        <w:t xml:space="preserve">du Code Minier tel que modifié et complété par la Loi </w:t>
      </w:r>
      <w:r w:rsidRPr="00052F7B">
        <w:rPr>
          <w:rFonts w:ascii="Times New Roman" w:hAnsi="Times New Roman"/>
          <w:i/>
          <w:sz w:val="24"/>
          <w:szCs w:val="24"/>
        </w:rPr>
        <w:t>n°18/001 du 09 mars 2018</w:t>
      </w:r>
      <w:r w:rsidRPr="00052F7B">
        <w:rPr>
          <w:rFonts w:ascii="Times New Roman" w:hAnsi="Times New Roman"/>
          <w:sz w:val="24"/>
          <w:szCs w:val="24"/>
        </w:rPr>
        <w:t>, ce régime est exclusif et exhaustif, outre son caractère uniq</w:t>
      </w:r>
      <w:r w:rsidRPr="00F93418">
        <w:rPr>
          <w:rFonts w:ascii="Times New Roman" w:hAnsi="Times New Roman"/>
          <w:sz w:val="24"/>
          <w:szCs w:val="24"/>
        </w:rPr>
        <w:t>ue et son applicabilité à tous les opérateurs du secteur minier</w:t>
      </w:r>
      <w:r>
        <w:rPr>
          <w:rFonts w:ascii="Times New Roman" w:hAnsi="Times New Roman"/>
          <w:sz w:val="24"/>
          <w:szCs w:val="24"/>
        </w:rPr>
        <w:t>.</w:t>
      </w:r>
    </w:p>
    <w:p w14:paraId="1F12A339" w14:textId="77777777" w:rsidR="00207B98" w:rsidRPr="00F93418" w:rsidRDefault="00207B98" w:rsidP="00F077D5">
      <w:pPr>
        <w:spacing w:line="276" w:lineRule="auto"/>
        <w:ind w:right="567"/>
        <w:jc w:val="both"/>
        <w:rPr>
          <w:rFonts w:ascii="Times New Roman" w:hAnsi="Times New Roman"/>
          <w:sz w:val="24"/>
          <w:szCs w:val="24"/>
        </w:rPr>
      </w:pPr>
      <w:r w:rsidRPr="00F93418">
        <w:rPr>
          <w:rFonts w:ascii="Times New Roman" w:hAnsi="Times New Roman"/>
          <w:sz w:val="24"/>
          <w:szCs w:val="24"/>
        </w:rPr>
        <w:t xml:space="preserve">Son </w:t>
      </w:r>
      <w:r w:rsidRPr="00052F7B">
        <w:rPr>
          <w:rFonts w:ascii="Times New Roman" w:hAnsi="Times New Roman"/>
          <w:b/>
          <w:i/>
          <w:sz w:val="24"/>
          <w:szCs w:val="24"/>
        </w:rPr>
        <w:t>caractère exhaustif</w:t>
      </w:r>
      <w:r w:rsidRPr="00F93418">
        <w:rPr>
          <w:rFonts w:ascii="Times New Roman" w:hAnsi="Times New Roman"/>
          <w:sz w:val="24"/>
          <w:szCs w:val="24"/>
        </w:rPr>
        <w:t xml:space="preserve"> découle de l’énumération limitative par le Code minier de tous les impôts, droits, taxes et redevances perçus par les Régies Financières et les Directions provinciales des recettes.</w:t>
      </w:r>
    </w:p>
    <w:p w14:paraId="290C85E5" w14:textId="77777777" w:rsidR="00207B98" w:rsidRDefault="00207B98" w:rsidP="00F077D5">
      <w:pPr>
        <w:spacing w:line="276" w:lineRule="auto"/>
        <w:ind w:right="567"/>
        <w:jc w:val="both"/>
        <w:rPr>
          <w:rFonts w:ascii="Times New Roman" w:hAnsi="Times New Roman"/>
          <w:sz w:val="24"/>
          <w:szCs w:val="24"/>
        </w:rPr>
      </w:pPr>
      <w:r w:rsidRPr="00F93418">
        <w:rPr>
          <w:rFonts w:ascii="Times New Roman" w:hAnsi="Times New Roman"/>
          <w:sz w:val="24"/>
          <w:szCs w:val="24"/>
        </w:rPr>
        <w:t xml:space="preserve">Quant au </w:t>
      </w:r>
      <w:r w:rsidRPr="00052F7B">
        <w:rPr>
          <w:rFonts w:ascii="Times New Roman" w:hAnsi="Times New Roman"/>
          <w:b/>
          <w:i/>
          <w:sz w:val="24"/>
          <w:szCs w:val="24"/>
        </w:rPr>
        <w:t>caractère exclusif</w:t>
      </w:r>
      <w:r w:rsidRPr="00F93418">
        <w:rPr>
          <w:rFonts w:ascii="Times New Roman" w:hAnsi="Times New Roman"/>
          <w:sz w:val="24"/>
          <w:szCs w:val="24"/>
        </w:rPr>
        <w:t>, il convient de noter que seuls les impôts, taxes, droits, redevances et autres prélèvements parafiscaux perçus tant au profit du Gouvernement qu’à celui des provinces et des entités territoriales décentralisées prévus dans le Code Minier sont applicables au titulaire du droit minier, à l’exclusion de toutes les autres formes d’impositions présentes et à venir prévues dans d’autres textes législatifs et règlementaires. Néanmoins, le Premier ministre peut, par décret délibéré en Conseil des ministres, accorder un certain nombre des mesures incitatives à l’endroit de provinces  souffrant de déficit d’infrastructures pour booster leur essor économique à partir des ressources minières (Article 220 du Code Minier, tel que modifié et complété).</w:t>
      </w:r>
    </w:p>
    <w:p w14:paraId="607960E8" w14:textId="77777777" w:rsidR="00207B98" w:rsidRPr="003E67F7" w:rsidRDefault="00207B98" w:rsidP="00F077D5">
      <w:pPr>
        <w:spacing w:line="276" w:lineRule="auto"/>
        <w:ind w:right="567"/>
        <w:jc w:val="both"/>
        <w:rPr>
          <w:rFonts w:ascii="Times New Roman" w:hAnsi="Times New Roman"/>
          <w:sz w:val="24"/>
          <w:szCs w:val="24"/>
        </w:rPr>
      </w:pPr>
      <w:r w:rsidRPr="003E67F7">
        <w:rPr>
          <w:rFonts w:ascii="Times New Roman" w:hAnsi="Times New Roman"/>
          <w:sz w:val="24"/>
          <w:szCs w:val="24"/>
        </w:rPr>
        <w:t>Dans la pratique cependant, les provinces du Haut Katanga et du Lualaba ont dérogé au principe de l’exhaustivité et de l’exclusivité en instituant des taxes en l’absence d’un décret du Premier Ministre les autorisant à ce</w:t>
      </w:r>
      <w:r>
        <w:rPr>
          <w:rFonts w:ascii="Times New Roman" w:hAnsi="Times New Roman"/>
          <w:sz w:val="24"/>
          <w:szCs w:val="24"/>
        </w:rPr>
        <w:t>t</w:t>
      </w:r>
      <w:r w:rsidRPr="003E67F7">
        <w:rPr>
          <w:rFonts w:ascii="Times New Roman" w:hAnsi="Times New Roman"/>
          <w:sz w:val="24"/>
          <w:szCs w:val="24"/>
        </w:rPr>
        <w:t xml:space="preserve"> </w:t>
      </w:r>
      <w:r>
        <w:rPr>
          <w:rFonts w:ascii="Times New Roman" w:hAnsi="Times New Roman"/>
          <w:sz w:val="24"/>
          <w:szCs w:val="24"/>
        </w:rPr>
        <w:t>effet</w:t>
      </w:r>
      <w:r w:rsidRPr="003E67F7">
        <w:rPr>
          <w:rFonts w:ascii="Times New Roman" w:hAnsi="Times New Roman"/>
          <w:sz w:val="24"/>
          <w:szCs w:val="24"/>
        </w:rPr>
        <w:t>.</w:t>
      </w:r>
    </w:p>
    <w:p w14:paraId="2B877F65" w14:textId="77777777" w:rsidR="00207B98" w:rsidRPr="00F93418" w:rsidRDefault="00207B98" w:rsidP="00F077D5">
      <w:pPr>
        <w:spacing w:line="276" w:lineRule="auto"/>
        <w:ind w:right="567"/>
        <w:jc w:val="both"/>
        <w:rPr>
          <w:rFonts w:ascii="Times New Roman" w:hAnsi="Times New Roman"/>
          <w:sz w:val="24"/>
          <w:szCs w:val="24"/>
        </w:rPr>
      </w:pPr>
      <w:r w:rsidRPr="00F93418">
        <w:rPr>
          <w:rFonts w:ascii="Times New Roman" w:hAnsi="Times New Roman"/>
          <w:sz w:val="24"/>
          <w:szCs w:val="24"/>
        </w:rPr>
        <w:t xml:space="preserve">Le Code Minier assure la stabilité du régime fiscal et douanier </w:t>
      </w:r>
      <w:r w:rsidRPr="00F93418">
        <w:rPr>
          <w:rFonts w:ascii="Times New Roman" w:hAnsi="Times New Roman"/>
          <w:iCs/>
          <w:sz w:val="24"/>
          <w:szCs w:val="24"/>
        </w:rPr>
        <w:t>à l’ensemble des titulaires des droits</w:t>
      </w:r>
      <w:r w:rsidRPr="00F93418">
        <w:rPr>
          <w:rFonts w:ascii="Times New Roman" w:hAnsi="Times New Roman"/>
          <w:sz w:val="24"/>
          <w:szCs w:val="24"/>
        </w:rPr>
        <w:t xml:space="preserve"> </w:t>
      </w:r>
      <w:r w:rsidRPr="00F93418">
        <w:rPr>
          <w:rFonts w:ascii="Times New Roman" w:hAnsi="Times New Roman"/>
          <w:iCs/>
          <w:sz w:val="24"/>
          <w:szCs w:val="24"/>
        </w:rPr>
        <w:t xml:space="preserve">miniers valides à la date de son entrée en vigueur. </w:t>
      </w:r>
      <w:r w:rsidRPr="00F93418">
        <w:rPr>
          <w:rFonts w:ascii="Times New Roman" w:hAnsi="Times New Roman"/>
          <w:sz w:val="24"/>
          <w:szCs w:val="24"/>
        </w:rPr>
        <w:t xml:space="preserve"> La modification de ce régime n’est possible que lorsque ce Code fait lui-même l’objet de modifications par voie parlementaire. </w:t>
      </w:r>
      <w:r w:rsidRPr="00F93418">
        <w:rPr>
          <w:rFonts w:ascii="Times New Roman" w:hAnsi="Times New Roman"/>
          <w:iCs/>
          <w:sz w:val="24"/>
          <w:szCs w:val="24"/>
        </w:rPr>
        <w:t>En cas de modification législative dans les cinq ans à</w:t>
      </w:r>
      <w:r w:rsidRPr="00F93418">
        <w:rPr>
          <w:rFonts w:ascii="Times New Roman" w:hAnsi="Times New Roman"/>
          <w:sz w:val="24"/>
          <w:szCs w:val="24"/>
        </w:rPr>
        <w:t xml:space="preserve"> </w:t>
      </w:r>
      <w:r w:rsidRPr="00F93418">
        <w:rPr>
          <w:rFonts w:ascii="Times New Roman" w:hAnsi="Times New Roman"/>
          <w:iCs/>
          <w:sz w:val="24"/>
          <w:szCs w:val="24"/>
        </w:rPr>
        <w:t>dater de l’entrée en vigueur du Code, les</w:t>
      </w:r>
      <w:r w:rsidRPr="00F93418">
        <w:rPr>
          <w:rFonts w:ascii="Times New Roman" w:hAnsi="Times New Roman"/>
          <w:sz w:val="24"/>
          <w:szCs w:val="24"/>
        </w:rPr>
        <w:t xml:space="preserve"> </w:t>
      </w:r>
      <w:r w:rsidRPr="00F93418">
        <w:rPr>
          <w:rFonts w:ascii="Times New Roman" w:hAnsi="Times New Roman"/>
          <w:iCs/>
          <w:sz w:val="24"/>
          <w:szCs w:val="24"/>
        </w:rPr>
        <w:t>titulaires des droits miniers valides</w:t>
      </w:r>
      <w:r w:rsidRPr="00F93418">
        <w:rPr>
          <w:rFonts w:ascii="Times New Roman" w:hAnsi="Times New Roman"/>
          <w:sz w:val="24"/>
          <w:szCs w:val="24"/>
        </w:rPr>
        <w:t xml:space="preserve"> </w:t>
      </w:r>
      <w:r w:rsidRPr="00F93418">
        <w:rPr>
          <w:rFonts w:ascii="Times New Roman" w:hAnsi="Times New Roman"/>
          <w:iCs/>
          <w:sz w:val="24"/>
          <w:szCs w:val="24"/>
        </w:rPr>
        <w:t>bénéficient de la garantie de stabilité du régime</w:t>
      </w:r>
      <w:r w:rsidRPr="00F93418">
        <w:rPr>
          <w:rFonts w:ascii="Times New Roman" w:hAnsi="Times New Roman"/>
          <w:sz w:val="24"/>
          <w:szCs w:val="24"/>
        </w:rPr>
        <w:t xml:space="preserve"> </w:t>
      </w:r>
      <w:r w:rsidRPr="00F93418">
        <w:rPr>
          <w:rFonts w:ascii="Times New Roman" w:hAnsi="Times New Roman"/>
          <w:iCs/>
          <w:sz w:val="24"/>
          <w:szCs w:val="24"/>
        </w:rPr>
        <w:t>fiscal, douanier et de change prévu par le Code</w:t>
      </w:r>
      <w:r>
        <w:rPr>
          <w:rFonts w:ascii="Times New Roman" w:hAnsi="Times New Roman"/>
          <w:iCs/>
          <w:sz w:val="24"/>
          <w:szCs w:val="24"/>
        </w:rPr>
        <w:t xml:space="preserve"> (Article 276, alinéa 2 du Code Minier tel que modifié et complété)</w:t>
      </w:r>
      <w:r w:rsidRPr="00F93418">
        <w:rPr>
          <w:rFonts w:ascii="Times New Roman" w:hAnsi="Times New Roman"/>
          <w:iCs/>
          <w:sz w:val="24"/>
          <w:szCs w:val="24"/>
        </w:rPr>
        <w:t xml:space="preserve">.  </w:t>
      </w:r>
    </w:p>
    <w:p w14:paraId="082F1ABD" w14:textId="77777777" w:rsidR="00207B98" w:rsidRDefault="00207B98" w:rsidP="00F077D5">
      <w:pPr>
        <w:spacing w:after="0" w:line="276" w:lineRule="auto"/>
        <w:ind w:right="567"/>
        <w:jc w:val="both"/>
        <w:rPr>
          <w:rFonts w:ascii="Times New Roman" w:hAnsi="Times New Roman"/>
          <w:sz w:val="24"/>
          <w:szCs w:val="24"/>
        </w:rPr>
      </w:pPr>
      <w:r w:rsidRPr="00F93418">
        <w:rPr>
          <w:rFonts w:ascii="Times New Roman" w:hAnsi="Times New Roman"/>
          <w:sz w:val="24"/>
          <w:szCs w:val="24"/>
        </w:rPr>
        <w:t>Il convient de signaler qu’il n’y a plus survivance des conventions minières, car toutes celles qui étaient encore en vigueur sont désormais régies par les dispositions du Code Minier tel que modifié et complété par la Loi n°18/001 du 09 mars 2018 (Article 340</w:t>
      </w:r>
      <w:r>
        <w:rPr>
          <w:rFonts w:ascii="Times New Roman" w:hAnsi="Times New Roman"/>
          <w:sz w:val="24"/>
          <w:szCs w:val="24"/>
        </w:rPr>
        <w:t xml:space="preserve"> </w:t>
      </w:r>
      <w:r>
        <w:rPr>
          <w:rFonts w:ascii="Times New Roman" w:hAnsi="Times New Roman"/>
          <w:iCs/>
          <w:sz w:val="24"/>
          <w:szCs w:val="24"/>
        </w:rPr>
        <w:t>du Code Minier tel que modifié et complété</w:t>
      </w:r>
      <w:r w:rsidRPr="00F93418">
        <w:rPr>
          <w:rFonts w:ascii="Times New Roman" w:hAnsi="Times New Roman"/>
          <w:sz w:val="24"/>
          <w:szCs w:val="24"/>
        </w:rPr>
        <w:t>).</w:t>
      </w:r>
    </w:p>
    <w:p w14:paraId="142AD5B5" w14:textId="77777777" w:rsidR="0063635F" w:rsidRDefault="00207B98" w:rsidP="00F077D5">
      <w:pPr>
        <w:spacing w:before="240" w:line="276" w:lineRule="auto"/>
        <w:ind w:right="567"/>
        <w:jc w:val="both"/>
        <w:rPr>
          <w:rFonts w:ascii="Times New Roman" w:hAnsi="Times New Roman"/>
          <w:iCs/>
          <w:sz w:val="24"/>
          <w:szCs w:val="24"/>
        </w:rPr>
      </w:pPr>
      <w:r w:rsidRPr="002272E7">
        <w:rPr>
          <w:rFonts w:ascii="Times New Roman" w:hAnsi="Times New Roman"/>
          <w:iCs/>
          <w:sz w:val="24"/>
          <w:szCs w:val="24"/>
        </w:rPr>
        <w:t xml:space="preserve">En effet, cet article 340 traite de la </w:t>
      </w:r>
      <w:r w:rsidRPr="002272E7">
        <w:rPr>
          <w:rFonts w:ascii="Times New Roman" w:hAnsi="Times New Roman"/>
          <w:b/>
          <w:iCs/>
          <w:sz w:val="24"/>
          <w:szCs w:val="24"/>
        </w:rPr>
        <w:t>validité des conventions minières</w:t>
      </w:r>
      <w:r w:rsidRPr="002272E7">
        <w:rPr>
          <w:rFonts w:ascii="Times New Roman" w:hAnsi="Times New Roman"/>
          <w:iCs/>
          <w:sz w:val="24"/>
          <w:szCs w:val="24"/>
        </w:rPr>
        <w:t xml:space="preserve"> et est ainsi libellé : </w:t>
      </w:r>
      <w:r w:rsidRPr="002272E7">
        <w:rPr>
          <w:rFonts w:ascii="Times New Roman" w:hAnsi="Times New Roman"/>
          <w:b/>
          <w:i/>
          <w:iCs/>
          <w:sz w:val="24"/>
          <w:szCs w:val="24"/>
        </w:rPr>
        <w:t>« Toutes les conventions minières en vigueur à la promulgation de la présente loi sont régies par les dispositions du présent Code »</w:t>
      </w:r>
      <w:r>
        <w:rPr>
          <w:rFonts w:ascii="Times New Roman" w:hAnsi="Times New Roman"/>
          <w:iCs/>
          <w:sz w:val="24"/>
          <w:szCs w:val="24"/>
        </w:rPr>
        <w:t>.</w:t>
      </w:r>
    </w:p>
    <w:p w14:paraId="59BF0C47" w14:textId="77777777" w:rsidR="00207B98" w:rsidRPr="00F93418" w:rsidRDefault="00207B98" w:rsidP="00F077D5">
      <w:pPr>
        <w:spacing w:line="240" w:lineRule="auto"/>
        <w:ind w:right="567"/>
        <w:jc w:val="both"/>
        <w:rPr>
          <w:rFonts w:ascii="Times New Roman" w:hAnsi="Times New Roman"/>
          <w:sz w:val="24"/>
          <w:szCs w:val="24"/>
        </w:rPr>
      </w:pPr>
      <w:r w:rsidRPr="00F93418">
        <w:rPr>
          <w:rFonts w:ascii="Times New Roman" w:hAnsi="Times New Roman"/>
          <w:sz w:val="24"/>
          <w:szCs w:val="24"/>
        </w:rPr>
        <w:t>Le régime fiscal, douanier et de change prévu par le Code Minier est constitué, entre autres :</w:t>
      </w:r>
    </w:p>
    <w:p w14:paraId="1146ED1E" w14:textId="77777777" w:rsidR="00207B98" w:rsidRPr="00840E13" w:rsidRDefault="00207B98" w:rsidP="000738D3">
      <w:pPr>
        <w:pStyle w:val="Paragraphedeliste"/>
        <w:numPr>
          <w:ilvl w:val="0"/>
          <w:numId w:val="19"/>
        </w:numPr>
        <w:autoSpaceDE w:val="0"/>
        <w:autoSpaceDN w:val="0"/>
        <w:adjustRightInd w:val="0"/>
        <w:spacing w:after="0" w:line="240" w:lineRule="auto"/>
        <w:ind w:left="567" w:right="6" w:hanging="283"/>
        <w:jc w:val="both"/>
        <w:rPr>
          <w:rFonts w:ascii="Times New Roman" w:hAnsi="Times New Roman" w:cs="Times New Roman"/>
          <w:iCs/>
        </w:rPr>
      </w:pPr>
      <w:r w:rsidRPr="00840E13">
        <w:rPr>
          <w:rFonts w:ascii="Times New Roman" w:hAnsi="Times New Roman" w:cs="Times New Roman"/>
          <w:b/>
          <w:iCs/>
        </w:rPr>
        <w:lastRenderedPageBreak/>
        <w:t>des impôts, taxes, droits</w:t>
      </w:r>
      <w:r>
        <w:rPr>
          <w:rFonts w:ascii="Times New Roman" w:hAnsi="Times New Roman" w:cs="Times New Roman"/>
          <w:b/>
          <w:iCs/>
        </w:rPr>
        <w:t>,</w:t>
      </w:r>
      <w:r w:rsidRPr="00840E13">
        <w:rPr>
          <w:rFonts w:ascii="Times New Roman" w:hAnsi="Times New Roman" w:cs="Times New Roman"/>
          <w:b/>
          <w:iCs/>
        </w:rPr>
        <w:t xml:space="preserve"> redevances et autres prélèvements parafiscaux à percevoir au profit du Pouvoir central suivant les modalités qu’il précise (Article 220 bis, a)</w:t>
      </w:r>
      <w:r w:rsidRPr="00840E13">
        <w:rPr>
          <w:rFonts w:ascii="Times New Roman" w:hAnsi="Times New Roman" w:cs="Times New Roman"/>
          <w:iCs/>
        </w:rPr>
        <w:t xml:space="preserve"> :</w:t>
      </w:r>
    </w:p>
    <w:p w14:paraId="69034BE6" w14:textId="77777777" w:rsidR="00207B98" w:rsidRPr="00840E13" w:rsidRDefault="00207B98" w:rsidP="000738D3">
      <w:pPr>
        <w:pStyle w:val="Paragraphedeliste"/>
        <w:numPr>
          <w:ilvl w:val="0"/>
          <w:numId w:val="20"/>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impôt sur les bénéfices et profits ;</w:t>
      </w:r>
    </w:p>
    <w:p w14:paraId="3E8392A4" w14:textId="77777777" w:rsidR="00207B98" w:rsidRPr="00840E13" w:rsidRDefault="00207B98" w:rsidP="000738D3">
      <w:pPr>
        <w:pStyle w:val="Paragraphedeliste"/>
        <w:numPr>
          <w:ilvl w:val="0"/>
          <w:numId w:val="20"/>
        </w:numPr>
        <w:autoSpaceDE w:val="0"/>
        <w:autoSpaceDN w:val="0"/>
        <w:adjustRightInd w:val="0"/>
        <w:spacing w:after="0" w:line="240" w:lineRule="auto"/>
        <w:ind w:left="1418" w:hanging="348"/>
        <w:rPr>
          <w:rFonts w:ascii="Times New Roman" w:hAnsi="Times New Roman" w:cs="Times New Roman"/>
        </w:rPr>
      </w:pPr>
      <w:r w:rsidRPr="00840E13">
        <w:rPr>
          <w:rFonts w:ascii="Times New Roman" w:hAnsi="Times New Roman" w:cs="Times New Roman"/>
          <w:i/>
          <w:iCs/>
        </w:rPr>
        <w:t xml:space="preserve">impôt professionnel sur les prestations de </w:t>
      </w:r>
      <w:r w:rsidRPr="00840E13">
        <w:rPr>
          <w:rFonts w:ascii="Times New Roman" w:hAnsi="Times New Roman" w:cs="Times New Roman"/>
        </w:rPr>
        <w:t xml:space="preserve"> </w:t>
      </w:r>
      <w:r w:rsidRPr="00840E13">
        <w:rPr>
          <w:rFonts w:ascii="Times New Roman" w:hAnsi="Times New Roman" w:cs="Times New Roman"/>
          <w:i/>
          <w:iCs/>
        </w:rPr>
        <w:t>services rendus par des personnes</w:t>
      </w:r>
      <w:r w:rsidRPr="00840E13">
        <w:rPr>
          <w:rFonts w:ascii="Times New Roman" w:hAnsi="Times New Roman" w:cs="Times New Roman"/>
        </w:rPr>
        <w:t xml:space="preserve"> </w:t>
      </w:r>
      <w:r w:rsidRPr="00840E13">
        <w:rPr>
          <w:rFonts w:ascii="Times New Roman" w:hAnsi="Times New Roman" w:cs="Times New Roman"/>
          <w:i/>
          <w:iCs/>
        </w:rPr>
        <w:t>physiques ou morales non établies en</w:t>
      </w:r>
      <w:r w:rsidRPr="00840E13">
        <w:rPr>
          <w:rFonts w:ascii="Times New Roman" w:hAnsi="Times New Roman" w:cs="Times New Roman"/>
        </w:rPr>
        <w:t xml:space="preserve"> </w:t>
      </w:r>
      <w:r w:rsidRPr="00840E13">
        <w:rPr>
          <w:rFonts w:ascii="Times New Roman" w:hAnsi="Times New Roman" w:cs="Times New Roman"/>
          <w:i/>
          <w:iCs/>
        </w:rPr>
        <w:t xml:space="preserve">République Démocratique du Congo ; </w:t>
      </w:r>
    </w:p>
    <w:p w14:paraId="589D807B" w14:textId="77777777" w:rsidR="00207B98" w:rsidRPr="00840E13" w:rsidRDefault="00207B98" w:rsidP="000738D3">
      <w:pPr>
        <w:pStyle w:val="Paragraphedeliste"/>
        <w:numPr>
          <w:ilvl w:val="0"/>
          <w:numId w:val="20"/>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 xml:space="preserve">impôt sur les revenus des capitaux mobiliers ou impôt mobilier ; </w:t>
      </w:r>
    </w:p>
    <w:p w14:paraId="2D56E5E5" w14:textId="77777777" w:rsidR="00207B98" w:rsidRPr="00840E13" w:rsidRDefault="00207B98" w:rsidP="000738D3">
      <w:pPr>
        <w:pStyle w:val="Paragraphedeliste"/>
        <w:numPr>
          <w:ilvl w:val="0"/>
          <w:numId w:val="20"/>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l’impôt professionnel sur les rémunérations ;</w:t>
      </w:r>
    </w:p>
    <w:p w14:paraId="79BE5BA7" w14:textId="77777777" w:rsidR="00207B98" w:rsidRPr="00840E13" w:rsidRDefault="00207B98" w:rsidP="000738D3">
      <w:pPr>
        <w:pStyle w:val="Paragraphedeliste"/>
        <w:numPr>
          <w:ilvl w:val="0"/>
          <w:numId w:val="20"/>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l’impôt exceptionnel sur les rémunérations des expatriés ;</w:t>
      </w:r>
    </w:p>
    <w:p w14:paraId="16CF113A" w14:textId="77777777" w:rsidR="00207B98" w:rsidRPr="00840E13" w:rsidRDefault="00207B98" w:rsidP="000738D3">
      <w:pPr>
        <w:pStyle w:val="Paragraphedeliste"/>
        <w:numPr>
          <w:ilvl w:val="0"/>
          <w:numId w:val="20"/>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droits d’entrée ;</w:t>
      </w:r>
    </w:p>
    <w:p w14:paraId="20D4A5C7" w14:textId="77777777" w:rsidR="00207B98" w:rsidRPr="00840E13" w:rsidRDefault="00207B98" w:rsidP="000738D3">
      <w:pPr>
        <w:pStyle w:val="Paragraphedeliste"/>
        <w:numPr>
          <w:ilvl w:val="0"/>
          <w:numId w:val="20"/>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droits d’accises ;</w:t>
      </w:r>
    </w:p>
    <w:p w14:paraId="18E8969E" w14:textId="77777777" w:rsidR="00207B98" w:rsidRPr="00840E13" w:rsidRDefault="00207B98" w:rsidP="000738D3">
      <w:pPr>
        <w:pStyle w:val="Paragraphedeliste"/>
        <w:numPr>
          <w:ilvl w:val="0"/>
          <w:numId w:val="20"/>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droit proportionnel pour approbation et enregistrement des hypothèques;</w:t>
      </w:r>
    </w:p>
    <w:p w14:paraId="2DE6DE47" w14:textId="77777777" w:rsidR="00207B98" w:rsidRPr="00840E13" w:rsidRDefault="00207B98" w:rsidP="000738D3">
      <w:pPr>
        <w:pStyle w:val="Paragraphedeliste"/>
        <w:numPr>
          <w:ilvl w:val="0"/>
          <w:numId w:val="20"/>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 xml:space="preserve">droit proportionnel pour approbation et enregistrement des cessions ; </w:t>
      </w:r>
    </w:p>
    <w:p w14:paraId="0CEA0A16" w14:textId="77777777" w:rsidR="00207B98" w:rsidRPr="00840E13" w:rsidRDefault="00207B98" w:rsidP="000738D3">
      <w:pPr>
        <w:pStyle w:val="Paragraphedeliste"/>
        <w:numPr>
          <w:ilvl w:val="0"/>
          <w:numId w:val="20"/>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 xml:space="preserve">droit proportionnel pour approbation et enregistrement d’amodiation, de contrat d’option et de transmission ; </w:t>
      </w:r>
    </w:p>
    <w:p w14:paraId="09919BA1" w14:textId="77777777" w:rsidR="00207B98" w:rsidRPr="00840E13" w:rsidRDefault="00207B98" w:rsidP="000738D3">
      <w:pPr>
        <w:pStyle w:val="Paragraphedeliste"/>
        <w:numPr>
          <w:ilvl w:val="0"/>
          <w:numId w:val="20"/>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 xml:space="preserve">droits </w:t>
      </w:r>
      <w:proofErr w:type="spellStart"/>
      <w:r w:rsidRPr="00840E13">
        <w:rPr>
          <w:rFonts w:ascii="Times New Roman" w:hAnsi="Times New Roman" w:cs="Times New Roman"/>
          <w:i/>
          <w:iCs/>
        </w:rPr>
        <w:t>superficiaires</w:t>
      </w:r>
      <w:proofErr w:type="spellEnd"/>
      <w:r w:rsidRPr="00840E13">
        <w:rPr>
          <w:rFonts w:ascii="Times New Roman" w:hAnsi="Times New Roman" w:cs="Times New Roman"/>
          <w:i/>
          <w:iCs/>
        </w:rPr>
        <w:t xml:space="preserve"> annuels par carré ;</w:t>
      </w:r>
    </w:p>
    <w:p w14:paraId="320C145B" w14:textId="77777777" w:rsidR="00207B98" w:rsidRPr="00840E13" w:rsidRDefault="00207B98" w:rsidP="000738D3">
      <w:pPr>
        <w:pStyle w:val="Paragraphedeliste"/>
        <w:numPr>
          <w:ilvl w:val="0"/>
          <w:numId w:val="20"/>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droits proportionnels pour la cession des parts et actions sociales ;</w:t>
      </w:r>
    </w:p>
    <w:p w14:paraId="1475A8A0" w14:textId="77777777" w:rsidR="00207B98" w:rsidRPr="00840E13" w:rsidRDefault="00207B98" w:rsidP="000738D3">
      <w:pPr>
        <w:pStyle w:val="Paragraphedeliste"/>
        <w:numPr>
          <w:ilvl w:val="0"/>
          <w:numId w:val="20"/>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redevance minière ;</w:t>
      </w:r>
    </w:p>
    <w:p w14:paraId="00D2B322" w14:textId="77777777" w:rsidR="00207B98" w:rsidRPr="00840E13" w:rsidRDefault="00207B98" w:rsidP="000738D3">
      <w:pPr>
        <w:pStyle w:val="Paragraphedeliste"/>
        <w:numPr>
          <w:ilvl w:val="0"/>
          <w:numId w:val="20"/>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 xml:space="preserve">redevance sur les carburants terrestres et lubrifiants ;  </w:t>
      </w:r>
    </w:p>
    <w:p w14:paraId="2E2ECAE3" w14:textId="77777777" w:rsidR="00207B98" w:rsidRPr="00840E13" w:rsidRDefault="00207B98" w:rsidP="000738D3">
      <w:pPr>
        <w:pStyle w:val="Paragraphedeliste"/>
        <w:numPr>
          <w:ilvl w:val="0"/>
          <w:numId w:val="20"/>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bonus de signature ;</w:t>
      </w:r>
    </w:p>
    <w:p w14:paraId="542A2E65" w14:textId="77777777" w:rsidR="00207B98" w:rsidRPr="00840E13" w:rsidRDefault="00207B98" w:rsidP="000738D3">
      <w:pPr>
        <w:pStyle w:val="Paragraphedeliste"/>
        <w:numPr>
          <w:ilvl w:val="0"/>
          <w:numId w:val="20"/>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pas de porte.</w:t>
      </w:r>
    </w:p>
    <w:p w14:paraId="7142CC6A" w14:textId="77777777" w:rsidR="00207B98" w:rsidRPr="00840E13" w:rsidRDefault="00207B98" w:rsidP="00207B98">
      <w:pPr>
        <w:spacing w:after="0" w:line="240" w:lineRule="auto"/>
        <w:ind w:left="1778" w:right="567"/>
        <w:rPr>
          <w:rFonts w:ascii="Times New Roman" w:hAnsi="Times New Roman"/>
          <w:sz w:val="10"/>
          <w:szCs w:val="10"/>
        </w:rPr>
      </w:pPr>
    </w:p>
    <w:p w14:paraId="2AA9006F" w14:textId="77777777" w:rsidR="00207B98" w:rsidRPr="003476DE" w:rsidRDefault="00207B98" w:rsidP="000738D3">
      <w:pPr>
        <w:pStyle w:val="Paragraphedeliste"/>
        <w:numPr>
          <w:ilvl w:val="0"/>
          <w:numId w:val="19"/>
        </w:numPr>
        <w:autoSpaceDE w:val="0"/>
        <w:autoSpaceDN w:val="0"/>
        <w:adjustRightInd w:val="0"/>
        <w:spacing w:after="0" w:line="240" w:lineRule="auto"/>
        <w:ind w:left="567" w:right="6" w:hanging="283"/>
        <w:jc w:val="both"/>
        <w:rPr>
          <w:rFonts w:ascii="Times New Roman" w:hAnsi="Times New Roman" w:cs="Times New Roman"/>
          <w:b/>
          <w:iCs/>
        </w:rPr>
      </w:pPr>
      <w:r w:rsidRPr="00840E13">
        <w:rPr>
          <w:rFonts w:ascii="Times New Roman" w:hAnsi="Times New Roman" w:cs="Times New Roman"/>
          <w:b/>
          <w:iCs/>
        </w:rPr>
        <w:t>des impôts, taxes, droits et redevances à percevoir suivant les modalités du droit commun (Article 220 bis, b)</w:t>
      </w:r>
      <w:r w:rsidRPr="003476DE">
        <w:rPr>
          <w:rFonts w:ascii="Times New Roman" w:hAnsi="Times New Roman" w:cs="Times New Roman"/>
          <w:b/>
          <w:iCs/>
        </w:rPr>
        <w:t xml:space="preserve"> : </w:t>
      </w:r>
    </w:p>
    <w:p w14:paraId="30827AF7" w14:textId="77777777" w:rsidR="00207B98" w:rsidRPr="00840E13" w:rsidRDefault="00207B98" w:rsidP="000738D3">
      <w:pPr>
        <w:pStyle w:val="Paragraphedeliste"/>
        <w:numPr>
          <w:ilvl w:val="0"/>
          <w:numId w:val="21"/>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taxe sur la Valeur Ajoutée, en sigle TVA ;</w:t>
      </w:r>
    </w:p>
    <w:p w14:paraId="18B42B00" w14:textId="77777777" w:rsidR="00207B98" w:rsidRPr="00840E13" w:rsidRDefault="00207B98" w:rsidP="000738D3">
      <w:pPr>
        <w:pStyle w:val="Paragraphedeliste"/>
        <w:numPr>
          <w:ilvl w:val="0"/>
          <w:numId w:val="21"/>
        </w:numPr>
        <w:autoSpaceDE w:val="0"/>
        <w:autoSpaceDN w:val="0"/>
        <w:adjustRightInd w:val="0"/>
        <w:spacing w:after="0" w:line="240" w:lineRule="auto"/>
        <w:ind w:left="1418" w:hanging="348"/>
        <w:rPr>
          <w:rFonts w:ascii="Times New Roman" w:hAnsi="Times New Roman" w:cs="Times New Roman"/>
        </w:rPr>
      </w:pPr>
      <w:r w:rsidRPr="00840E13">
        <w:rPr>
          <w:rFonts w:ascii="Times New Roman" w:hAnsi="Times New Roman" w:cs="Times New Roman"/>
          <w:i/>
          <w:iCs/>
        </w:rPr>
        <w:t>taxe sur l’autorisation de minage temporaire ;</w:t>
      </w:r>
    </w:p>
    <w:p w14:paraId="52E26D99" w14:textId="77777777" w:rsidR="00207B98" w:rsidRPr="00840E13" w:rsidRDefault="00207B98" w:rsidP="000738D3">
      <w:pPr>
        <w:pStyle w:val="Paragraphedeliste"/>
        <w:numPr>
          <w:ilvl w:val="0"/>
          <w:numId w:val="21"/>
        </w:numPr>
        <w:autoSpaceDE w:val="0"/>
        <w:autoSpaceDN w:val="0"/>
        <w:adjustRightInd w:val="0"/>
        <w:spacing w:after="0" w:line="240" w:lineRule="auto"/>
        <w:ind w:left="1418" w:hanging="348"/>
        <w:rPr>
          <w:rFonts w:ascii="Times New Roman" w:hAnsi="Times New Roman" w:cs="Times New Roman"/>
        </w:rPr>
      </w:pPr>
      <w:r w:rsidRPr="00840E13">
        <w:rPr>
          <w:rFonts w:ascii="Times New Roman" w:hAnsi="Times New Roman" w:cs="Times New Roman"/>
          <w:i/>
          <w:iCs/>
        </w:rPr>
        <w:t>taxe sur les exportations des échantillons destinés aux analyses et essais industriels</w:t>
      </w:r>
      <w:r w:rsidRPr="00840E13">
        <w:rPr>
          <w:rFonts w:ascii="Times New Roman" w:hAnsi="Times New Roman" w:cs="Times New Roman"/>
        </w:rPr>
        <w:t xml:space="preserve"> </w:t>
      </w:r>
      <w:r w:rsidRPr="00840E13">
        <w:rPr>
          <w:rFonts w:ascii="Times New Roman" w:hAnsi="Times New Roman" w:cs="Times New Roman"/>
          <w:i/>
          <w:iCs/>
        </w:rPr>
        <w:t>lorsque ceux-ci sont exportés en violation</w:t>
      </w:r>
      <w:r w:rsidRPr="00840E13">
        <w:rPr>
          <w:rFonts w:ascii="Times New Roman" w:hAnsi="Times New Roman" w:cs="Times New Roman"/>
        </w:rPr>
        <w:t xml:space="preserve"> </w:t>
      </w:r>
      <w:r w:rsidRPr="00840E13">
        <w:rPr>
          <w:rFonts w:ascii="Times New Roman" w:hAnsi="Times New Roman" w:cs="Times New Roman"/>
          <w:i/>
          <w:iCs/>
        </w:rPr>
        <w:t>de l’article 50 alinéa 3 du Code minier,</w:t>
      </w:r>
      <w:r w:rsidRPr="00840E13">
        <w:rPr>
          <w:rFonts w:ascii="Times New Roman" w:hAnsi="Times New Roman" w:cs="Times New Roman"/>
        </w:rPr>
        <w:t xml:space="preserve"> </w:t>
      </w:r>
      <w:r w:rsidRPr="00840E13">
        <w:rPr>
          <w:rFonts w:ascii="Times New Roman" w:hAnsi="Times New Roman" w:cs="Times New Roman"/>
          <w:i/>
          <w:iCs/>
        </w:rPr>
        <w:t>vendus aux tiers au profit ou par le fait du</w:t>
      </w:r>
      <w:r w:rsidRPr="00840E13">
        <w:rPr>
          <w:rFonts w:ascii="Times New Roman" w:hAnsi="Times New Roman" w:cs="Times New Roman"/>
        </w:rPr>
        <w:t xml:space="preserve"> </w:t>
      </w:r>
      <w:r w:rsidRPr="00840E13">
        <w:rPr>
          <w:rFonts w:ascii="Times New Roman" w:hAnsi="Times New Roman" w:cs="Times New Roman"/>
          <w:i/>
          <w:iCs/>
        </w:rPr>
        <w:t>titulaire avant ou après analyse ou essai, et</w:t>
      </w:r>
      <w:r w:rsidRPr="00840E13">
        <w:rPr>
          <w:rFonts w:ascii="Times New Roman" w:hAnsi="Times New Roman" w:cs="Times New Roman"/>
        </w:rPr>
        <w:t xml:space="preserve"> </w:t>
      </w:r>
      <w:r w:rsidRPr="00840E13">
        <w:rPr>
          <w:rFonts w:ascii="Times New Roman" w:hAnsi="Times New Roman" w:cs="Times New Roman"/>
          <w:i/>
          <w:iCs/>
        </w:rPr>
        <w:t xml:space="preserve">enfin en cas d’exportation qui revêt un </w:t>
      </w:r>
      <w:r w:rsidRPr="00840E13">
        <w:rPr>
          <w:rFonts w:ascii="Times New Roman" w:hAnsi="Times New Roman" w:cs="Times New Roman"/>
        </w:rPr>
        <w:t xml:space="preserve"> </w:t>
      </w:r>
      <w:r w:rsidRPr="00840E13">
        <w:rPr>
          <w:rFonts w:ascii="Times New Roman" w:hAnsi="Times New Roman" w:cs="Times New Roman"/>
          <w:i/>
          <w:iCs/>
        </w:rPr>
        <w:t xml:space="preserve">caractère commercial ; </w:t>
      </w:r>
    </w:p>
    <w:p w14:paraId="5393752D" w14:textId="77777777" w:rsidR="00207B98" w:rsidRPr="00840E13" w:rsidRDefault="00207B98" w:rsidP="000738D3">
      <w:pPr>
        <w:pStyle w:val="Paragraphedeliste"/>
        <w:numPr>
          <w:ilvl w:val="0"/>
          <w:numId w:val="21"/>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 xml:space="preserve">taxe d’implantation et taxe rémunératoire annuelle de l’environnement ; </w:t>
      </w:r>
    </w:p>
    <w:p w14:paraId="5B031D15" w14:textId="77777777" w:rsidR="00207B98" w:rsidRPr="00840E13" w:rsidRDefault="00207B98" w:rsidP="000738D3">
      <w:pPr>
        <w:pStyle w:val="Paragraphedeliste"/>
        <w:numPr>
          <w:ilvl w:val="0"/>
          <w:numId w:val="21"/>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taxe de déboisement ;</w:t>
      </w:r>
    </w:p>
    <w:p w14:paraId="217F9163" w14:textId="77777777" w:rsidR="00207B98" w:rsidRPr="00840E13" w:rsidRDefault="00207B98" w:rsidP="000738D3">
      <w:pPr>
        <w:pStyle w:val="Paragraphedeliste"/>
        <w:numPr>
          <w:ilvl w:val="0"/>
          <w:numId w:val="21"/>
        </w:numPr>
        <w:autoSpaceDE w:val="0"/>
        <w:autoSpaceDN w:val="0"/>
        <w:adjustRightInd w:val="0"/>
        <w:spacing w:after="0" w:line="240" w:lineRule="auto"/>
        <w:ind w:left="1418" w:hanging="348"/>
        <w:rPr>
          <w:rFonts w:ascii="Times New Roman" w:hAnsi="Times New Roman" w:cs="Times New Roman"/>
        </w:rPr>
      </w:pPr>
      <w:r w:rsidRPr="00840E13">
        <w:rPr>
          <w:rFonts w:ascii="Times New Roman" w:hAnsi="Times New Roman" w:cs="Times New Roman"/>
          <w:i/>
          <w:iCs/>
        </w:rPr>
        <w:t xml:space="preserve">droit d’octroi de la carte de travail pour étranger ; </w:t>
      </w:r>
    </w:p>
    <w:p w14:paraId="35F945E0" w14:textId="77777777" w:rsidR="00207B98" w:rsidRPr="00840E13" w:rsidRDefault="00207B98" w:rsidP="000738D3">
      <w:pPr>
        <w:pStyle w:val="Paragraphedeliste"/>
        <w:numPr>
          <w:ilvl w:val="0"/>
          <w:numId w:val="21"/>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taxes sur la télécommunication ;</w:t>
      </w:r>
    </w:p>
    <w:p w14:paraId="36FA8415" w14:textId="77777777" w:rsidR="00207B98" w:rsidRPr="00840E13" w:rsidRDefault="00207B98" w:rsidP="000738D3">
      <w:pPr>
        <w:pStyle w:val="Paragraphedeliste"/>
        <w:numPr>
          <w:ilvl w:val="0"/>
          <w:numId w:val="21"/>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taxe d’agrément des dépôts des explosifs ;</w:t>
      </w:r>
    </w:p>
    <w:p w14:paraId="43A9EE13" w14:textId="77777777" w:rsidR="00207B98" w:rsidRPr="00840E13" w:rsidRDefault="00207B98" w:rsidP="000738D3">
      <w:pPr>
        <w:pStyle w:val="Paragraphedeliste"/>
        <w:numPr>
          <w:ilvl w:val="0"/>
          <w:numId w:val="21"/>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droit d’enregistrement des dragues ;</w:t>
      </w:r>
    </w:p>
    <w:p w14:paraId="691F1D93" w14:textId="77777777" w:rsidR="00207B98" w:rsidRPr="00840E13" w:rsidRDefault="00207B98" w:rsidP="000738D3">
      <w:pPr>
        <w:pStyle w:val="Paragraphedeliste"/>
        <w:numPr>
          <w:ilvl w:val="0"/>
          <w:numId w:val="21"/>
        </w:numPr>
        <w:autoSpaceDE w:val="0"/>
        <w:autoSpaceDN w:val="0"/>
        <w:adjustRightInd w:val="0"/>
        <w:spacing w:after="0" w:line="240" w:lineRule="auto"/>
        <w:ind w:left="1418" w:hanging="348"/>
        <w:rPr>
          <w:rFonts w:ascii="Times New Roman" w:hAnsi="Times New Roman" w:cs="Times New Roman"/>
        </w:rPr>
      </w:pPr>
      <w:r w:rsidRPr="00840E13">
        <w:rPr>
          <w:rFonts w:ascii="Times New Roman" w:hAnsi="Times New Roman" w:cs="Times New Roman"/>
          <w:i/>
          <w:iCs/>
        </w:rPr>
        <w:t>redevance annuelle et caution pour les entités de traitement de toutes les</w:t>
      </w:r>
      <w:r w:rsidRPr="00840E13">
        <w:rPr>
          <w:rFonts w:ascii="Times New Roman" w:hAnsi="Times New Roman" w:cs="Times New Roman"/>
        </w:rPr>
        <w:t xml:space="preserve"> </w:t>
      </w:r>
      <w:r w:rsidRPr="00840E13">
        <w:rPr>
          <w:rFonts w:ascii="Times New Roman" w:hAnsi="Times New Roman" w:cs="Times New Roman"/>
          <w:i/>
          <w:iCs/>
        </w:rPr>
        <w:t xml:space="preserve">catégories et tailleries ; </w:t>
      </w:r>
    </w:p>
    <w:p w14:paraId="69BE85F6" w14:textId="77777777" w:rsidR="00207B98" w:rsidRPr="00840E13" w:rsidRDefault="00207B98" w:rsidP="000738D3">
      <w:pPr>
        <w:pStyle w:val="Paragraphedeliste"/>
        <w:numPr>
          <w:ilvl w:val="0"/>
          <w:numId w:val="21"/>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agrément de boutefeux.</w:t>
      </w:r>
    </w:p>
    <w:p w14:paraId="4D262E58" w14:textId="77777777" w:rsidR="00207B98" w:rsidRPr="00840E13" w:rsidRDefault="00207B98" w:rsidP="00207B98">
      <w:pPr>
        <w:spacing w:after="0" w:line="240" w:lineRule="auto"/>
        <w:ind w:left="1778" w:right="567"/>
        <w:rPr>
          <w:rFonts w:ascii="Times New Roman" w:hAnsi="Times New Roman"/>
          <w:b/>
          <w:sz w:val="10"/>
          <w:szCs w:val="10"/>
        </w:rPr>
      </w:pPr>
    </w:p>
    <w:p w14:paraId="4CCCC919" w14:textId="77777777" w:rsidR="00207B98" w:rsidRPr="003476DE" w:rsidRDefault="00207B98" w:rsidP="000738D3">
      <w:pPr>
        <w:pStyle w:val="Paragraphedeliste"/>
        <w:numPr>
          <w:ilvl w:val="0"/>
          <w:numId w:val="19"/>
        </w:numPr>
        <w:autoSpaceDE w:val="0"/>
        <w:autoSpaceDN w:val="0"/>
        <w:adjustRightInd w:val="0"/>
        <w:spacing w:after="0" w:line="240" w:lineRule="auto"/>
        <w:ind w:left="567" w:right="6" w:hanging="283"/>
        <w:jc w:val="both"/>
        <w:rPr>
          <w:rFonts w:ascii="Times New Roman" w:hAnsi="Times New Roman" w:cs="Times New Roman"/>
          <w:b/>
          <w:iCs/>
        </w:rPr>
      </w:pPr>
      <w:r w:rsidRPr="00840E13">
        <w:rPr>
          <w:rFonts w:ascii="Times New Roman" w:hAnsi="Times New Roman" w:cs="Times New Roman"/>
          <w:b/>
          <w:iCs/>
        </w:rPr>
        <w:t>des impôts et taxes d’intérêt commun, à percevoir au profit des provinces et autres entités décentralisées (Article 220 ter)</w:t>
      </w:r>
      <w:r w:rsidRPr="003476DE">
        <w:rPr>
          <w:rFonts w:ascii="Times New Roman" w:hAnsi="Times New Roman" w:cs="Times New Roman"/>
          <w:b/>
          <w:iCs/>
        </w:rPr>
        <w:t xml:space="preserve"> :</w:t>
      </w:r>
    </w:p>
    <w:p w14:paraId="674BA9D5" w14:textId="77777777" w:rsidR="00207B98" w:rsidRPr="00840E13" w:rsidRDefault="00207B98" w:rsidP="000738D3">
      <w:pPr>
        <w:pStyle w:val="Paragraphedeliste"/>
        <w:numPr>
          <w:ilvl w:val="1"/>
          <w:numId w:val="22"/>
        </w:numPr>
        <w:autoSpaceDE w:val="0"/>
        <w:autoSpaceDN w:val="0"/>
        <w:adjustRightInd w:val="0"/>
        <w:spacing w:after="0" w:line="240" w:lineRule="auto"/>
        <w:ind w:left="1418" w:hanging="283"/>
        <w:rPr>
          <w:rFonts w:ascii="Times New Roman" w:hAnsi="Times New Roman" w:cs="Times New Roman"/>
        </w:rPr>
      </w:pPr>
      <w:r w:rsidRPr="00840E13">
        <w:rPr>
          <w:rFonts w:ascii="Times New Roman" w:hAnsi="Times New Roman" w:cs="Times New Roman"/>
          <w:i/>
          <w:iCs/>
        </w:rPr>
        <w:t xml:space="preserve">impôt foncier ; </w:t>
      </w:r>
    </w:p>
    <w:p w14:paraId="5CBF43D8" w14:textId="77777777" w:rsidR="00207B98" w:rsidRPr="00840E13" w:rsidRDefault="00207B98" w:rsidP="000738D3">
      <w:pPr>
        <w:pStyle w:val="Paragraphedeliste"/>
        <w:numPr>
          <w:ilvl w:val="1"/>
          <w:numId w:val="22"/>
        </w:numPr>
        <w:autoSpaceDE w:val="0"/>
        <w:autoSpaceDN w:val="0"/>
        <w:adjustRightInd w:val="0"/>
        <w:spacing w:after="0" w:line="240" w:lineRule="auto"/>
        <w:ind w:left="1418" w:hanging="283"/>
        <w:rPr>
          <w:rFonts w:ascii="Times New Roman" w:hAnsi="Times New Roman" w:cs="Times New Roman"/>
          <w:i/>
          <w:iCs/>
        </w:rPr>
      </w:pPr>
      <w:r w:rsidRPr="00840E13">
        <w:rPr>
          <w:rFonts w:ascii="Times New Roman" w:hAnsi="Times New Roman" w:cs="Times New Roman"/>
          <w:i/>
          <w:iCs/>
        </w:rPr>
        <w:t>impôt sur les véhicules ;</w:t>
      </w:r>
    </w:p>
    <w:p w14:paraId="309A8BCA" w14:textId="77777777" w:rsidR="00207B98" w:rsidRPr="00840E13" w:rsidRDefault="00207B98" w:rsidP="000738D3">
      <w:pPr>
        <w:pStyle w:val="Paragraphedeliste"/>
        <w:numPr>
          <w:ilvl w:val="1"/>
          <w:numId w:val="22"/>
        </w:numPr>
        <w:autoSpaceDE w:val="0"/>
        <w:autoSpaceDN w:val="0"/>
        <w:adjustRightInd w:val="0"/>
        <w:spacing w:after="0" w:line="240" w:lineRule="auto"/>
        <w:ind w:left="1418" w:hanging="283"/>
        <w:rPr>
          <w:rFonts w:ascii="Times New Roman" w:hAnsi="Times New Roman" w:cs="Times New Roman"/>
        </w:rPr>
      </w:pPr>
      <w:r w:rsidRPr="00840E13">
        <w:rPr>
          <w:rFonts w:ascii="Times New Roman" w:hAnsi="Times New Roman" w:cs="Times New Roman"/>
          <w:i/>
          <w:iCs/>
        </w:rPr>
        <w:t>impôt sur les revenus locatifs.</w:t>
      </w:r>
    </w:p>
    <w:p w14:paraId="33F18173" w14:textId="77777777" w:rsidR="00207B98" w:rsidRPr="00840E13" w:rsidRDefault="00207B98" w:rsidP="000738D3">
      <w:pPr>
        <w:pStyle w:val="Paragraphedeliste"/>
        <w:numPr>
          <w:ilvl w:val="1"/>
          <w:numId w:val="22"/>
        </w:numPr>
        <w:autoSpaceDE w:val="0"/>
        <w:autoSpaceDN w:val="0"/>
        <w:adjustRightInd w:val="0"/>
        <w:spacing w:after="0" w:line="240" w:lineRule="auto"/>
        <w:ind w:left="1418" w:hanging="283"/>
        <w:rPr>
          <w:rFonts w:ascii="Times New Roman" w:hAnsi="Times New Roman" w:cs="Times New Roman"/>
          <w:i/>
          <w:iCs/>
        </w:rPr>
      </w:pPr>
      <w:r w:rsidRPr="00840E13">
        <w:rPr>
          <w:rFonts w:ascii="Times New Roman" w:hAnsi="Times New Roman" w:cs="Times New Roman"/>
          <w:i/>
          <w:iCs/>
        </w:rPr>
        <w:t>la taxe spéciale de circulation routière ;</w:t>
      </w:r>
    </w:p>
    <w:p w14:paraId="52FFF40A" w14:textId="636B1551" w:rsidR="0063635F" w:rsidRDefault="00207B98" w:rsidP="000738D3">
      <w:pPr>
        <w:pStyle w:val="Paragraphedeliste"/>
        <w:numPr>
          <w:ilvl w:val="1"/>
          <w:numId w:val="22"/>
        </w:numPr>
        <w:autoSpaceDE w:val="0"/>
        <w:autoSpaceDN w:val="0"/>
        <w:adjustRightInd w:val="0"/>
        <w:spacing w:after="0" w:line="240" w:lineRule="auto"/>
        <w:ind w:left="1418" w:hanging="283"/>
        <w:rPr>
          <w:rFonts w:ascii="Times New Roman" w:hAnsi="Times New Roman" w:cs="Times New Roman"/>
          <w:i/>
          <w:iCs/>
        </w:rPr>
      </w:pPr>
      <w:r w:rsidRPr="00840E13">
        <w:rPr>
          <w:rFonts w:ascii="Times New Roman" w:hAnsi="Times New Roman" w:cs="Times New Roman"/>
          <w:i/>
          <w:iCs/>
        </w:rPr>
        <w:t xml:space="preserve">la taxe de superficie sur les concessions minières. </w:t>
      </w:r>
    </w:p>
    <w:p w14:paraId="1E1DC0CF" w14:textId="77777777" w:rsidR="0063635F" w:rsidRDefault="0063635F">
      <w:pPr>
        <w:rPr>
          <w:rFonts w:ascii="Times New Roman" w:eastAsiaTheme="minorHAnsi" w:hAnsi="Times New Roman"/>
          <w:i/>
          <w:iCs/>
        </w:rPr>
      </w:pPr>
      <w:r>
        <w:rPr>
          <w:rFonts w:ascii="Times New Roman" w:hAnsi="Times New Roman"/>
          <w:i/>
          <w:iCs/>
        </w:rPr>
        <w:br w:type="page"/>
      </w:r>
    </w:p>
    <w:p w14:paraId="4042069D" w14:textId="77777777" w:rsidR="00207B98" w:rsidRPr="003476DE" w:rsidRDefault="00207B98" w:rsidP="000738D3">
      <w:pPr>
        <w:pStyle w:val="Paragraphedeliste"/>
        <w:numPr>
          <w:ilvl w:val="0"/>
          <w:numId w:val="19"/>
        </w:numPr>
        <w:autoSpaceDE w:val="0"/>
        <w:autoSpaceDN w:val="0"/>
        <w:adjustRightInd w:val="0"/>
        <w:spacing w:after="0" w:line="240" w:lineRule="auto"/>
        <w:ind w:left="567" w:right="6" w:hanging="283"/>
        <w:jc w:val="both"/>
        <w:rPr>
          <w:rFonts w:ascii="Times New Roman" w:hAnsi="Times New Roman" w:cs="Times New Roman"/>
          <w:b/>
          <w:iCs/>
        </w:rPr>
      </w:pPr>
      <w:r w:rsidRPr="00840E13">
        <w:rPr>
          <w:rFonts w:ascii="Times New Roman" w:hAnsi="Times New Roman" w:cs="Times New Roman"/>
          <w:b/>
          <w:iCs/>
        </w:rPr>
        <w:lastRenderedPageBreak/>
        <w:t>des taxes, droits et redevances applicables aux activités autres qu’activités minières du titulaire (Article 220 quater)</w:t>
      </w:r>
      <w:r w:rsidRPr="003476DE">
        <w:rPr>
          <w:rFonts w:ascii="Times New Roman" w:hAnsi="Times New Roman" w:cs="Times New Roman"/>
          <w:b/>
          <w:iCs/>
        </w:rPr>
        <w:t> :</w:t>
      </w:r>
    </w:p>
    <w:p w14:paraId="40048CDA" w14:textId="77777777" w:rsidR="00207B98" w:rsidRPr="00840E13" w:rsidRDefault="00207B98" w:rsidP="000738D3">
      <w:pPr>
        <w:pStyle w:val="Paragraphedeliste"/>
        <w:numPr>
          <w:ilvl w:val="0"/>
          <w:numId w:val="23"/>
        </w:numPr>
        <w:autoSpaceDE w:val="0"/>
        <w:autoSpaceDN w:val="0"/>
        <w:adjustRightInd w:val="0"/>
        <w:spacing w:after="0" w:line="240" w:lineRule="auto"/>
        <w:ind w:left="1560" w:right="6" w:hanging="425"/>
        <w:jc w:val="both"/>
        <w:rPr>
          <w:rFonts w:ascii="Times New Roman" w:hAnsi="Times New Roman" w:cs="Times New Roman"/>
          <w:i/>
          <w:iCs/>
        </w:rPr>
      </w:pPr>
      <w:r w:rsidRPr="00840E13">
        <w:rPr>
          <w:rFonts w:ascii="Times New Roman" w:hAnsi="Times New Roman" w:cs="Times New Roman"/>
          <w:i/>
          <w:iCs/>
        </w:rPr>
        <w:t>le titulaire est soumis, dans le cadre de l’exercice des activités autres que ses activités minières, aux autres droits, taxes et redevances de la compétence du Pouvoir central et de celui des provinces et des entités territoriales décentralisées prévus par les lois fixant nomenclature ainsi qu’aux redevances et taxes rémunératoires qui contribuent aux frais de fonctionnement des services publics personnalisés.</w:t>
      </w:r>
    </w:p>
    <w:p w14:paraId="099C5C8B" w14:textId="77777777" w:rsidR="00207B98" w:rsidRPr="00840E13" w:rsidRDefault="00207B98" w:rsidP="000738D3">
      <w:pPr>
        <w:pStyle w:val="Paragraphedeliste"/>
        <w:numPr>
          <w:ilvl w:val="0"/>
          <w:numId w:val="19"/>
        </w:numPr>
        <w:autoSpaceDE w:val="0"/>
        <w:autoSpaceDN w:val="0"/>
        <w:adjustRightInd w:val="0"/>
        <w:spacing w:after="0"/>
        <w:ind w:left="567" w:right="6" w:hanging="283"/>
        <w:jc w:val="both"/>
        <w:rPr>
          <w:rFonts w:ascii="Times New Roman" w:hAnsi="Times New Roman" w:cs="Times New Roman"/>
          <w:b/>
          <w:iCs/>
        </w:rPr>
      </w:pPr>
      <w:r w:rsidRPr="00840E13">
        <w:rPr>
          <w:rFonts w:ascii="Times New Roman" w:hAnsi="Times New Roman" w:cs="Times New Roman"/>
          <w:b/>
          <w:iCs/>
        </w:rPr>
        <w:t>des taxes et redevances du secteur forestier et protection de l’environnement (Article 238 bis)</w:t>
      </w:r>
    </w:p>
    <w:p w14:paraId="4E96EFB3" w14:textId="77777777" w:rsidR="00207B98" w:rsidRPr="00840E13" w:rsidRDefault="00207B98" w:rsidP="004A7EE9">
      <w:pPr>
        <w:pStyle w:val="Paragraphedeliste"/>
        <w:spacing w:after="0"/>
        <w:ind w:left="709" w:right="567"/>
        <w:rPr>
          <w:rFonts w:ascii="Times New Roman" w:hAnsi="Times New Roman" w:cs="Times New Roman"/>
          <w:b/>
        </w:rPr>
      </w:pPr>
      <w:r w:rsidRPr="00840E13">
        <w:rPr>
          <w:rFonts w:ascii="Times New Roman" w:hAnsi="Times New Roman" w:cs="Times New Roman"/>
          <w:i/>
          <w:iCs/>
        </w:rPr>
        <w:t>Le titulaire des droits miniers et des carrières est assujetti :</w:t>
      </w:r>
    </w:p>
    <w:p w14:paraId="0F769081" w14:textId="77777777" w:rsidR="00207B98" w:rsidRPr="00840E13" w:rsidRDefault="00207B98" w:rsidP="000738D3">
      <w:pPr>
        <w:pStyle w:val="Paragraphedeliste"/>
        <w:numPr>
          <w:ilvl w:val="0"/>
          <w:numId w:val="24"/>
        </w:numPr>
        <w:tabs>
          <w:tab w:val="left" w:pos="1560"/>
        </w:tabs>
        <w:autoSpaceDE w:val="0"/>
        <w:autoSpaceDN w:val="0"/>
        <w:adjustRightInd w:val="0"/>
        <w:spacing w:after="0"/>
        <w:ind w:left="1418" w:right="6" w:hanging="142"/>
        <w:jc w:val="both"/>
        <w:rPr>
          <w:rFonts w:ascii="Times New Roman" w:hAnsi="Times New Roman" w:cs="Times New Roman"/>
          <w:i/>
          <w:iCs/>
        </w:rPr>
      </w:pPr>
      <w:r w:rsidRPr="00840E13">
        <w:rPr>
          <w:rFonts w:ascii="Times New Roman" w:hAnsi="Times New Roman" w:cs="Times New Roman"/>
          <w:i/>
          <w:iCs/>
        </w:rPr>
        <w:t>taxe de déboisement ;</w:t>
      </w:r>
    </w:p>
    <w:p w14:paraId="52925C9C" w14:textId="77777777" w:rsidR="00207B98" w:rsidRPr="00840E13" w:rsidRDefault="00207B98" w:rsidP="000738D3">
      <w:pPr>
        <w:pStyle w:val="Paragraphedeliste"/>
        <w:numPr>
          <w:ilvl w:val="0"/>
          <w:numId w:val="24"/>
        </w:numPr>
        <w:tabs>
          <w:tab w:val="left" w:pos="1560"/>
        </w:tabs>
        <w:autoSpaceDE w:val="0"/>
        <w:autoSpaceDN w:val="0"/>
        <w:adjustRightInd w:val="0"/>
        <w:spacing w:after="0"/>
        <w:ind w:left="1418" w:right="6" w:hanging="142"/>
        <w:jc w:val="both"/>
        <w:rPr>
          <w:rFonts w:ascii="Times New Roman" w:hAnsi="Times New Roman" w:cs="Times New Roman"/>
        </w:rPr>
      </w:pPr>
      <w:r w:rsidRPr="00840E13">
        <w:rPr>
          <w:rFonts w:ascii="Times New Roman" w:hAnsi="Times New Roman" w:cs="Times New Roman"/>
          <w:i/>
          <w:iCs/>
        </w:rPr>
        <w:t xml:space="preserve">taxe d’implantation sur les installations classées de la catégorie 1A ; </w:t>
      </w:r>
    </w:p>
    <w:p w14:paraId="53F7ABE8" w14:textId="77777777" w:rsidR="00207B98" w:rsidRPr="00840E13" w:rsidRDefault="00207B98" w:rsidP="000738D3">
      <w:pPr>
        <w:pStyle w:val="Paragraphedeliste"/>
        <w:numPr>
          <w:ilvl w:val="0"/>
          <w:numId w:val="24"/>
        </w:numPr>
        <w:tabs>
          <w:tab w:val="left" w:pos="1560"/>
        </w:tabs>
        <w:autoSpaceDE w:val="0"/>
        <w:autoSpaceDN w:val="0"/>
        <w:adjustRightInd w:val="0"/>
        <w:spacing w:after="0"/>
        <w:ind w:left="1418" w:right="6" w:hanging="142"/>
        <w:jc w:val="both"/>
        <w:rPr>
          <w:rFonts w:ascii="Times New Roman" w:hAnsi="Times New Roman" w:cs="Times New Roman"/>
          <w:i/>
          <w:iCs/>
        </w:rPr>
      </w:pPr>
      <w:r w:rsidRPr="00840E13">
        <w:rPr>
          <w:rFonts w:ascii="Times New Roman" w:hAnsi="Times New Roman" w:cs="Times New Roman"/>
          <w:i/>
          <w:iCs/>
        </w:rPr>
        <w:t xml:space="preserve">taxe rémunératoire annuelle sur les installations classées de la catégorie 1A ; </w:t>
      </w:r>
    </w:p>
    <w:p w14:paraId="5F8AB7F3" w14:textId="77777777" w:rsidR="00207B98" w:rsidRPr="00840E13" w:rsidRDefault="00207B98" w:rsidP="000738D3">
      <w:pPr>
        <w:pStyle w:val="Paragraphedeliste"/>
        <w:numPr>
          <w:ilvl w:val="0"/>
          <w:numId w:val="24"/>
        </w:numPr>
        <w:tabs>
          <w:tab w:val="left" w:pos="1560"/>
        </w:tabs>
        <w:autoSpaceDE w:val="0"/>
        <w:autoSpaceDN w:val="0"/>
        <w:adjustRightInd w:val="0"/>
        <w:ind w:left="1418" w:right="6" w:hanging="142"/>
        <w:jc w:val="both"/>
        <w:rPr>
          <w:rFonts w:ascii="Times New Roman" w:hAnsi="Times New Roman" w:cs="Times New Roman"/>
          <w:i/>
          <w:iCs/>
        </w:rPr>
      </w:pPr>
      <w:r w:rsidRPr="00840E13">
        <w:rPr>
          <w:rFonts w:ascii="Times New Roman" w:hAnsi="Times New Roman" w:cs="Times New Roman"/>
          <w:i/>
          <w:iCs/>
        </w:rPr>
        <w:t xml:space="preserve">taxe de pollution sur les installations classées de la catégorie 1A. </w:t>
      </w:r>
    </w:p>
    <w:p w14:paraId="67BFC8DB" w14:textId="77777777" w:rsidR="00207B98" w:rsidRPr="00840E13" w:rsidRDefault="00207B98" w:rsidP="000738D3">
      <w:pPr>
        <w:pStyle w:val="Paragraphedeliste"/>
        <w:numPr>
          <w:ilvl w:val="0"/>
          <w:numId w:val="19"/>
        </w:numPr>
        <w:autoSpaceDE w:val="0"/>
        <w:autoSpaceDN w:val="0"/>
        <w:adjustRightInd w:val="0"/>
        <w:spacing w:after="0"/>
        <w:ind w:left="567" w:right="6" w:hanging="283"/>
        <w:jc w:val="both"/>
        <w:rPr>
          <w:rFonts w:ascii="Times New Roman" w:hAnsi="Times New Roman" w:cs="Times New Roman"/>
          <w:iCs/>
        </w:rPr>
      </w:pPr>
      <w:r w:rsidRPr="00840E13">
        <w:rPr>
          <w:rFonts w:ascii="Times New Roman" w:hAnsi="Times New Roman" w:cs="Times New Roman"/>
          <w:b/>
          <w:iCs/>
        </w:rPr>
        <w:t>de l’impôt spécial sur les profits excédentaires ou super profits qui est imposable au taux de 50%</w:t>
      </w:r>
      <w:r w:rsidRPr="003476DE">
        <w:rPr>
          <w:rFonts w:ascii="Times New Roman" w:hAnsi="Times New Roman" w:cs="Times New Roman"/>
          <w:b/>
          <w:iCs/>
        </w:rPr>
        <w:t xml:space="preserve">. </w:t>
      </w:r>
    </w:p>
    <w:p w14:paraId="438962C2" w14:textId="77777777" w:rsidR="00207B98" w:rsidRPr="00840E13" w:rsidRDefault="00207B98" w:rsidP="004A7EE9">
      <w:pPr>
        <w:pStyle w:val="Paragraphedeliste"/>
        <w:autoSpaceDE w:val="0"/>
        <w:autoSpaceDN w:val="0"/>
        <w:adjustRightInd w:val="0"/>
        <w:spacing w:after="0"/>
        <w:ind w:left="567" w:right="6"/>
        <w:jc w:val="both"/>
        <w:rPr>
          <w:rFonts w:ascii="Times New Roman" w:hAnsi="Times New Roman" w:cs="Times New Roman"/>
          <w:iCs/>
        </w:rPr>
      </w:pPr>
      <w:r w:rsidRPr="00840E13">
        <w:rPr>
          <w:rFonts w:ascii="Times New Roman" w:hAnsi="Times New Roman" w:cs="Times New Roman"/>
          <w:iCs/>
        </w:rPr>
        <w:t>Le revenu soumis à l’impôt spécial sur le profit excédentaire n’est pas imposable à l’impôt sur les bénéfices et profits. Par profits excédentaires ou super profits, il faut entendre les bénéfices réalisés lorsque les cours des matières ou des commodités connaissent un accroissement exceptionnel, supérieur à 25% par rapport à ceux repris dans l’étude de faisabilité bancable du projet (Article 251 bis) ;</w:t>
      </w:r>
    </w:p>
    <w:p w14:paraId="089E8738" w14:textId="77777777" w:rsidR="00207B98" w:rsidRPr="003476DE" w:rsidRDefault="00207B98" w:rsidP="000738D3">
      <w:pPr>
        <w:pStyle w:val="Paragraphedeliste"/>
        <w:numPr>
          <w:ilvl w:val="0"/>
          <w:numId w:val="19"/>
        </w:numPr>
        <w:autoSpaceDE w:val="0"/>
        <w:autoSpaceDN w:val="0"/>
        <w:adjustRightInd w:val="0"/>
        <w:spacing w:after="0"/>
        <w:ind w:left="567" w:right="6" w:hanging="283"/>
        <w:jc w:val="both"/>
        <w:rPr>
          <w:rFonts w:ascii="Times New Roman" w:hAnsi="Times New Roman" w:cs="Times New Roman"/>
          <w:b/>
          <w:iCs/>
        </w:rPr>
      </w:pPr>
      <w:r w:rsidRPr="00840E13">
        <w:rPr>
          <w:rFonts w:ascii="Times New Roman" w:hAnsi="Times New Roman" w:cs="Times New Roman"/>
          <w:b/>
          <w:iCs/>
        </w:rPr>
        <w:t>de l’impôt spécial sur les plus-values de cession d’actions ou de parts sociales </w:t>
      </w:r>
      <w:r w:rsidRPr="003476DE">
        <w:rPr>
          <w:rFonts w:ascii="Times New Roman" w:hAnsi="Times New Roman" w:cs="Times New Roman"/>
          <w:b/>
          <w:iCs/>
        </w:rPr>
        <w:t>(Article 253 bis) ;</w:t>
      </w:r>
    </w:p>
    <w:p w14:paraId="44B6218C" w14:textId="77777777" w:rsidR="00207B98" w:rsidRPr="00840E13" w:rsidRDefault="00207B98" w:rsidP="000738D3">
      <w:pPr>
        <w:pStyle w:val="Paragraphedeliste"/>
        <w:numPr>
          <w:ilvl w:val="0"/>
          <w:numId w:val="19"/>
        </w:numPr>
        <w:autoSpaceDE w:val="0"/>
        <w:autoSpaceDN w:val="0"/>
        <w:adjustRightInd w:val="0"/>
        <w:spacing w:after="0"/>
        <w:ind w:left="567" w:right="6" w:hanging="283"/>
        <w:jc w:val="both"/>
        <w:rPr>
          <w:rFonts w:ascii="Times New Roman" w:hAnsi="Times New Roman" w:cs="Times New Roman"/>
          <w:iCs/>
        </w:rPr>
      </w:pPr>
      <w:r w:rsidRPr="00840E13">
        <w:rPr>
          <w:rFonts w:ascii="Times New Roman" w:hAnsi="Times New Roman" w:cs="Times New Roman"/>
          <w:b/>
          <w:iCs/>
        </w:rPr>
        <w:t>d’une dotation pour contribution aux projets de développement communautaire</w:t>
      </w:r>
      <w:r w:rsidRPr="003476DE">
        <w:rPr>
          <w:rFonts w:ascii="Times New Roman" w:hAnsi="Times New Roman" w:cs="Times New Roman"/>
          <w:b/>
          <w:iCs/>
        </w:rPr>
        <w:t xml:space="preserve"> </w:t>
      </w:r>
      <w:r w:rsidRPr="00840E13">
        <w:rPr>
          <w:rFonts w:ascii="Times New Roman" w:hAnsi="Times New Roman" w:cs="Times New Roman"/>
          <w:iCs/>
        </w:rPr>
        <w:t xml:space="preserve">que le titulaire de droit minier d’exploitation ou d’autorisation d’exploitation des carrières permanente est tenu de constituer, en franchise de l’impôt sur les bénéfices et profits, et dont le montant minimal est égal à 0,3 % du chiffre d’affaires de l’exercice au cours duquel elle est constituée. La dotation doit être entièrement mise à disposition des communautés locales avant l’expiration de l’exercice suivant celui au cours duquel elle a été constituée (Article 258 bis) ;  </w:t>
      </w:r>
    </w:p>
    <w:p w14:paraId="1A31C629" w14:textId="77777777" w:rsidR="00207B98" w:rsidRPr="00840E13" w:rsidRDefault="00207B98" w:rsidP="000738D3">
      <w:pPr>
        <w:pStyle w:val="Paragraphedeliste"/>
        <w:numPr>
          <w:ilvl w:val="0"/>
          <w:numId w:val="19"/>
        </w:numPr>
        <w:autoSpaceDE w:val="0"/>
        <w:autoSpaceDN w:val="0"/>
        <w:adjustRightInd w:val="0"/>
        <w:spacing w:after="0"/>
        <w:ind w:left="567" w:right="6" w:hanging="283"/>
        <w:jc w:val="both"/>
        <w:rPr>
          <w:rFonts w:ascii="Times New Roman" w:hAnsi="Times New Roman" w:cs="Times New Roman"/>
          <w:iCs/>
        </w:rPr>
      </w:pPr>
      <w:r w:rsidRPr="00840E13">
        <w:rPr>
          <w:rFonts w:ascii="Times New Roman" w:hAnsi="Times New Roman" w:cs="Times New Roman"/>
          <w:b/>
          <w:iCs/>
        </w:rPr>
        <w:t>de l’impôt forfaitaire dans le cadre de l’exploitation artisanale et de l’exploitation minière à petite échelle</w:t>
      </w:r>
      <w:r w:rsidRPr="003476DE">
        <w:rPr>
          <w:rFonts w:ascii="Times New Roman" w:hAnsi="Times New Roman" w:cs="Times New Roman"/>
          <w:b/>
          <w:iCs/>
        </w:rPr>
        <w:t>,</w:t>
      </w:r>
      <w:r w:rsidRPr="00840E13">
        <w:rPr>
          <w:rFonts w:ascii="Times New Roman" w:hAnsi="Times New Roman" w:cs="Times New Roman"/>
          <w:iCs/>
        </w:rPr>
        <w:t xml:space="preserve"> dont le paiement exempte le titulaire du paiement de la redevance minière, de l’impôt mobilier, de l’impôt sur les bénéfices et profits, de l’impôt exceptionnel sur les rémunérations des expatriés (Article 262 al. 4) ;</w:t>
      </w:r>
    </w:p>
    <w:p w14:paraId="028BE59F" w14:textId="77777777" w:rsidR="00207B98" w:rsidRPr="00840E13" w:rsidRDefault="00207B98" w:rsidP="000738D3">
      <w:pPr>
        <w:pStyle w:val="Paragraphedeliste"/>
        <w:numPr>
          <w:ilvl w:val="0"/>
          <w:numId w:val="19"/>
        </w:numPr>
        <w:autoSpaceDE w:val="0"/>
        <w:autoSpaceDN w:val="0"/>
        <w:adjustRightInd w:val="0"/>
        <w:spacing w:after="0"/>
        <w:ind w:left="567" w:right="6" w:hanging="283"/>
        <w:jc w:val="both"/>
        <w:rPr>
          <w:rFonts w:ascii="Times New Roman" w:hAnsi="Times New Roman" w:cs="Times New Roman"/>
          <w:iCs/>
          <w:color w:val="000000"/>
          <w:sz w:val="20"/>
        </w:rPr>
      </w:pPr>
      <w:r w:rsidRPr="00840E13">
        <w:rPr>
          <w:rFonts w:ascii="Times New Roman" w:hAnsi="Times New Roman" w:cs="Times New Roman"/>
          <w:b/>
          <w:iCs/>
        </w:rPr>
        <w:t>de la redevance de suivi de change de 2/1000 que le titulaire est tenu de payer à la Banque Centrale du Congo</w:t>
      </w:r>
      <w:r w:rsidRPr="00840E13">
        <w:rPr>
          <w:rFonts w:ascii="Times New Roman" w:hAnsi="Times New Roman" w:cs="Times New Roman"/>
          <w:iCs/>
        </w:rPr>
        <w:t xml:space="preserve"> sur tout paiement vis-à-vis de l’étranger et sur toute opération de débit ou de crédit effectuée sur son compte principal (Article 270), </w:t>
      </w:r>
    </w:p>
    <w:p w14:paraId="4BF4A641" w14:textId="77777777" w:rsidR="00207B98" w:rsidRPr="00840E13" w:rsidRDefault="00207B98" w:rsidP="000738D3">
      <w:pPr>
        <w:pStyle w:val="Paragraphedeliste"/>
        <w:numPr>
          <w:ilvl w:val="0"/>
          <w:numId w:val="19"/>
        </w:numPr>
        <w:autoSpaceDE w:val="0"/>
        <w:autoSpaceDN w:val="0"/>
        <w:adjustRightInd w:val="0"/>
        <w:ind w:left="567" w:right="6" w:hanging="283"/>
        <w:jc w:val="both"/>
        <w:rPr>
          <w:rFonts w:ascii="Times New Roman" w:hAnsi="Times New Roman" w:cs="Times New Roman"/>
          <w:iCs/>
        </w:rPr>
      </w:pPr>
      <w:r>
        <w:rPr>
          <w:rFonts w:ascii="Times New Roman" w:hAnsi="Times New Roman" w:cs="Times New Roman"/>
          <w:b/>
          <w:iCs/>
        </w:rPr>
        <w:t xml:space="preserve">et aussi d’autres </w:t>
      </w:r>
      <w:r w:rsidRPr="00840E13">
        <w:rPr>
          <w:rFonts w:ascii="Times New Roman" w:hAnsi="Times New Roman" w:cs="Times New Roman"/>
          <w:b/>
          <w:iCs/>
        </w:rPr>
        <w:t>impôts, taxes, droits</w:t>
      </w:r>
      <w:r>
        <w:rPr>
          <w:rFonts w:ascii="Times New Roman" w:hAnsi="Times New Roman" w:cs="Times New Roman"/>
          <w:b/>
          <w:iCs/>
        </w:rPr>
        <w:t>,</w:t>
      </w:r>
      <w:r w:rsidRPr="00840E13">
        <w:rPr>
          <w:rFonts w:ascii="Times New Roman" w:hAnsi="Times New Roman" w:cs="Times New Roman"/>
          <w:b/>
          <w:iCs/>
        </w:rPr>
        <w:t xml:space="preserve"> redevances et autres prélèvements parafiscaux</w:t>
      </w:r>
      <w:r>
        <w:rPr>
          <w:rFonts w:ascii="Times New Roman" w:hAnsi="Times New Roman" w:cs="Times New Roman"/>
          <w:b/>
          <w:iCs/>
        </w:rPr>
        <w:t xml:space="preserve"> présentés dans le tableau qui peut être consulté</w:t>
      </w:r>
      <w:r>
        <w:rPr>
          <w:rStyle w:val="Appelnotedebasdep"/>
          <w:rFonts w:ascii="Times New Roman" w:hAnsi="Times New Roman" w:cs="Times New Roman"/>
          <w:b/>
          <w:iCs/>
        </w:rPr>
        <w:footnoteReference w:id="15"/>
      </w:r>
      <w:r>
        <w:rPr>
          <w:rFonts w:ascii="Times New Roman" w:hAnsi="Times New Roman" w:cs="Times New Roman"/>
          <w:b/>
          <w:iCs/>
        </w:rPr>
        <w:t xml:space="preserve"> sur ce </w:t>
      </w:r>
      <w:hyperlink r:id="rId25" w:history="1">
        <w:r w:rsidRPr="00FD6DD7">
          <w:rPr>
            <w:rStyle w:val="Lienhypertexte"/>
            <w:rFonts w:ascii="Times New Roman" w:hAnsi="Times New Roman"/>
            <w:b/>
            <w:iCs/>
          </w:rPr>
          <w:t>lien</w:t>
        </w:r>
      </w:hyperlink>
    </w:p>
    <w:p w14:paraId="039AECE0" w14:textId="77777777" w:rsidR="00207B98" w:rsidRPr="006443D7" w:rsidRDefault="004A7EE9" w:rsidP="006443D7">
      <w:pPr>
        <w:pStyle w:val="Titre3"/>
        <w:rPr>
          <w:rFonts w:ascii="Times New Roman" w:hAnsi="Times New Roman" w:cs="Times New Roman"/>
          <w:sz w:val="24"/>
          <w:szCs w:val="24"/>
        </w:rPr>
      </w:pPr>
      <w:bookmarkStart w:id="79" w:name="_Toc515589776"/>
      <w:bookmarkStart w:id="80" w:name="_Toc515792939"/>
      <w:bookmarkStart w:id="81" w:name="_Toc515793178"/>
      <w:bookmarkStart w:id="82" w:name="_Toc518135491"/>
      <w:bookmarkStart w:id="83" w:name="_Toc518468062"/>
      <w:r w:rsidRPr="006443D7">
        <w:rPr>
          <w:rFonts w:ascii="Times New Roman" w:hAnsi="Times New Roman" w:cs="Times New Roman"/>
          <w:sz w:val="24"/>
          <w:szCs w:val="24"/>
        </w:rPr>
        <w:t xml:space="preserve">I.2.3. </w:t>
      </w:r>
      <w:r w:rsidR="00207B98" w:rsidRPr="006443D7">
        <w:rPr>
          <w:rFonts w:ascii="Times New Roman" w:hAnsi="Times New Roman" w:cs="Times New Roman"/>
          <w:sz w:val="24"/>
          <w:szCs w:val="24"/>
        </w:rPr>
        <w:t>Niveau de décentralisation fiscale</w:t>
      </w:r>
      <w:bookmarkEnd w:id="79"/>
      <w:bookmarkEnd w:id="80"/>
      <w:bookmarkEnd w:id="81"/>
      <w:r w:rsidR="00207B98" w:rsidRPr="006443D7">
        <w:rPr>
          <w:rFonts w:ascii="Times New Roman" w:hAnsi="Times New Roman" w:cs="Times New Roman"/>
          <w:sz w:val="24"/>
          <w:szCs w:val="24"/>
        </w:rPr>
        <w:t xml:space="preserve"> dans le secteur minier</w:t>
      </w:r>
      <w:bookmarkEnd w:id="82"/>
      <w:bookmarkEnd w:id="83"/>
    </w:p>
    <w:p w14:paraId="697E0F03" w14:textId="77777777" w:rsidR="00207B98" w:rsidRPr="004A7EE9" w:rsidRDefault="00207B98" w:rsidP="004A7EE9">
      <w:pPr>
        <w:spacing w:line="276" w:lineRule="auto"/>
        <w:jc w:val="both"/>
        <w:rPr>
          <w:rFonts w:ascii="Times New Roman" w:hAnsi="Times New Roman"/>
          <w:iCs/>
          <w:sz w:val="24"/>
          <w:szCs w:val="24"/>
        </w:rPr>
      </w:pPr>
      <w:r w:rsidRPr="004A7EE9">
        <w:rPr>
          <w:rFonts w:ascii="Times New Roman" w:hAnsi="Times New Roman"/>
          <w:iCs/>
          <w:sz w:val="24"/>
          <w:szCs w:val="24"/>
        </w:rPr>
        <w:t xml:space="preserve">Le Code Minier tel que modifié et complété par la Loi </w:t>
      </w:r>
      <w:r w:rsidRPr="004A7EE9">
        <w:rPr>
          <w:rFonts w:ascii="Times New Roman" w:hAnsi="Times New Roman"/>
          <w:sz w:val="24"/>
          <w:szCs w:val="24"/>
        </w:rPr>
        <w:t xml:space="preserve">n°18/001 du 09 mars 2018 </w:t>
      </w:r>
      <w:r w:rsidRPr="004A7EE9">
        <w:rPr>
          <w:rFonts w:ascii="Times New Roman" w:hAnsi="Times New Roman"/>
          <w:iCs/>
          <w:sz w:val="24"/>
          <w:szCs w:val="24"/>
        </w:rPr>
        <w:t>distingue clairement les impôts, droits et taxes revenant au Pouvoir central de ceux revenant aux Provinces (Voir ci-dessus, par exemple les articles 220 bis et 220 ter).</w:t>
      </w:r>
    </w:p>
    <w:p w14:paraId="2412C46D" w14:textId="77777777" w:rsidR="00207B98" w:rsidRPr="004A7EE9" w:rsidRDefault="00207B98" w:rsidP="004A7EE9">
      <w:pPr>
        <w:autoSpaceDE w:val="0"/>
        <w:autoSpaceDN w:val="0"/>
        <w:adjustRightInd w:val="0"/>
        <w:spacing w:after="0" w:line="276" w:lineRule="auto"/>
        <w:ind w:right="567"/>
        <w:jc w:val="both"/>
        <w:rPr>
          <w:rFonts w:ascii="Times New Roman" w:hAnsi="Times New Roman"/>
          <w:i/>
          <w:sz w:val="24"/>
          <w:szCs w:val="24"/>
        </w:rPr>
      </w:pPr>
      <w:r w:rsidRPr="004A7EE9">
        <w:rPr>
          <w:rFonts w:ascii="Times New Roman" w:hAnsi="Times New Roman"/>
          <w:sz w:val="24"/>
          <w:szCs w:val="24"/>
        </w:rPr>
        <w:t>Par ailleurs, l’</w:t>
      </w:r>
      <w:r w:rsidRPr="004A7EE9">
        <w:rPr>
          <w:rFonts w:ascii="Times New Roman" w:hAnsi="Times New Roman"/>
          <w:b/>
          <w:i/>
          <w:sz w:val="24"/>
          <w:szCs w:val="24"/>
        </w:rPr>
        <w:t xml:space="preserve">Ordonnance-loi n°13/001 du 23 février 2013 </w:t>
      </w:r>
      <w:r w:rsidRPr="004A7EE9">
        <w:rPr>
          <w:rFonts w:ascii="Times New Roman" w:hAnsi="Times New Roman"/>
          <w:sz w:val="24"/>
          <w:szCs w:val="24"/>
        </w:rPr>
        <w:t xml:space="preserve">fixant la nomenclature des impôts, droits, taxes et redevances des Provinces et des Entités Territoriales Décentralisées ainsi que leurs modalités de répartition liste, dans son </w:t>
      </w:r>
      <w:r w:rsidRPr="004A7EE9">
        <w:rPr>
          <w:rFonts w:ascii="Times New Roman" w:hAnsi="Times New Roman"/>
          <w:b/>
          <w:i/>
          <w:sz w:val="24"/>
          <w:szCs w:val="24"/>
        </w:rPr>
        <w:t>annexe</w:t>
      </w:r>
      <w:r w:rsidRPr="004A7EE9">
        <w:rPr>
          <w:rFonts w:ascii="Times New Roman" w:hAnsi="Times New Roman"/>
          <w:i/>
          <w:sz w:val="24"/>
          <w:szCs w:val="24"/>
        </w:rPr>
        <w:t>, les flux encadrés par les provinces en application de la décentralisation fiscale, y compris ceux de l’artisanat minier.</w:t>
      </w:r>
    </w:p>
    <w:p w14:paraId="7F06575F" w14:textId="77777777" w:rsidR="00207B98" w:rsidRPr="00840E13" w:rsidRDefault="00207B98" w:rsidP="00207B98">
      <w:pPr>
        <w:autoSpaceDE w:val="0"/>
        <w:autoSpaceDN w:val="0"/>
        <w:adjustRightInd w:val="0"/>
        <w:spacing w:after="0" w:line="240" w:lineRule="auto"/>
        <w:ind w:left="1418" w:right="567"/>
        <w:jc w:val="both"/>
        <w:rPr>
          <w:rFonts w:ascii="Times New Roman" w:hAnsi="Times New Roman"/>
          <w:i/>
        </w:rPr>
      </w:pPr>
    </w:p>
    <w:p w14:paraId="3152C62F" w14:textId="77777777" w:rsidR="00207B98" w:rsidRPr="006443D7" w:rsidRDefault="004A7EE9" w:rsidP="006443D7">
      <w:pPr>
        <w:pStyle w:val="Titre3"/>
        <w:rPr>
          <w:rFonts w:ascii="Times New Roman" w:hAnsi="Times New Roman" w:cs="Times New Roman"/>
          <w:sz w:val="24"/>
          <w:szCs w:val="24"/>
        </w:rPr>
      </w:pPr>
      <w:bookmarkStart w:id="84" w:name="_Toc515589777"/>
      <w:bookmarkStart w:id="85" w:name="_Toc515792940"/>
      <w:bookmarkStart w:id="86" w:name="_Toc515793179"/>
      <w:bookmarkStart w:id="87" w:name="_Toc518135492"/>
      <w:bookmarkStart w:id="88" w:name="_Toc518468063"/>
      <w:r w:rsidRPr="006443D7">
        <w:rPr>
          <w:rFonts w:ascii="Times New Roman" w:hAnsi="Times New Roman" w:cs="Times New Roman"/>
          <w:sz w:val="24"/>
          <w:szCs w:val="24"/>
        </w:rPr>
        <w:lastRenderedPageBreak/>
        <w:t xml:space="preserve">1.2.4. </w:t>
      </w:r>
      <w:r w:rsidR="00207B98" w:rsidRPr="006443D7">
        <w:rPr>
          <w:rFonts w:ascii="Times New Roman" w:hAnsi="Times New Roman" w:cs="Times New Roman"/>
          <w:sz w:val="24"/>
          <w:szCs w:val="24"/>
        </w:rPr>
        <w:t xml:space="preserve">Rôle de l’Etat et répartition des compétences </w:t>
      </w:r>
      <w:bookmarkEnd w:id="84"/>
      <w:bookmarkEnd w:id="85"/>
      <w:bookmarkEnd w:id="86"/>
      <w:r w:rsidR="00207B98" w:rsidRPr="006443D7">
        <w:rPr>
          <w:rFonts w:ascii="Times New Roman" w:hAnsi="Times New Roman" w:cs="Times New Roman"/>
          <w:sz w:val="24"/>
          <w:szCs w:val="24"/>
        </w:rPr>
        <w:t>dans le secteur minier</w:t>
      </w:r>
      <w:bookmarkEnd w:id="87"/>
      <w:bookmarkEnd w:id="88"/>
    </w:p>
    <w:p w14:paraId="4F89B77D" w14:textId="77777777" w:rsidR="00207B98" w:rsidRPr="004A7EE9" w:rsidRDefault="00207B98" w:rsidP="004A7EE9">
      <w:pPr>
        <w:spacing w:line="276" w:lineRule="auto"/>
        <w:ind w:right="567"/>
        <w:jc w:val="both"/>
        <w:rPr>
          <w:rFonts w:ascii="Times New Roman" w:hAnsi="Times New Roman"/>
          <w:sz w:val="24"/>
          <w:szCs w:val="24"/>
        </w:rPr>
      </w:pPr>
      <w:r w:rsidRPr="004A7EE9">
        <w:rPr>
          <w:rFonts w:ascii="Times New Roman" w:hAnsi="Times New Roman"/>
          <w:sz w:val="24"/>
          <w:szCs w:val="24"/>
        </w:rPr>
        <w:t xml:space="preserve">Les articles 8 à 16 bis du Code Minier tel que modifié et complété par la </w:t>
      </w:r>
      <w:r w:rsidRPr="004A7EE9">
        <w:rPr>
          <w:rFonts w:ascii="Times New Roman" w:hAnsi="Times New Roman"/>
          <w:b/>
          <w:i/>
          <w:sz w:val="24"/>
          <w:szCs w:val="24"/>
        </w:rPr>
        <w:t>Loi n°18/001 du 09 mars 2018</w:t>
      </w:r>
      <w:r w:rsidRPr="004A7EE9">
        <w:rPr>
          <w:rFonts w:ascii="Times New Roman" w:hAnsi="Times New Roman"/>
          <w:sz w:val="24"/>
          <w:szCs w:val="24"/>
        </w:rPr>
        <w:t xml:space="preserve"> précisent le rôle de l’Etat et répartissent les compétences entre le Gouvernement central et les Gouvernements provinciaux. </w:t>
      </w:r>
    </w:p>
    <w:p w14:paraId="71511C03" w14:textId="77777777" w:rsidR="00207B98" w:rsidRPr="00840E13" w:rsidRDefault="00207B98" w:rsidP="004A7EE9">
      <w:pPr>
        <w:spacing w:line="276" w:lineRule="auto"/>
        <w:ind w:right="567"/>
        <w:jc w:val="both"/>
        <w:rPr>
          <w:rFonts w:ascii="Times New Roman" w:hAnsi="Times New Roman"/>
        </w:rPr>
      </w:pPr>
      <w:r w:rsidRPr="004A7EE9">
        <w:rPr>
          <w:rFonts w:ascii="Times New Roman" w:hAnsi="Times New Roman"/>
          <w:sz w:val="24"/>
          <w:szCs w:val="24"/>
        </w:rPr>
        <w:t>Cette répartition des compétences est restrictive en ce sens qu’en dehors des ministères en charge des Mines, de l’Environnement et des Finances, des gouvernements provinciaux, des services publics qui en dépendent ou qui sont sous leur tutelle ainsi que des organes de l’Etat expressément visés dans le Code ou dans le Règlement minier, aucun autre service ou organisme public ou étatique n’est compétent pour faire appliquer les dispositions du Code Minier et agir directement dans le secteur minier</w:t>
      </w:r>
      <w:r w:rsidRPr="00840E13">
        <w:rPr>
          <w:rFonts w:ascii="Times New Roman" w:hAnsi="Times New Roman"/>
        </w:rPr>
        <w:t xml:space="preserve">. </w:t>
      </w:r>
    </w:p>
    <w:p w14:paraId="4FAC849E" w14:textId="29A37780" w:rsidR="00207B98" w:rsidRPr="0004223F" w:rsidRDefault="0004223F" w:rsidP="0004223F">
      <w:pPr>
        <w:ind w:left="426"/>
        <w:rPr>
          <w:rFonts w:ascii="Times New Roman" w:hAnsi="Times New Roman"/>
          <w:color w:val="2E74B5" w:themeColor="accent1" w:themeShade="BF"/>
          <w:sz w:val="24"/>
          <w:szCs w:val="24"/>
        </w:rPr>
      </w:pPr>
      <w:bookmarkStart w:id="89" w:name="_Toc518135493"/>
      <w:r w:rsidRPr="0004223F">
        <w:rPr>
          <w:rFonts w:ascii="Times New Roman" w:hAnsi="Times New Roman"/>
          <w:color w:val="2E74B5" w:themeColor="accent1" w:themeShade="BF"/>
          <w:sz w:val="24"/>
          <w:szCs w:val="24"/>
        </w:rPr>
        <w:t>1.</w:t>
      </w:r>
      <w:r w:rsidR="00207B98" w:rsidRPr="0004223F">
        <w:rPr>
          <w:rFonts w:ascii="Times New Roman" w:hAnsi="Times New Roman"/>
          <w:color w:val="2E74B5" w:themeColor="accent1" w:themeShade="BF"/>
          <w:sz w:val="24"/>
          <w:szCs w:val="24"/>
        </w:rPr>
        <w:t>2.4.1. Du rôle de l’Etat (Article 8)</w:t>
      </w:r>
      <w:bookmarkEnd w:id="89"/>
    </w:p>
    <w:p w14:paraId="28688009" w14:textId="77777777" w:rsidR="00207B98" w:rsidRPr="004A7EE9" w:rsidRDefault="00207B98" w:rsidP="004A7EE9">
      <w:pPr>
        <w:spacing w:line="276" w:lineRule="auto"/>
        <w:ind w:left="426" w:right="567"/>
        <w:jc w:val="both"/>
        <w:rPr>
          <w:rFonts w:ascii="Times New Roman" w:hAnsi="Times New Roman"/>
          <w:sz w:val="24"/>
          <w:szCs w:val="24"/>
        </w:rPr>
      </w:pPr>
      <w:r w:rsidRPr="004A7EE9">
        <w:rPr>
          <w:rFonts w:ascii="Times New Roman" w:hAnsi="Times New Roman"/>
          <w:sz w:val="24"/>
          <w:szCs w:val="24"/>
        </w:rPr>
        <w:t xml:space="preserve">Le rôle principal de l’Etat est de promouvoir et de réguler le développement du secteur minier. Il assure la mise en valeur des substances minérales dont il est propriétaire en faisant appel notamment à l’initiative privée conformément aux dispositions du Code Minier. </w:t>
      </w:r>
    </w:p>
    <w:p w14:paraId="4C049C8E" w14:textId="77777777" w:rsidR="00207B98" w:rsidRPr="004A7EE9" w:rsidRDefault="00207B98" w:rsidP="004A7EE9">
      <w:pPr>
        <w:spacing w:line="276" w:lineRule="auto"/>
        <w:ind w:left="426" w:right="567"/>
        <w:jc w:val="both"/>
        <w:rPr>
          <w:rFonts w:ascii="Times New Roman" w:hAnsi="Times New Roman"/>
          <w:sz w:val="24"/>
          <w:szCs w:val="24"/>
        </w:rPr>
      </w:pPr>
      <w:r w:rsidRPr="004A7EE9">
        <w:rPr>
          <w:rFonts w:ascii="Times New Roman" w:hAnsi="Times New Roman"/>
          <w:sz w:val="24"/>
          <w:szCs w:val="24"/>
        </w:rPr>
        <w:t>A cet effet, il entreprend, à travers des organismes spécialisés créés à cet effet, des activités d’investigation du sol ou du sous-sol dans le but d’améliorer la connaissance géologique du territoire national ou à des fins scientifiques ou d’amélioration et de promotion de l’information géologique du pays ou de la province qui ne requièrent pas l’obtention d’un droit minier ou d’un droit de carrières.</w:t>
      </w:r>
    </w:p>
    <w:p w14:paraId="67F6D1C5" w14:textId="77826EC7" w:rsidR="00207B98" w:rsidRPr="0004223F" w:rsidRDefault="0004223F" w:rsidP="0004223F">
      <w:pPr>
        <w:ind w:left="426"/>
        <w:rPr>
          <w:rFonts w:ascii="Times New Roman" w:hAnsi="Times New Roman"/>
          <w:color w:val="2E74B5" w:themeColor="accent1" w:themeShade="BF"/>
          <w:sz w:val="24"/>
          <w:szCs w:val="24"/>
        </w:rPr>
      </w:pPr>
      <w:bookmarkStart w:id="90" w:name="_Toc518135494"/>
      <w:r>
        <w:rPr>
          <w:rFonts w:ascii="Times New Roman" w:hAnsi="Times New Roman"/>
          <w:color w:val="2E74B5" w:themeColor="accent1" w:themeShade="BF"/>
          <w:sz w:val="24"/>
          <w:szCs w:val="24"/>
        </w:rPr>
        <w:t>1.</w:t>
      </w:r>
      <w:r w:rsidR="00207B98" w:rsidRPr="0004223F">
        <w:rPr>
          <w:rFonts w:ascii="Times New Roman" w:hAnsi="Times New Roman"/>
          <w:color w:val="2E74B5" w:themeColor="accent1" w:themeShade="BF"/>
          <w:sz w:val="24"/>
          <w:szCs w:val="24"/>
        </w:rPr>
        <w:t>2.4.2. Du fonds minier pour les générations futures  (Article 8 bis)</w:t>
      </w:r>
      <w:bookmarkEnd w:id="90"/>
    </w:p>
    <w:p w14:paraId="02DA58C6" w14:textId="77777777" w:rsidR="00207B98" w:rsidRPr="004A7EE9" w:rsidRDefault="00207B98" w:rsidP="004A7EE9">
      <w:pPr>
        <w:spacing w:line="276" w:lineRule="auto"/>
        <w:ind w:left="426" w:right="567"/>
        <w:jc w:val="both"/>
        <w:rPr>
          <w:rFonts w:ascii="Times New Roman" w:hAnsi="Times New Roman"/>
          <w:sz w:val="24"/>
          <w:szCs w:val="24"/>
        </w:rPr>
      </w:pPr>
      <w:r w:rsidRPr="004A7EE9">
        <w:rPr>
          <w:rFonts w:ascii="Times New Roman" w:hAnsi="Times New Roman"/>
          <w:sz w:val="24"/>
          <w:szCs w:val="24"/>
        </w:rPr>
        <w:t>Le Code Minier a institué un fonds minier pour les générations futures dont les ressources seront constituées d’une quotité de la redevance minière. Un décret du Premier ministre, délibéré en Conseil des ministres, crée et organise ledit fonds.</w:t>
      </w:r>
    </w:p>
    <w:p w14:paraId="0D8C4E1E" w14:textId="44226B7D" w:rsidR="00207B98" w:rsidRPr="0004223F" w:rsidRDefault="0004223F" w:rsidP="0004223F">
      <w:pPr>
        <w:ind w:left="426"/>
        <w:rPr>
          <w:rFonts w:ascii="Times New Roman" w:hAnsi="Times New Roman"/>
          <w:color w:val="2E74B5" w:themeColor="accent1" w:themeShade="BF"/>
          <w:sz w:val="24"/>
          <w:szCs w:val="24"/>
        </w:rPr>
      </w:pPr>
      <w:bookmarkStart w:id="91" w:name="_Toc518135495"/>
      <w:r>
        <w:rPr>
          <w:rFonts w:ascii="Times New Roman" w:hAnsi="Times New Roman"/>
          <w:color w:val="2E74B5" w:themeColor="accent1" w:themeShade="BF"/>
          <w:sz w:val="24"/>
          <w:szCs w:val="24"/>
        </w:rPr>
        <w:t>1.</w:t>
      </w:r>
      <w:r w:rsidR="00207B98" w:rsidRPr="0004223F">
        <w:rPr>
          <w:rFonts w:ascii="Times New Roman" w:hAnsi="Times New Roman"/>
          <w:color w:val="2E74B5" w:themeColor="accent1" w:themeShade="BF"/>
          <w:sz w:val="24"/>
          <w:szCs w:val="24"/>
        </w:rPr>
        <w:t>2.4.3. De la compétence du pouvoir central</w:t>
      </w:r>
      <w:bookmarkEnd w:id="91"/>
    </w:p>
    <w:p w14:paraId="5A9D927E" w14:textId="77777777" w:rsidR="00207B98" w:rsidRPr="00840E13" w:rsidRDefault="00207B98" w:rsidP="000738D3">
      <w:pPr>
        <w:numPr>
          <w:ilvl w:val="0"/>
          <w:numId w:val="15"/>
        </w:numPr>
        <w:spacing w:after="67" w:line="240" w:lineRule="auto"/>
        <w:ind w:left="851" w:right="567" w:hanging="360"/>
        <w:jc w:val="both"/>
        <w:rPr>
          <w:rFonts w:ascii="Times New Roman" w:hAnsi="Times New Roman"/>
          <w:i/>
        </w:rPr>
      </w:pPr>
      <w:r w:rsidRPr="00840E13">
        <w:rPr>
          <w:rFonts w:ascii="Times New Roman" w:hAnsi="Times New Roman"/>
          <w:b/>
          <w:i/>
        </w:rPr>
        <w:t xml:space="preserve">Le Premier ministre </w:t>
      </w:r>
      <w:r w:rsidRPr="00840E13">
        <w:rPr>
          <w:rFonts w:ascii="Times New Roman" w:hAnsi="Times New Roman"/>
          <w:sz w:val="20"/>
        </w:rPr>
        <w:t>(Article 9)</w:t>
      </w:r>
      <w:r w:rsidRPr="00840E13">
        <w:rPr>
          <w:rFonts w:ascii="Times New Roman" w:hAnsi="Times New Roman"/>
          <w:b/>
          <w:i/>
          <w:sz w:val="20"/>
        </w:rPr>
        <w:t xml:space="preserve"> </w:t>
      </w:r>
    </w:p>
    <w:p w14:paraId="6A09C217" w14:textId="77777777" w:rsidR="00207B98" w:rsidRPr="00840E13" w:rsidRDefault="00207B98" w:rsidP="004A7EE9">
      <w:pPr>
        <w:spacing w:line="240" w:lineRule="auto"/>
        <w:ind w:left="851" w:right="567"/>
        <w:jc w:val="both"/>
        <w:rPr>
          <w:rFonts w:ascii="Times New Roman" w:hAnsi="Times New Roman"/>
        </w:rPr>
      </w:pPr>
      <w:r w:rsidRPr="00840E13">
        <w:rPr>
          <w:rFonts w:ascii="Times New Roman" w:hAnsi="Times New Roman"/>
        </w:rPr>
        <w:t>Le Premier ministre est compétent pour :</w:t>
      </w:r>
    </w:p>
    <w:p w14:paraId="1367CFCA"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szCs w:val="20"/>
        </w:rPr>
      </w:pPr>
      <w:r w:rsidRPr="00840E13">
        <w:rPr>
          <w:rFonts w:ascii="Times New Roman" w:hAnsi="Times New Roman" w:cs="Times New Roman"/>
          <w:szCs w:val="20"/>
        </w:rPr>
        <w:t xml:space="preserve">édicter ou modifier le Règlement minier qui porte les mesures d’application du Code minier ; </w:t>
      </w:r>
    </w:p>
    <w:p w14:paraId="109B2D49"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szCs w:val="20"/>
        </w:rPr>
      </w:pPr>
      <w:r w:rsidRPr="00840E13">
        <w:rPr>
          <w:rFonts w:ascii="Times New Roman" w:hAnsi="Times New Roman" w:cs="Times New Roman"/>
          <w:szCs w:val="20"/>
        </w:rPr>
        <w:t xml:space="preserve">classer, déclasser ou reclasser les substances minérales en mines ou en produits des carrières et inversement ; </w:t>
      </w:r>
    </w:p>
    <w:p w14:paraId="2C250623"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szCs w:val="20"/>
        </w:rPr>
      </w:pPr>
      <w:r w:rsidRPr="00840E13">
        <w:rPr>
          <w:rFonts w:ascii="Times New Roman" w:hAnsi="Times New Roman" w:cs="Times New Roman"/>
          <w:szCs w:val="20"/>
        </w:rPr>
        <w:t>confirmer la réservation d’un gisement soumis à l’appel d’offres faite par arrêté du ministre ;</w:t>
      </w:r>
    </w:p>
    <w:p w14:paraId="23694488"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szCs w:val="20"/>
        </w:rPr>
      </w:pPr>
      <w:r w:rsidRPr="00840E13">
        <w:rPr>
          <w:rFonts w:ascii="Times New Roman" w:hAnsi="Times New Roman" w:cs="Times New Roman"/>
          <w:szCs w:val="20"/>
        </w:rPr>
        <w:t xml:space="preserve">déclarer une substance minérale substance minérale stratégique ; </w:t>
      </w:r>
    </w:p>
    <w:p w14:paraId="1876EAC1"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szCs w:val="20"/>
        </w:rPr>
      </w:pPr>
      <w:r w:rsidRPr="00840E13">
        <w:rPr>
          <w:rFonts w:ascii="Times New Roman" w:hAnsi="Times New Roman" w:cs="Times New Roman"/>
          <w:szCs w:val="20"/>
        </w:rPr>
        <w:t xml:space="preserve">décréter une zone interdite aux travaux miniers, à l’activité minière ou aux travaux de carrières ; </w:t>
      </w:r>
    </w:p>
    <w:p w14:paraId="25189D52"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szCs w:val="20"/>
        </w:rPr>
      </w:pPr>
      <w:r w:rsidRPr="00840E13">
        <w:rPr>
          <w:rFonts w:ascii="Times New Roman" w:hAnsi="Times New Roman" w:cs="Times New Roman"/>
          <w:szCs w:val="20"/>
        </w:rPr>
        <w:t xml:space="preserve">déclarer le classement ou le déclassement d’une substance minérale en substance réservée ; </w:t>
      </w:r>
    </w:p>
    <w:p w14:paraId="3C5816E6"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szCs w:val="20"/>
        </w:rPr>
      </w:pPr>
      <w:r w:rsidRPr="00840E13">
        <w:rPr>
          <w:rFonts w:ascii="Times New Roman" w:hAnsi="Times New Roman" w:cs="Times New Roman"/>
          <w:szCs w:val="20"/>
        </w:rPr>
        <w:t>délimiter ou classer  une portion du territoire en aire protégée.</w:t>
      </w:r>
    </w:p>
    <w:p w14:paraId="1A7353AB" w14:textId="77777777" w:rsidR="00207B98" w:rsidRDefault="00207B98" w:rsidP="004A7EE9">
      <w:pPr>
        <w:spacing w:line="240" w:lineRule="auto"/>
        <w:ind w:left="851" w:right="567"/>
        <w:jc w:val="both"/>
        <w:rPr>
          <w:rFonts w:ascii="Times New Roman" w:hAnsi="Times New Roman"/>
        </w:rPr>
      </w:pPr>
      <w:r w:rsidRPr="00840E13">
        <w:rPr>
          <w:rFonts w:ascii="Times New Roman" w:hAnsi="Times New Roman"/>
        </w:rPr>
        <w:lastRenderedPageBreak/>
        <w:t>Le Premier ministre exerce les prérogatives ci-dessus par voie de décret, délibéré en Conseil des ministres sur proposition du ministre, et le cas échéant, des ministres compétents. L’exercice des prérogatives reconnues au Premier ministre n’est pas susceptible de délégation.</w:t>
      </w:r>
    </w:p>
    <w:p w14:paraId="555D7FFE" w14:textId="77777777" w:rsidR="00207B98" w:rsidRPr="00840E13" w:rsidRDefault="00207B98" w:rsidP="000738D3">
      <w:pPr>
        <w:numPr>
          <w:ilvl w:val="0"/>
          <w:numId w:val="15"/>
        </w:numPr>
        <w:spacing w:after="67" w:line="240" w:lineRule="auto"/>
        <w:ind w:left="851" w:right="567" w:hanging="360"/>
        <w:jc w:val="both"/>
        <w:rPr>
          <w:rFonts w:ascii="Times New Roman" w:hAnsi="Times New Roman"/>
        </w:rPr>
      </w:pPr>
      <w:r w:rsidRPr="00840E13">
        <w:rPr>
          <w:rFonts w:ascii="Times New Roman" w:hAnsi="Times New Roman"/>
          <w:b/>
          <w:i/>
        </w:rPr>
        <w:t xml:space="preserve">Le Ministre des Mines </w:t>
      </w:r>
      <w:r w:rsidRPr="00840E13">
        <w:rPr>
          <w:rFonts w:ascii="Times New Roman" w:hAnsi="Times New Roman"/>
          <w:sz w:val="20"/>
        </w:rPr>
        <w:t xml:space="preserve">(Article 10) </w:t>
      </w:r>
    </w:p>
    <w:p w14:paraId="7F0407F0" w14:textId="77777777" w:rsidR="00207B98" w:rsidRPr="00840E13" w:rsidRDefault="00207B98" w:rsidP="00D37D46">
      <w:pPr>
        <w:spacing w:after="0" w:line="240" w:lineRule="auto"/>
        <w:ind w:left="851" w:right="567"/>
        <w:jc w:val="both"/>
        <w:rPr>
          <w:rFonts w:ascii="Times New Roman" w:hAnsi="Times New Roman"/>
        </w:rPr>
      </w:pPr>
      <w:r w:rsidRPr="00840E13">
        <w:rPr>
          <w:rFonts w:ascii="Times New Roman" w:hAnsi="Times New Roman"/>
        </w:rPr>
        <w:t xml:space="preserve">Le Ministre des Mines est compétent pour : </w:t>
      </w:r>
    </w:p>
    <w:p w14:paraId="58B18C21"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 xml:space="preserve">octroyer ou refuser d’octroyer les droits miniers et/ou de carrières pour les substances minérales autres que les matériaux de construction à usage courant ; </w:t>
      </w:r>
    </w:p>
    <w:p w14:paraId="2E59B744"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 xml:space="preserve">déchoir le titulaire, retirer les droits miniers et/ou de carrières, donner acte aux déclarations de renonciation aux droits miniers et/ou de carrières et acter l’expiration des droits miniers et/ou de carrières, conformément aux dispositions du Code Minier ; </w:t>
      </w:r>
    </w:p>
    <w:p w14:paraId="42D8670C"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 xml:space="preserve">autoriser, par dérogation, les exportations des minerais à l’état brut par arrêté interministériel délibéré en Conseil des ministres ; </w:t>
      </w:r>
    </w:p>
    <w:p w14:paraId="02F60BCF"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instituer les zones d’exploitation artisanale ;</w:t>
      </w:r>
    </w:p>
    <w:p w14:paraId="342FAC83"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agréer et retirer l’agrément des comptoirs d’achat des produits de l’exploitation artisanale, des coopératives minières ou des produits de carrières et des entités de traitement des substances minérales ;</w:t>
      </w:r>
    </w:p>
    <w:p w14:paraId="23F9ECCB"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autoriser l’extension des travaux d’exploitation ;</w:t>
      </w:r>
    </w:p>
    <w:p w14:paraId="45FDF200"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approuver les hypothèques minières ;</w:t>
      </w:r>
    </w:p>
    <w:p w14:paraId="3A39C411"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exercer la tutelle des Services publics spécialisés du ministère des Mines ;</w:t>
      </w:r>
    </w:p>
    <w:p w14:paraId="55238063"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réserver les gisements à soumettre à l’appel d’offres, à confirmer par le Premier ministre ;</w:t>
      </w:r>
    </w:p>
    <w:p w14:paraId="4E01495B"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accepter ou refuser l’extension d’un droit minier ou de carrières aux substances non associées ;</w:t>
      </w:r>
    </w:p>
    <w:p w14:paraId="2267F769"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délivrer les autorisations de traitement des produits de l’exploitation artisanale ;</w:t>
      </w:r>
    </w:p>
    <w:p w14:paraId="098B3856"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 xml:space="preserve">proposer au Premier ministre le classement, le reclassement ou le déclassement des substances réservées, des substances minérales classées en mines ou en produits de carrières et inversement ainsi que des zones interdites ; </w:t>
      </w:r>
    </w:p>
    <w:p w14:paraId="3CFCEFC4"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 xml:space="preserve">nommer, sur proposition des ministres sectoriels concernés, les membres de la Commission interministérielle chargée de sélectionner les offres relatives à l’exploitation d’un gisement soumis à l’appel d’offres ainsi que les membres de la Commission interministérielle chargée d’examiner les listes des biens à importer pour les activités minières ; </w:t>
      </w:r>
    </w:p>
    <w:p w14:paraId="4E8718B4"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agréer les mandataires en mines et carrières ;</w:t>
      </w:r>
    </w:p>
    <w:p w14:paraId="2FCB9DD0"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agréer les laboratoires d’analyses des substances minérales ;</w:t>
      </w:r>
    </w:p>
    <w:p w14:paraId="31720809"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 xml:space="preserve">agréer les bureaux d’études géologiques ; </w:t>
      </w:r>
    </w:p>
    <w:p w14:paraId="7EAB0214"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 xml:space="preserve">approuver ou refuser les transferts des droits miniers ; </w:t>
      </w:r>
    </w:p>
    <w:p w14:paraId="017BBE0B"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 xml:space="preserve">édicter, en collaboration avec les ministres ayant l’Economie et le Commerce extérieur dans leurs attributions,  la nomenclature des produits marchands ; </w:t>
      </w:r>
    </w:p>
    <w:p w14:paraId="03365A61"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statuer sur les résultats des audits environnementaux conjointement avec le ministre ayant l’Environnement dans ses attributions ;</w:t>
      </w:r>
    </w:p>
    <w:p w14:paraId="5735FF6C"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 xml:space="preserve">approuver, conjointement avec le ministre ayant les Finances dans ses attributions, les listes des biens à importer sous le régime douanier privilégié ;  </w:t>
      </w:r>
    </w:p>
    <w:p w14:paraId="4D94C2D0"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fixer, conjointement avec le ministre ayant les Finances dans ses attributions, les taux des droits, taxes et redevances à percevoir à l’initiative du ministre en charge des mines.</w:t>
      </w:r>
    </w:p>
    <w:p w14:paraId="5F02785B" w14:textId="77777777" w:rsidR="00207B98" w:rsidRPr="00840E13" w:rsidRDefault="00207B98" w:rsidP="00207B98">
      <w:pPr>
        <w:pStyle w:val="Paragraphedeliste"/>
        <w:spacing w:after="0" w:line="240" w:lineRule="auto"/>
        <w:ind w:left="1843" w:right="567"/>
        <w:rPr>
          <w:rFonts w:ascii="Times New Roman" w:hAnsi="Times New Roman" w:cs="Times New Roman"/>
          <w:sz w:val="8"/>
          <w:szCs w:val="8"/>
        </w:rPr>
      </w:pPr>
    </w:p>
    <w:p w14:paraId="7CD0303E" w14:textId="77777777" w:rsidR="00207B98" w:rsidRPr="00D37D46" w:rsidRDefault="00207B98" w:rsidP="000738D3">
      <w:pPr>
        <w:numPr>
          <w:ilvl w:val="0"/>
          <w:numId w:val="15"/>
        </w:numPr>
        <w:spacing w:after="67" w:line="240" w:lineRule="auto"/>
        <w:ind w:left="851" w:right="567" w:hanging="360"/>
        <w:jc w:val="both"/>
        <w:rPr>
          <w:rFonts w:ascii="Times New Roman" w:hAnsi="Times New Roman"/>
          <w:b/>
          <w:i/>
        </w:rPr>
      </w:pPr>
      <w:r w:rsidRPr="00840E13">
        <w:rPr>
          <w:rFonts w:ascii="Times New Roman" w:hAnsi="Times New Roman"/>
          <w:b/>
          <w:i/>
        </w:rPr>
        <w:t xml:space="preserve">L’Administration des mines </w:t>
      </w:r>
      <w:r w:rsidRPr="00D37D46">
        <w:rPr>
          <w:rFonts w:ascii="Times New Roman" w:hAnsi="Times New Roman"/>
          <w:b/>
          <w:i/>
        </w:rPr>
        <w:t>(Article 10 bis)</w:t>
      </w:r>
    </w:p>
    <w:p w14:paraId="59D7BE05" w14:textId="77777777" w:rsidR="00207B98" w:rsidRPr="00D37D46" w:rsidRDefault="00207B98" w:rsidP="00D37D46">
      <w:pPr>
        <w:spacing w:line="240" w:lineRule="auto"/>
        <w:ind w:left="851" w:right="567"/>
        <w:jc w:val="both"/>
        <w:rPr>
          <w:rFonts w:ascii="Times New Roman" w:hAnsi="Times New Roman"/>
          <w:sz w:val="24"/>
          <w:szCs w:val="24"/>
        </w:rPr>
      </w:pPr>
      <w:r w:rsidRPr="00D37D46">
        <w:rPr>
          <w:rFonts w:ascii="Times New Roman" w:hAnsi="Times New Roman"/>
          <w:sz w:val="24"/>
          <w:szCs w:val="24"/>
        </w:rPr>
        <w:t xml:space="preserve">L’Administration des mines comprend le Secrétariat Général, les Directions, les Divisions et autres Services administratifs du ministère en charge des mines, y compris ceux qui interviennent dans l’administration du Code minier et de toutes ses mesures d’application. Ils sont régis conformément aux textes légaux et réglementaires en vigueur relatifs à l’Administration publique. </w:t>
      </w:r>
    </w:p>
    <w:p w14:paraId="44A1BDA0" w14:textId="77777777" w:rsidR="00207B98" w:rsidRPr="00D37D46" w:rsidRDefault="00207B98" w:rsidP="00D37D46">
      <w:pPr>
        <w:spacing w:after="0" w:line="240" w:lineRule="auto"/>
        <w:ind w:left="851" w:right="567"/>
        <w:jc w:val="both"/>
        <w:rPr>
          <w:rFonts w:ascii="Times New Roman" w:hAnsi="Times New Roman"/>
          <w:sz w:val="24"/>
          <w:szCs w:val="24"/>
        </w:rPr>
      </w:pPr>
      <w:r w:rsidRPr="00D37D46">
        <w:rPr>
          <w:rFonts w:ascii="Times New Roman" w:hAnsi="Times New Roman"/>
          <w:sz w:val="24"/>
          <w:szCs w:val="24"/>
        </w:rPr>
        <w:lastRenderedPageBreak/>
        <w:t xml:space="preserve">Les directions techniques qui interviennent dans le processus de l’octroi de droits miniers et/ou de carrières sont : </w:t>
      </w:r>
    </w:p>
    <w:p w14:paraId="0BF48DFA"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la Direction de géologie ;</w:t>
      </w:r>
    </w:p>
    <w:p w14:paraId="3FF7640C"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la Direction des mines ;</w:t>
      </w:r>
    </w:p>
    <w:p w14:paraId="10C5EAFE"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la Direction de protection de l’environnement minier.</w:t>
      </w:r>
    </w:p>
    <w:p w14:paraId="13D4C275" w14:textId="77777777" w:rsidR="00207B98" w:rsidRPr="00D37D46" w:rsidRDefault="00207B98" w:rsidP="00D37D46">
      <w:pPr>
        <w:spacing w:line="240" w:lineRule="auto"/>
        <w:ind w:left="851" w:right="567"/>
        <w:jc w:val="both"/>
        <w:rPr>
          <w:rFonts w:ascii="Times New Roman" w:hAnsi="Times New Roman"/>
          <w:sz w:val="24"/>
          <w:szCs w:val="24"/>
        </w:rPr>
      </w:pPr>
      <w:r w:rsidRPr="00D37D46">
        <w:rPr>
          <w:rFonts w:ascii="Times New Roman" w:hAnsi="Times New Roman"/>
          <w:sz w:val="24"/>
          <w:szCs w:val="24"/>
        </w:rPr>
        <w:t>Le Règlement minier détermine les attributions de chacun des services de l’Administration des mines.</w:t>
      </w:r>
    </w:p>
    <w:p w14:paraId="6434AE1C" w14:textId="372C9379" w:rsidR="00207B98" w:rsidRPr="0004223F" w:rsidRDefault="0004223F" w:rsidP="0004223F">
      <w:pPr>
        <w:ind w:left="426"/>
        <w:rPr>
          <w:rFonts w:ascii="Times New Roman" w:hAnsi="Times New Roman"/>
          <w:color w:val="2E74B5" w:themeColor="accent1" w:themeShade="BF"/>
          <w:sz w:val="24"/>
          <w:szCs w:val="24"/>
        </w:rPr>
      </w:pPr>
      <w:bookmarkStart w:id="92" w:name="_Toc518135496"/>
      <w:r>
        <w:rPr>
          <w:rFonts w:ascii="Times New Roman" w:hAnsi="Times New Roman"/>
          <w:color w:val="2E74B5" w:themeColor="accent1" w:themeShade="BF"/>
          <w:sz w:val="24"/>
          <w:szCs w:val="24"/>
        </w:rPr>
        <w:t>1.</w:t>
      </w:r>
      <w:r w:rsidR="00207B98" w:rsidRPr="0004223F">
        <w:rPr>
          <w:rFonts w:ascii="Times New Roman" w:hAnsi="Times New Roman"/>
          <w:color w:val="2E74B5" w:themeColor="accent1" w:themeShade="BF"/>
          <w:sz w:val="24"/>
          <w:szCs w:val="24"/>
        </w:rPr>
        <w:t>2.4.4. De la compétence de la province</w:t>
      </w:r>
      <w:bookmarkEnd w:id="92"/>
    </w:p>
    <w:p w14:paraId="54085D6F" w14:textId="77777777" w:rsidR="00207B98" w:rsidRPr="00D37D46" w:rsidRDefault="00207B98" w:rsidP="000738D3">
      <w:pPr>
        <w:numPr>
          <w:ilvl w:val="0"/>
          <w:numId w:val="28"/>
        </w:numPr>
        <w:tabs>
          <w:tab w:val="left" w:pos="851"/>
          <w:tab w:val="left" w:pos="1418"/>
        </w:tabs>
        <w:spacing w:after="67" w:line="240" w:lineRule="auto"/>
        <w:ind w:left="426" w:right="567"/>
        <w:jc w:val="both"/>
        <w:rPr>
          <w:rFonts w:ascii="Times New Roman" w:hAnsi="Times New Roman"/>
          <w:b/>
          <w:i/>
        </w:rPr>
      </w:pPr>
      <w:r w:rsidRPr="00840E13">
        <w:rPr>
          <w:rFonts w:ascii="Times New Roman" w:hAnsi="Times New Roman"/>
          <w:b/>
          <w:i/>
        </w:rPr>
        <w:t>Le</w:t>
      </w:r>
      <w:r w:rsidRPr="00D37D46">
        <w:rPr>
          <w:rFonts w:ascii="Times New Roman" w:hAnsi="Times New Roman"/>
          <w:b/>
          <w:i/>
        </w:rPr>
        <w:t xml:space="preserve"> </w:t>
      </w:r>
      <w:r w:rsidRPr="00840E13">
        <w:rPr>
          <w:rFonts w:ascii="Times New Roman" w:hAnsi="Times New Roman"/>
          <w:b/>
          <w:i/>
        </w:rPr>
        <w:t>Gouverneur de Province</w:t>
      </w:r>
      <w:r w:rsidRPr="00D37D46">
        <w:rPr>
          <w:rFonts w:ascii="Times New Roman" w:hAnsi="Times New Roman"/>
          <w:b/>
          <w:i/>
        </w:rPr>
        <w:t xml:space="preserve"> (Article 11)</w:t>
      </w:r>
    </w:p>
    <w:p w14:paraId="5FF54F6D" w14:textId="77777777" w:rsidR="00207B98" w:rsidRPr="00D37D46" w:rsidRDefault="00207B98" w:rsidP="00970C38">
      <w:pPr>
        <w:spacing w:line="240" w:lineRule="auto"/>
        <w:ind w:left="851" w:right="567"/>
        <w:jc w:val="both"/>
        <w:rPr>
          <w:rFonts w:ascii="Times New Roman" w:hAnsi="Times New Roman"/>
          <w:sz w:val="24"/>
          <w:szCs w:val="24"/>
        </w:rPr>
      </w:pPr>
      <w:r w:rsidRPr="00D37D46">
        <w:rPr>
          <w:rFonts w:ascii="Times New Roman" w:hAnsi="Times New Roman"/>
          <w:sz w:val="24"/>
          <w:szCs w:val="24"/>
        </w:rPr>
        <w:t xml:space="preserve">En plus des prérogatives lui reconnues notamment par la loi n°08/012 du 31 juillet 2008 portant principes généraux sur la libre administration des Provinces  et  des  Entités Territoriales Décentralisées et d’autres lois en la matière, le Gouverneur de province est compétent pour : </w:t>
      </w:r>
    </w:p>
    <w:p w14:paraId="60F4FC36" w14:textId="77777777" w:rsidR="00207B98" w:rsidRPr="00840E13" w:rsidRDefault="00207B98" w:rsidP="000738D3">
      <w:pPr>
        <w:pStyle w:val="Paragraphedeliste"/>
        <w:numPr>
          <w:ilvl w:val="0"/>
          <w:numId w:val="25"/>
        </w:numPr>
        <w:spacing w:after="67" w:line="240" w:lineRule="auto"/>
        <w:ind w:left="1843" w:right="567" w:hanging="283"/>
        <w:jc w:val="both"/>
        <w:rPr>
          <w:rFonts w:ascii="Times New Roman" w:hAnsi="Times New Roman" w:cs="Times New Roman"/>
        </w:rPr>
      </w:pPr>
      <w:r w:rsidRPr="00840E13">
        <w:rPr>
          <w:rFonts w:ascii="Times New Roman" w:hAnsi="Times New Roman" w:cs="Times New Roman"/>
        </w:rPr>
        <w:t xml:space="preserve">élaborer et proposer, conformément aux normes générales du planning national, à l’assemblée provinciale la politique provinciale relative aux programmes miniers, minéralogiques, industriels, énergétiques d’intérêt provincial ; </w:t>
      </w:r>
    </w:p>
    <w:p w14:paraId="317C87DF" w14:textId="77777777" w:rsidR="00207B98" w:rsidRPr="00840E13" w:rsidRDefault="00207B98" w:rsidP="000738D3">
      <w:pPr>
        <w:pStyle w:val="Paragraphedeliste"/>
        <w:numPr>
          <w:ilvl w:val="0"/>
          <w:numId w:val="25"/>
        </w:numPr>
        <w:spacing w:after="67" w:line="240" w:lineRule="auto"/>
        <w:ind w:left="1843" w:right="567" w:hanging="283"/>
        <w:jc w:val="both"/>
        <w:rPr>
          <w:rFonts w:ascii="Times New Roman" w:hAnsi="Times New Roman" w:cs="Times New Roman"/>
        </w:rPr>
      </w:pPr>
      <w:r w:rsidRPr="00840E13">
        <w:rPr>
          <w:rFonts w:ascii="Times New Roman" w:hAnsi="Times New Roman" w:cs="Times New Roman"/>
        </w:rPr>
        <w:t xml:space="preserve">superviser l’exécution par le gouvernement provincial des édits relatifs à la politique provinciale relative aux programmes miniers, minéralogiques, industriels, énergétiques d’intérêt provincial ; </w:t>
      </w:r>
    </w:p>
    <w:p w14:paraId="11755134" w14:textId="77777777" w:rsidR="00207B98" w:rsidRPr="00840E13" w:rsidRDefault="00207B98" w:rsidP="000738D3">
      <w:pPr>
        <w:pStyle w:val="Paragraphedeliste"/>
        <w:numPr>
          <w:ilvl w:val="0"/>
          <w:numId w:val="25"/>
        </w:numPr>
        <w:spacing w:after="67" w:line="240" w:lineRule="auto"/>
        <w:ind w:left="1843" w:right="567" w:hanging="283"/>
        <w:jc w:val="both"/>
        <w:rPr>
          <w:rFonts w:ascii="Times New Roman" w:hAnsi="Times New Roman" w:cs="Times New Roman"/>
        </w:rPr>
      </w:pPr>
      <w:r w:rsidRPr="00840E13">
        <w:rPr>
          <w:rFonts w:ascii="Times New Roman" w:hAnsi="Times New Roman" w:cs="Times New Roman"/>
        </w:rPr>
        <w:t xml:space="preserve">proposer l’érection d’une zone interdite aux activités minières ; </w:t>
      </w:r>
    </w:p>
    <w:p w14:paraId="5CB8ED8A" w14:textId="77777777" w:rsidR="00207B98" w:rsidRPr="00840E13" w:rsidRDefault="00207B98" w:rsidP="000738D3">
      <w:pPr>
        <w:pStyle w:val="Paragraphedeliste"/>
        <w:numPr>
          <w:ilvl w:val="0"/>
          <w:numId w:val="25"/>
        </w:numPr>
        <w:spacing w:after="67" w:line="240" w:lineRule="auto"/>
        <w:ind w:left="1843" w:right="567" w:hanging="283"/>
        <w:jc w:val="both"/>
        <w:rPr>
          <w:rFonts w:ascii="Times New Roman" w:hAnsi="Times New Roman" w:cs="Times New Roman"/>
        </w:rPr>
      </w:pPr>
      <w:r w:rsidRPr="00840E13">
        <w:rPr>
          <w:rFonts w:ascii="Times New Roman" w:hAnsi="Times New Roman" w:cs="Times New Roman"/>
        </w:rPr>
        <w:t xml:space="preserve">émettre un avis en cas d’institution d’une zone d’exploitation artisanale. </w:t>
      </w:r>
    </w:p>
    <w:p w14:paraId="3D7DA312" w14:textId="77777777" w:rsidR="00207B98" w:rsidRPr="00840E13" w:rsidRDefault="00207B98" w:rsidP="00207B98">
      <w:pPr>
        <w:pStyle w:val="Paragraphedeliste"/>
        <w:spacing w:line="240" w:lineRule="auto"/>
        <w:ind w:left="1843" w:right="567"/>
        <w:rPr>
          <w:rFonts w:ascii="Times New Roman" w:hAnsi="Times New Roman" w:cs="Times New Roman"/>
          <w:sz w:val="10"/>
          <w:szCs w:val="10"/>
        </w:rPr>
      </w:pPr>
    </w:p>
    <w:p w14:paraId="17E5BE83" w14:textId="77777777" w:rsidR="00207B98" w:rsidRPr="00970C38" w:rsidRDefault="00207B98" w:rsidP="000738D3">
      <w:pPr>
        <w:numPr>
          <w:ilvl w:val="0"/>
          <w:numId w:val="28"/>
        </w:numPr>
        <w:tabs>
          <w:tab w:val="left" w:pos="851"/>
        </w:tabs>
        <w:spacing w:after="67" w:line="240" w:lineRule="auto"/>
        <w:ind w:left="426" w:right="567"/>
        <w:jc w:val="both"/>
        <w:rPr>
          <w:rFonts w:ascii="Times New Roman" w:hAnsi="Times New Roman"/>
          <w:b/>
          <w:i/>
        </w:rPr>
      </w:pPr>
      <w:r w:rsidRPr="00840E13">
        <w:rPr>
          <w:rFonts w:ascii="Times New Roman" w:hAnsi="Times New Roman"/>
          <w:b/>
          <w:i/>
        </w:rPr>
        <w:t xml:space="preserve">Le Ministre provincial </w:t>
      </w:r>
      <w:r w:rsidRPr="00970C38">
        <w:rPr>
          <w:rFonts w:ascii="Times New Roman" w:hAnsi="Times New Roman"/>
          <w:b/>
          <w:i/>
        </w:rPr>
        <w:t>(Article 11 bis)</w:t>
      </w:r>
    </w:p>
    <w:p w14:paraId="63CA5A50" w14:textId="77777777" w:rsidR="00207B98" w:rsidRPr="00970C38" w:rsidRDefault="00207B98" w:rsidP="00970C38">
      <w:pPr>
        <w:spacing w:after="0" w:line="276" w:lineRule="auto"/>
        <w:ind w:left="851" w:right="567"/>
        <w:jc w:val="both"/>
        <w:rPr>
          <w:rFonts w:ascii="Times New Roman" w:hAnsi="Times New Roman"/>
          <w:sz w:val="24"/>
          <w:szCs w:val="24"/>
        </w:rPr>
      </w:pPr>
      <w:r w:rsidRPr="00970C38">
        <w:rPr>
          <w:rFonts w:ascii="Times New Roman" w:hAnsi="Times New Roman"/>
          <w:sz w:val="24"/>
          <w:szCs w:val="24"/>
        </w:rPr>
        <w:t xml:space="preserve">La compétence du ministre provincial est subordonnée à l’avis de conformité du Chef de Division provinciale des mines. Le ministre provincial est compétent pour : </w:t>
      </w:r>
    </w:p>
    <w:p w14:paraId="64F7AE24" w14:textId="77777777" w:rsidR="00207B98" w:rsidRPr="00840E13" w:rsidRDefault="00207B98" w:rsidP="000738D3">
      <w:pPr>
        <w:pStyle w:val="Paragraphedeliste"/>
        <w:numPr>
          <w:ilvl w:val="0"/>
          <w:numId w:val="25"/>
        </w:numPr>
        <w:spacing w:after="67" w:line="240" w:lineRule="auto"/>
        <w:ind w:left="1843" w:right="567" w:hanging="283"/>
        <w:jc w:val="both"/>
        <w:rPr>
          <w:rFonts w:ascii="Times New Roman" w:hAnsi="Times New Roman" w:cs="Times New Roman"/>
        </w:rPr>
      </w:pPr>
      <w:r w:rsidRPr="00840E13">
        <w:rPr>
          <w:rFonts w:ascii="Times New Roman" w:hAnsi="Times New Roman" w:cs="Times New Roman"/>
        </w:rPr>
        <w:t xml:space="preserve">exécuter, sous la supervision du Gouverneur de province et, le cas échéant, en concertation avec d’autres départements ministériels provinciaux impliqués, les édits relatifs à la politique provinciale relative aux programmes miniers, minéralogiques, industriels, énergétiques d’intérêt provincial ; </w:t>
      </w:r>
    </w:p>
    <w:p w14:paraId="0CE07751" w14:textId="77777777" w:rsidR="00207B98" w:rsidRPr="00840E13" w:rsidRDefault="00207B98" w:rsidP="000738D3">
      <w:pPr>
        <w:pStyle w:val="Paragraphedeliste"/>
        <w:numPr>
          <w:ilvl w:val="0"/>
          <w:numId w:val="25"/>
        </w:numPr>
        <w:spacing w:after="67" w:line="240" w:lineRule="auto"/>
        <w:ind w:left="1843" w:right="567" w:hanging="283"/>
        <w:jc w:val="both"/>
        <w:rPr>
          <w:rFonts w:ascii="Times New Roman" w:hAnsi="Times New Roman" w:cs="Times New Roman"/>
        </w:rPr>
      </w:pPr>
      <w:r w:rsidRPr="00840E13">
        <w:rPr>
          <w:rFonts w:ascii="Times New Roman" w:hAnsi="Times New Roman" w:cs="Times New Roman"/>
        </w:rPr>
        <w:t>délivrer les cartes d’exploitant artisanal ;</w:t>
      </w:r>
    </w:p>
    <w:p w14:paraId="1A4E28E8" w14:textId="77777777" w:rsidR="00207B98" w:rsidRPr="00840E13" w:rsidRDefault="00207B98" w:rsidP="000738D3">
      <w:pPr>
        <w:pStyle w:val="Paragraphedeliste"/>
        <w:numPr>
          <w:ilvl w:val="0"/>
          <w:numId w:val="25"/>
        </w:numPr>
        <w:spacing w:after="67" w:line="240" w:lineRule="auto"/>
        <w:ind w:left="1843" w:right="567" w:hanging="283"/>
        <w:jc w:val="both"/>
        <w:rPr>
          <w:rFonts w:ascii="Times New Roman" w:hAnsi="Times New Roman" w:cs="Times New Roman"/>
        </w:rPr>
      </w:pPr>
      <w:r w:rsidRPr="00840E13">
        <w:rPr>
          <w:rFonts w:ascii="Times New Roman" w:hAnsi="Times New Roman" w:cs="Times New Roman"/>
        </w:rPr>
        <w:t>délivrer les cartes des négociants des produits d’exploitation artisanale ;</w:t>
      </w:r>
    </w:p>
    <w:p w14:paraId="438414E3" w14:textId="77777777" w:rsidR="00207B98" w:rsidRPr="00840E13" w:rsidRDefault="00207B98" w:rsidP="000738D3">
      <w:pPr>
        <w:pStyle w:val="Paragraphedeliste"/>
        <w:numPr>
          <w:ilvl w:val="0"/>
          <w:numId w:val="25"/>
        </w:numPr>
        <w:spacing w:after="67" w:line="240" w:lineRule="auto"/>
        <w:ind w:left="1843" w:right="567" w:hanging="283"/>
        <w:jc w:val="both"/>
        <w:rPr>
          <w:rFonts w:ascii="Times New Roman" w:hAnsi="Times New Roman" w:cs="Times New Roman"/>
        </w:rPr>
      </w:pPr>
      <w:r w:rsidRPr="00840E13">
        <w:rPr>
          <w:rFonts w:ascii="Times New Roman" w:hAnsi="Times New Roman" w:cs="Times New Roman"/>
        </w:rPr>
        <w:t>autoriser la détention des produits miniers par des bijoutiers, joailliers, artistes et dentistes ;</w:t>
      </w:r>
    </w:p>
    <w:p w14:paraId="3D2222AE" w14:textId="77777777" w:rsidR="00207B98" w:rsidRPr="00840E13" w:rsidRDefault="00207B98" w:rsidP="000738D3">
      <w:pPr>
        <w:pStyle w:val="Paragraphedeliste"/>
        <w:numPr>
          <w:ilvl w:val="0"/>
          <w:numId w:val="25"/>
        </w:numPr>
        <w:spacing w:after="67" w:line="240" w:lineRule="auto"/>
        <w:ind w:left="1843" w:right="567" w:hanging="283"/>
        <w:jc w:val="both"/>
        <w:rPr>
          <w:rFonts w:ascii="Times New Roman" w:hAnsi="Times New Roman" w:cs="Times New Roman"/>
        </w:rPr>
      </w:pPr>
      <w:r w:rsidRPr="00840E13">
        <w:rPr>
          <w:rFonts w:ascii="Times New Roman" w:hAnsi="Times New Roman" w:cs="Times New Roman"/>
        </w:rPr>
        <w:t xml:space="preserve">exercer, en harmonie avec les services techniques du ministère des mines et des établissements sous tutelle du ministre, la supervision des activités des services du ministère des mines installés en province; </w:t>
      </w:r>
    </w:p>
    <w:p w14:paraId="61993B5C" w14:textId="77777777" w:rsidR="00207B98" w:rsidRPr="00840E13" w:rsidRDefault="00207B98" w:rsidP="000738D3">
      <w:pPr>
        <w:pStyle w:val="Paragraphedeliste"/>
        <w:numPr>
          <w:ilvl w:val="0"/>
          <w:numId w:val="25"/>
        </w:numPr>
        <w:spacing w:after="67" w:line="240" w:lineRule="auto"/>
        <w:ind w:left="1843" w:right="567" w:hanging="283"/>
        <w:jc w:val="both"/>
        <w:rPr>
          <w:rFonts w:ascii="Times New Roman" w:hAnsi="Times New Roman" w:cs="Times New Roman"/>
        </w:rPr>
      </w:pPr>
      <w:r w:rsidRPr="00840E13">
        <w:rPr>
          <w:rFonts w:ascii="Times New Roman" w:hAnsi="Times New Roman" w:cs="Times New Roman"/>
        </w:rPr>
        <w:t xml:space="preserve">délivrer un récépissé au titulaire d’un droit minier ou de carrières avant le commencement de ses activités dans la province ; </w:t>
      </w:r>
    </w:p>
    <w:p w14:paraId="4E872392" w14:textId="77777777" w:rsidR="00207B98" w:rsidRPr="00840E13" w:rsidRDefault="00207B98" w:rsidP="000738D3">
      <w:pPr>
        <w:pStyle w:val="Paragraphedeliste"/>
        <w:numPr>
          <w:ilvl w:val="0"/>
          <w:numId w:val="25"/>
        </w:numPr>
        <w:spacing w:after="67" w:line="240" w:lineRule="auto"/>
        <w:ind w:left="1843" w:right="567" w:hanging="283"/>
        <w:jc w:val="both"/>
        <w:rPr>
          <w:rFonts w:ascii="Times New Roman" w:hAnsi="Times New Roman" w:cs="Times New Roman"/>
        </w:rPr>
      </w:pPr>
      <w:r w:rsidRPr="00840E13">
        <w:rPr>
          <w:rFonts w:ascii="Times New Roman" w:hAnsi="Times New Roman" w:cs="Times New Roman"/>
        </w:rPr>
        <w:t>accorder aux artistes agréés par le ministère en charge de la Culture et des Arts l’autorisation spéciale prévue à l’article 115 du Code Minier ;</w:t>
      </w:r>
    </w:p>
    <w:p w14:paraId="316C6823" w14:textId="77777777" w:rsidR="00207B98" w:rsidRPr="00840E13" w:rsidRDefault="00207B98" w:rsidP="000738D3">
      <w:pPr>
        <w:pStyle w:val="Paragraphedeliste"/>
        <w:numPr>
          <w:ilvl w:val="0"/>
          <w:numId w:val="25"/>
        </w:numPr>
        <w:spacing w:after="67" w:line="240" w:lineRule="auto"/>
        <w:ind w:left="1843" w:right="567" w:hanging="283"/>
        <w:jc w:val="both"/>
        <w:rPr>
          <w:rFonts w:ascii="Times New Roman" w:hAnsi="Times New Roman" w:cs="Times New Roman"/>
        </w:rPr>
      </w:pPr>
      <w:r w:rsidRPr="00840E13">
        <w:rPr>
          <w:rFonts w:ascii="Times New Roman" w:hAnsi="Times New Roman" w:cs="Times New Roman"/>
        </w:rPr>
        <w:t xml:space="preserve">octroyer les autorisations de recherches des produits de carrières et les Autorisations d’exploitation de carrières de matériaux de construction à usage courant ; </w:t>
      </w:r>
    </w:p>
    <w:p w14:paraId="26E3E739" w14:textId="77777777" w:rsidR="00207B98" w:rsidRPr="00840E13" w:rsidRDefault="00207B98" w:rsidP="000738D3">
      <w:pPr>
        <w:pStyle w:val="Paragraphedeliste"/>
        <w:numPr>
          <w:ilvl w:val="0"/>
          <w:numId w:val="25"/>
        </w:numPr>
        <w:spacing w:after="67" w:line="240" w:lineRule="auto"/>
        <w:ind w:left="1843" w:right="567" w:hanging="283"/>
        <w:jc w:val="both"/>
        <w:rPr>
          <w:rFonts w:ascii="Times New Roman" w:hAnsi="Times New Roman" w:cs="Times New Roman"/>
        </w:rPr>
      </w:pPr>
      <w:r w:rsidRPr="00840E13">
        <w:rPr>
          <w:rFonts w:ascii="Times New Roman" w:hAnsi="Times New Roman" w:cs="Times New Roman"/>
        </w:rPr>
        <w:t xml:space="preserve">décider de l’ouverture des carrières pour les travaux d’utilité publique sur les terrains domaniaux. </w:t>
      </w:r>
    </w:p>
    <w:p w14:paraId="102A4DC0" w14:textId="77777777" w:rsidR="00207B98" w:rsidRPr="00840E13" w:rsidRDefault="00207B98" w:rsidP="00207B98">
      <w:pPr>
        <w:pStyle w:val="Paragraphedeliste"/>
        <w:spacing w:line="240" w:lineRule="auto"/>
        <w:ind w:left="1843" w:right="567"/>
        <w:rPr>
          <w:rFonts w:ascii="Times New Roman" w:hAnsi="Times New Roman" w:cs="Times New Roman"/>
          <w:sz w:val="8"/>
          <w:szCs w:val="8"/>
        </w:rPr>
      </w:pPr>
    </w:p>
    <w:p w14:paraId="41F582A3" w14:textId="77777777" w:rsidR="00207B98" w:rsidRPr="00970C38" w:rsidRDefault="00207B98" w:rsidP="000738D3">
      <w:pPr>
        <w:numPr>
          <w:ilvl w:val="0"/>
          <w:numId w:val="28"/>
        </w:numPr>
        <w:tabs>
          <w:tab w:val="left" w:pos="851"/>
          <w:tab w:val="left" w:pos="1418"/>
        </w:tabs>
        <w:spacing w:after="67" w:line="240" w:lineRule="auto"/>
        <w:ind w:left="426" w:right="567"/>
        <w:jc w:val="both"/>
        <w:rPr>
          <w:rFonts w:ascii="Times New Roman" w:hAnsi="Times New Roman"/>
          <w:b/>
          <w:i/>
        </w:rPr>
      </w:pPr>
      <w:r w:rsidRPr="00840E13">
        <w:rPr>
          <w:rFonts w:ascii="Times New Roman" w:hAnsi="Times New Roman"/>
          <w:b/>
          <w:i/>
        </w:rPr>
        <w:t xml:space="preserve">Le Chef de Division provinciale des mines </w:t>
      </w:r>
      <w:r w:rsidRPr="00970C38">
        <w:rPr>
          <w:rFonts w:ascii="Times New Roman" w:hAnsi="Times New Roman"/>
          <w:b/>
          <w:i/>
        </w:rPr>
        <w:t xml:space="preserve"> (Article 11 ter)</w:t>
      </w:r>
    </w:p>
    <w:p w14:paraId="02A1706D" w14:textId="77777777" w:rsidR="00207B98" w:rsidRPr="00194E77" w:rsidRDefault="00207B98" w:rsidP="00194E77">
      <w:pPr>
        <w:spacing w:after="0" w:line="360" w:lineRule="auto"/>
        <w:ind w:left="851" w:right="567"/>
        <w:jc w:val="both"/>
        <w:rPr>
          <w:rFonts w:ascii="Times New Roman" w:hAnsi="Times New Roman"/>
          <w:sz w:val="24"/>
          <w:szCs w:val="24"/>
        </w:rPr>
      </w:pPr>
      <w:r w:rsidRPr="00194E77">
        <w:rPr>
          <w:rFonts w:ascii="Times New Roman" w:hAnsi="Times New Roman"/>
          <w:sz w:val="24"/>
          <w:szCs w:val="24"/>
        </w:rPr>
        <w:t xml:space="preserve">Le Chef de Division provinciale des mines est compétent pour : </w:t>
      </w:r>
    </w:p>
    <w:p w14:paraId="0662A479" w14:textId="77777777" w:rsidR="00207B98" w:rsidRPr="00840E13" w:rsidRDefault="00207B98" w:rsidP="000738D3">
      <w:pPr>
        <w:pStyle w:val="Paragraphedeliste"/>
        <w:numPr>
          <w:ilvl w:val="0"/>
          <w:numId w:val="25"/>
        </w:numPr>
        <w:spacing w:after="67" w:line="240" w:lineRule="auto"/>
        <w:ind w:left="1843" w:right="567" w:hanging="283"/>
        <w:jc w:val="both"/>
        <w:rPr>
          <w:rFonts w:ascii="Times New Roman" w:hAnsi="Times New Roman" w:cs="Times New Roman"/>
        </w:rPr>
      </w:pPr>
      <w:r w:rsidRPr="00840E13">
        <w:rPr>
          <w:rFonts w:ascii="Times New Roman" w:hAnsi="Times New Roman" w:cs="Times New Roman"/>
        </w:rPr>
        <w:t xml:space="preserve">contrôler et surveiller les activités minières en province ; </w:t>
      </w:r>
    </w:p>
    <w:p w14:paraId="114C6325" w14:textId="77777777" w:rsidR="00207B98" w:rsidRDefault="00207B98" w:rsidP="000738D3">
      <w:pPr>
        <w:pStyle w:val="Paragraphedeliste"/>
        <w:numPr>
          <w:ilvl w:val="0"/>
          <w:numId w:val="25"/>
        </w:numPr>
        <w:spacing w:after="0" w:line="240" w:lineRule="auto"/>
        <w:ind w:left="1843" w:right="567" w:hanging="283"/>
        <w:jc w:val="both"/>
        <w:rPr>
          <w:rFonts w:ascii="Times New Roman" w:hAnsi="Times New Roman" w:cs="Times New Roman"/>
        </w:rPr>
      </w:pPr>
      <w:r w:rsidRPr="00840E13">
        <w:rPr>
          <w:rFonts w:ascii="Times New Roman" w:hAnsi="Times New Roman" w:cs="Times New Roman"/>
        </w:rPr>
        <w:lastRenderedPageBreak/>
        <w:t>réceptionner les dépôts de demande d’agrément au titre des coopératives minières adressée au</w:t>
      </w:r>
      <w:r>
        <w:rPr>
          <w:rFonts w:ascii="Times New Roman" w:hAnsi="Times New Roman" w:cs="Times New Roman"/>
        </w:rPr>
        <w:t xml:space="preserve"> Ministre ;</w:t>
      </w:r>
    </w:p>
    <w:p w14:paraId="3A843ADB" w14:textId="77777777" w:rsidR="00207B98" w:rsidRDefault="00207B98" w:rsidP="000738D3">
      <w:pPr>
        <w:pStyle w:val="Paragraphedeliste"/>
        <w:numPr>
          <w:ilvl w:val="0"/>
          <w:numId w:val="25"/>
        </w:numPr>
        <w:spacing w:after="0" w:line="240" w:lineRule="auto"/>
        <w:ind w:left="1843" w:right="567" w:hanging="283"/>
        <w:jc w:val="both"/>
        <w:rPr>
          <w:rFonts w:ascii="Times New Roman" w:hAnsi="Times New Roman" w:cs="Times New Roman"/>
        </w:rPr>
      </w:pPr>
      <w:r w:rsidRPr="00840E13">
        <w:rPr>
          <w:rFonts w:ascii="Times New Roman" w:hAnsi="Times New Roman" w:cs="Times New Roman"/>
        </w:rPr>
        <w:t xml:space="preserve">émettre des avis de conformité préalablement aux décisions et actes du ministre provincial relativement à l’administration des dispositions du Code Minier. </w:t>
      </w:r>
    </w:p>
    <w:p w14:paraId="7DD2A588" w14:textId="77777777" w:rsidR="00207B98" w:rsidRPr="00840E13" w:rsidRDefault="00207B98" w:rsidP="00207B98">
      <w:pPr>
        <w:rPr>
          <w:sz w:val="24"/>
          <w:szCs w:val="24"/>
        </w:rPr>
      </w:pPr>
      <w:r w:rsidRPr="00840E13">
        <w:t xml:space="preserve"> </w:t>
      </w:r>
    </w:p>
    <w:p w14:paraId="15253CF5" w14:textId="5ECB4540" w:rsidR="00207B98" w:rsidRPr="0004223F" w:rsidRDefault="0004223F" w:rsidP="0004223F">
      <w:pPr>
        <w:ind w:left="426"/>
        <w:rPr>
          <w:rFonts w:ascii="Times New Roman" w:hAnsi="Times New Roman"/>
          <w:color w:val="2E74B5" w:themeColor="accent1" w:themeShade="BF"/>
          <w:sz w:val="24"/>
          <w:szCs w:val="24"/>
        </w:rPr>
      </w:pPr>
      <w:bookmarkStart w:id="93" w:name="_Toc518135497"/>
      <w:r>
        <w:rPr>
          <w:rFonts w:ascii="Times New Roman" w:hAnsi="Times New Roman"/>
          <w:color w:val="2E74B5" w:themeColor="accent1" w:themeShade="BF"/>
          <w:sz w:val="24"/>
          <w:szCs w:val="24"/>
        </w:rPr>
        <w:t>1.</w:t>
      </w:r>
      <w:r w:rsidR="00207B98" w:rsidRPr="0004223F">
        <w:rPr>
          <w:rFonts w:ascii="Times New Roman" w:hAnsi="Times New Roman"/>
          <w:color w:val="2E74B5" w:themeColor="accent1" w:themeShade="BF"/>
          <w:sz w:val="24"/>
          <w:szCs w:val="24"/>
        </w:rPr>
        <w:t>2.4.5. Des compétences des Services techniques spécialisés</w:t>
      </w:r>
      <w:bookmarkEnd w:id="93"/>
      <w:r w:rsidR="00207B98" w:rsidRPr="0004223F">
        <w:rPr>
          <w:rFonts w:ascii="Times New Roman" w:hAnsi="Times New Roman"/>
          <w:color w:val="2E74B5" w:themeColor="accent1" w:themeShade="BF"/>
          <w:sz w:val="24"/>
          <w:szCs w:val="24"/>
        </w:rPr>
        <w:t xml:space="preserve"> </w:t>
      </w:r>
    </w:p>
    <w:p w14:paraId="50A041DE" w14:textId="77777777" w:rsidR="00207B98" w:rsidRPr="00840E13" w:rsidRDefault="00207B98" w:rsidP="00207B98">
      <w:pPr>
        <w:spacing w:after="0" w:line="240" w:lineRule="auto"/>
        <w:ind w:left="1418" w:right="567"/>
        <w:jc w:val="both"/>
        <w:rPr>
          <w:rFonts w:ascii="Times New Roman" w:hAnsi="Times New Roman"/>
          <w:sz w:val="8"/>
          <w:szCs w:val="8"/>
        </w:rPr>
      </w:pPr>
    </w:p>
    <w:p w14:paraId="2F0BCAB3" w14:textId="77777777" w:rsidR="00207B98" w:rsidRPr="00194E77" w:rsidRDefault="00207B98" w:rsidP="000738D3">
      <w:pPr>
        <w:pStyle w:val="Paragraphedeliste"/>
        <w:numPr>
          <w:ilvl w:val="0"/>
          <w:numId w:val="26"/>
        </w:numPr>
        <w:spacing w:line="244" w:lineRule="auto"/>
        <w:ind w:left="993" w:right="6" w:hanging="425"/>
        <w:jc w:val="both"/>
        <w:rPr>
          <w:rFonts w:ascii="Times New Roman" w:hAnsi="Times New Roman" w:cs="Times New Roman"/>
          <w:sz w:val="24"/>
          <w:szCs w:val="24"/>
        </w:rPr>
      </w:pPr>
      <w:r w:rsidRPr="00194E77">
        <w:rPr>
          <w:rFonts w:ascii="Times New Roman" w:hAnsi="Times New Roman" w:cs="Times New Roman"/>
          <w:b/>
          <w:i/>
          <w:sz w:val="24"/>
          <w:szCs w:val="24"/>
        </w:rPr>
        <w:t>Le</w:t>
      </w:r>
      <w:r w:rsidRPr="00194E77">
        <w:rPr>
          <w:rFonts w:ascii="Times New Roman" w:hAnsi="Times New Roman" w:cs="Times New Roman"/>
          <w:i/>
          <w:color w:val="FF0000"/>
          <w:sz w:val="24"/>
          <w:szCs w:val="24"/>
        </w:rPr>
        <w:t xml:space="preserve"> </w:t>
      </w:r>
      <w:r w:rsidRPr="00194E77">
        <w:rPr>
          <w:rFonts w:ascii="Times New Roman" w:hAnsi="Times New Roman" w:cs="Times New Roman"/>
          <w:b/>
          <w:i/>
          <w:sz w:val="24"/>
          <w:szCs w:val="24"/>
        </w:rPr>
        <w:t>Cadastre Minier</w:t>
      </w:r>
      <w:r w:rsidRPr="00194E77">
        <w:rPr>
          <w:rFonts w:ascii="Times New Roman" w:hAnsi="Times New Roman" w:cs="Times New Roman"/>
          <w:b/>
          <w:sz w:val="24"/>
          <w:szCs w:val="24"/>
        </w:rPr>
        <w:t xml:space="preserve"> </w:t>
      </w:r>
      <w:r w:rsidRPr="00194E77">
        <w:rPr>
          <w:rFonts w:ascii="Times New Roman" w:hAnsi="Times New Roman" w:cs="Times New Roman"/>
          <w:sz w:val="24"/>
          <w:szCs w:val="24"/>
        </w:rPr>
        <w:t>(Article 12)</w:t>
      </w:r>
    </w:p>
    <w:p w14:paraId="726C01D3" w14:textId="77777777" w:rsidR="00207B98" w:rsidRPr="00194E77" w:rsidRDefault="00207B98" w:rsidP="00194E77">
      <w:pPr>
        <w:spacing w:after="0" w:line="240" w:lineRule="auto"/>
        <w:ind w:left="993" w:right="567"/>
        <w:jc w:val="both"/>
        <w:rPr>
          <w:rFonts w:ascii="Times New Roman" w:hAnsi="Times New Roman"/>
          <w:sz w:val="24"/>
          <w:szCs w:val="24"/>
        </w:rPr>
      </w:pPr>
      <w:r w:rsidRPr="00194E77">
        <w:rPr>
          <w:rFonts w:ascii="Times New Roman" w:hAnsi="Times New Roman"/>
          <w:sz w:val="24"/>
          <w:szCs w:val="24"/>
        </w:rPr>
        <w:t xml:space="preserve">Le Cadastre minier est un établissement public chargé de la gestion du domaine minier ainsi que celle des titres miniers et des carrières et placé sous la tutelle du ministre des mines.  </w:t>
      </w:r>
    </w:p>
    <w:p w14:paraId="348F02D3" w14:textId="77777777" w:rsidR="00207B98" w:rsidRPr="00194E77" w:rsidRDefault="00207B98" w:rsidP="00194E77">
      <w:pPr>
        <w:spacing w:line="240" w:lineRule="auto"/>
        <w:ind w:left="993" w:right="567"/>
        <w:jc w:val="both"/>
        <w:rPr>
          <w:rFonts w:ascii="Times New Roman" w:hAnsi="Times New Roman"/>
          <w:sz w:val="24"/>
          <w:szCs w:val="24"/>
        </w:rPr>
      </w:pPr>
      <w:r w:rsidRPr="00194E77">
        <w:rPr>
          <w:rFonts w:ascii="Times New Roman" w:hAnsi="Times New Roman"/>
          <w:sz w:val="24"/>
          <w:szCs w:val="24"/>
        </w:rPr>
        <w:t xml:space="preserve">Pour couvrir ses frais de fonctionnement, le Cadastre minier est autorisé à percevoir et à gérer les frais de dépôt des dossiers et une quotité des droits </w:t>
      </w:r>
      <w:proofErr w:type="spellStart"/>
      <w:r w:rsidRPr="00194E77">
        <w:rPr>
          <w:rFonts w:ascii="Times New Roman" w:hAnsi="Times New Roman"/>
          <w:sz w:val="24"/>
          <w:szCs w:val="24"/>
        </w:rPr>
        <w:t>superficiaires</w:t>
      </w:r>
      <w:proofErr w:type="spellEnd"/>
      <w:r w:rsidRPr="00194E77">
        <w:rPr>
          <w:rFonts w:ascii="Times New Roman" w:hAnsi="Times New Roman"/>
          <w:sz w:val="24"/>
          <w:szCs w:val="24"/>
        </w:rPr>
        <w:t xml:space="preserve"> annuels par carré. </w:t>
      </w:r>
    </w:p>
    <w:p w14:paraId="6D6C2633" w14:textId="77777777" w:rsidR="00207B98" w:rsidRPr="00194E77" w:rsidRDefault="00207B98" w:rsidP="000738D3">
      <w:pPr>
        <w:pStyle w:val="Paragraphedeliste"/>
        <w:numPr>
          <w:ilvl w:val="0"/>
          <w:numId w:val="26"/>
        </w:numPr>
        <w:spacing w:after="0" w:line="244" w:lineRule="auto"/>
        <w:ind w:left="993" w:right="6" w:hanging="425"/>
        <w:jc w:val="both"/>
        <w:rPr>
          <w:rFonts w:ascii="Times New Roman" w:hAnsi="Times New Roman" w:cs="Times New Roman"/>
          <w:b/>
          <w:i/>
          <w:sz w:val="24"/>
          <w:szCs w:val="24"/>
        </w:rPr>
      </w:pPr>
      <w:r w:rsidRPr="00194E77">
        <w:rPr>
          <w:rFonts w:ascii="Times New Roman" w:hAnsi="Times New Roman" w:cs="Times New Roman"/>
          <w:b/>
          <w:i/>
          <w:sz w:val="24"/>
          <w:szCs w:val="24"/>
        </w:rPr>
        <w:t>L’organisme spécialisé de recherches</w:t>
      </w:r>
    </w:p>
    <w:p w14:paraId="690272A7" w14:textId="77777777" w:rsidR="00207B98" w:rsidRPr="00194E77" w:rsidRDefault="00207B98" w:rsidP="00194E77">
      <w:pPr>
        <w:spacing w:after="0" w:line="240" w:lineRule="auto"/>
        <w:ind w:left="993" w:right="567"/>
        <w:jc w:val="both"/>
        <w:rPr>
          <w:rFonts w:ascii="Times New Roman" w:hAnsi="Times New Roman"/>
          <w:sz w:val="24"/>
          <w:szCs w:val="24"/>
        </w:rPr>
      </w:pPr>
    </w:p>
    <w:p w14:paraId="1DF561E3" w14:textId="77777777" w:rsidR="00207B98" w:rsidRPr="00194E77" w:rsidRDefault="00207B98" w:rsidP="00194E77">
      <w:pPr>
        <w:spacing w:line="240" w:lineRule="auto"/>
        <w:ind w:left="993" w:right="567"/>
        <w:jc w:val="both"/>
        <w:rPr>
          <w:rFonts w:ascii="Times New Roman" w:hAnsi="Times New Roman"/>
          <w:sz w:val="24"/>
          <w:szCs w:val="24"/>
        </w:rPr>
      </w:pPr>
      <w:r w:rsidRPr="00194E77">
        <w:rPr>
          <w:rFonts w:ascii="Times New Roman" w:hAnsi="Times New Roman"/>
          <w:sz w:val="24"/>
          <w:szCs w:val="24"/>
        </w:rPr>
        <w:t>Un décret du Premier ministre instituera un organisme spécialisé chargé de la recherche dans le domaine minier. L’organisme spécialisé de recherches sera un établissement public placé sous la tutelle du Ministre des mines et aura pour objet de réaliser des activités d’investigation du sol ou du sous-sol dans le but d’améliorer la connaissance géologique du territoire national ou des provinces à des fins scientifiques ou d’amélioration et de promotion de l’information géologique.</w:t>
      </w:r>
    </w:p>
    <w:p w14:paraId="69B9068C" w14:textId="77777777" w:rsidR="00207B98" w:rsidRPr="00840E13" w:rsidRDefault="00207B98" w:rsidP="00194E77">
      <w:pPr>
        <w:spacing w:line="240" w:lineRule="auto"/>
        <w:ind w:left="993" w:right="567"/>
        <w:jc w:val="both"/>
        <w:rPr>
          <w:rFonts w:ascii="Times New Roman" w:hAnsi="Times New Roman"/>
        </w:rPr>
      </w:pPr>
      <w:r w:rsidRPr="00194E77">
        <w:rPr>
          <w:rFonts w:ascii="Times New Roman" w:hAnsi="Times New Roman"/>
          <w:sz w:val="24"/>
          <w:szCs w:val="24"/>
        </w:rPr>
        <w:t>Outre les services techniques spécialisés cités ci-haut, le Règlement minier précisera, à sa publication, les attributions d’autres services intervenant dans le secteur minier</w:t>
      </w:r>
      <w:r>
        <w:rPr>
          <w:rFonts w:ascii="Times New Roman" w:hAnsi="Times New Roman"/>
        </w:rPr>
        <w:t>.</w:t>
      </w:r>
    </w:p>
    <w:p w14:paraId="7A3D14D4" w14:textId="77777777" w:rsidR="00207B98" w:rsidRPr="006443D7" w:rsidRDefault="0085325F" w:rsidP="006443D7">
      <w:pPr>
        <w:pStyle w:val="Titre3"/>
        <w:spacing w:line="360" w:lineRule="auto"/>
        <w:rPr>
          <w:rFonts w:ascii="Times New Roman" w:hAnsi="Times New Roman" w:cs="Times New Roman"/>
          <w:sz w:val="24"/>
          <w:szCs w:val="24"/>
        </w:rPr>
      </w:pPr>
      <w:bookmarkStart w:id="94" w:name="_Toc515589778"/>
      <w:bookmarkStart w:id="95" w:name="_Toc515792941"/>
      <w:bookmarkStart w:id="96" w:name="_Toc515793180"/>
      <w:bookmarkStart w:id="97" w:name="_Toc518135498"/>
      <w:bookmarkStart w:id="98" w:name="_Toc518468064"/>
      <w:r w:rsidRPr="006443D7">
        <w:rPr>
          <w:rFonts w:ascii="Times New Roman" w:hAnsi="Times New Roman" w:cs="Times New Roman"/>
          <w:sz w:val="24"/>
          <w:szCs w:val="24"/>
        </w:rPr>
        <w:t xml:space="preserve">1.2.5. </w:t>
      </w:r>
      <w:r w:rsidR="00207B98" w:rsidRPr="006443D7">
        <w:rPr>
          <w:rFonts w:ascii="Times New Roman" w:hAnsi="Times New Roman" w:cs="Times New Roman"/>
          <w:sz w:val="24"/>
          <w:szCs w:val="24"/>
        </w:rPr>
        <w:t>Réformes entreprises ou envisagées dans le secteur minier</w:t>
      </w:r>
      <w:bookmarkEnd w:id="94"/>
      <w:bookmarkEnd w:id="95"/>
      <w:bookmarkEnd w:id="96"/>
      <w:bookmarkEnd w:id="97"/>
      <w:bookmarkEnd w:id="98"/>
    </w:p>
    <w:p w14:paraId="1454FF68" w14:textId="315F0886" w:rsidR="00207B98" w:rsidRPr="00D47E4B" w:rsidRDefault="00207B98" w:rsidP="000738D3">
      <w:pPr>
        <w:pStyle w:val="Paragraphedeliste"/>
        <w:numPr>
          <w:ilvl w:val="1"/>
          <w:numId w:val="56"/>
        </w:numPr>
        <w:ind w:left="567"/>
        <w:rPr>
          <w:rFonts w:ascii="Times New Roman" w:hAnsi="Times New Roman"/>
          <w:i/>
          <w:sz w:val="24"/>
          <w:szCs w:val="24"/>
        </w:rPr>
      </w:pPr>
      <w:bookmarkStart w:id="99" w:name="_Toc515589779"/>
      <w:bookmarkStart w:id="100" w:name="_Toc515792942"/>
      <w:bookmarkStart w:id="101" w:name="_Toc515793181"/>
      <w:bookmarkStart w:id="102" w:name="_Toc518135499"/>
      <w:r w:rsidRPr="00D47E4B">
        <w:rPr>
          <w:rFonts w:ascii="Times New Roman" w:hAnsi="Times New Roman"/>
          <w:i/>
          <w:sz w:val="24"/>
          <w:szCs w:val="24"/>
        </w:rPr>
        <w:t>Promulgation de la Loi n°18/001 du 09 mars 2018 modifiant et complétant la Loi n°007 du 11 juillet 2002 portant Code Minier</w:t>
      </w:r>
      <w:bookmarkEnd w:id="99"/>
      <w:bookmarkEnd w:id="100"/>
      <w:bookmarkEnd w:id="101"/>
      <w:bookmarkEnd w:id="102"/>
    </w:p>
    <w:p w14:paraId="1BD6EBF6" w14:textId="77777777" w:rsidR="00207B98" w:rsidRPr="00694EDA" w:rsidRDefault="00207B98" w:rsidP="006443D7">
      <w:pPr>
        <w:spacing w:line="240" w:lineRule="auto"/>
        <w:ind w:left="567" w:right="567"/>
        <w:jc w:val="both"/>
        <w:rPr>
          <w:rFonts w:ascii="Times New Roman" w:hAnsi="Times New Roman"/>
          <w:sz w:val="24"/>
          <w:szCs w:val="24"/>
        </w:rPr>
      </w:pPr>
      <w:r w:rsidRPr="00694EDA">
        <w:rPr>
          <w:rFonts w:ascii="Times New Roman" w:hAnsi="Times New Roman"/>
          <w:sz w:val="24"/>
          <w:szCs w:val="24"/>
        </w:rPr>
        <w:t>La révision du Code Minier de 2002 a pour raison d’être de combler les lacunes et les faiblesses constatées durant les quinze ans de mise en œuvre dudit Code. Son objectif est d’établir des partenariats gagnant-gagnant entre l’Etat et les opérateurs miniers par l’accroissement du niveau de contrôle de la gestion du domaine minier de l’Etat, des titres miniers et de carrières et la précision à nouveau de la responsabilité sociale et environnementale des entreprises minières à l’égard des communautés affectées par les projets desdites entreprises ; ainsi que par la recherche de l’équilibre du régime fiscal, douanier et de change.</w:t>
      </w:r>
    </w:p>
    <w:p w14:paraId="1F26F22B" w14:textId="77777777" w:rsidR="00207B98" w:rsidRPr="00694EDA" w:rsidRDefault="00207B98" w:rsidP="006443D7">
      <w:pPr>
        <w:spacing w:line="240" w:lineRule="auto"/>
        <w:ind w:left="567" w:right="567"/>
        <w:jc w:val="both"/>
        <w:rPr>
          <w:rFonts w:ascii="Times New Roman" w:hAnsi="Times New Roman"/>
          <w:sz w:val="24"/>
          <w:szCs w:val="24"/>
        </w:rPr>
      </w:pPr>
      <w:r w:rsidRPr="00694EDA">
        <w:rPr>
          <w:rFonts w:ascii="Times New Roman" w:hAnsi="Times New Roman"/>
          <w:sz w:val="24"/>
          <w:szCs w:val="24"/>
        </w:rPr>
        <w:t xml:space="preserve">Pour l’essentiel, les innovations introduites par la loi modificative portent sur :  </w:t>
      </w:r>
    </w:p>
    <w:p w14:paraId="34251F22" w14:textId="77777777" w:rsidR="00207B98" w:rsidRPr="00694EDA" w:rsidRDefault="00207B98" w:rsidP="000738D3">
      <w:pPr>
        <w:pStyle w:val="Paragraphedeliste"/>
        <w:numPr>
          <w:ilvl w:val="0"/>
          <w:numId w:val="27"/>
        </w:numPr>
        <w:autoSpaceDE w:val="0"/>
        <w:autoSpaceDN w:val="0"/>
        <w:adjustRightInd w:val="0"/>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le souci de conformer le Code Minier à la Constitution et à l’évolution du contexte politico-administratif mettant en jeu de nouveaux intervenants dans la gestion du Code, notamment en attribuant au Premier Ministre toutes les attributions antérieurement exercées par le Président de la République, et aussi en organisant les attributions des autres intervenants dans le secteur minier ;</w:t>
      </w:r>
    </w:p>
    <w:p w14:paraId="0F282815" w14:textId="77777777" w:rsidR="00207B98" w:rsidRPr="00694EDA" w:rsidRDefault="00207B98" w:rsidP="000738D3">
      <w:pPr>
        <w:pStyle w:val="Paragraphedeliste"/>
        <w:numPr>
          <w:ilvl w:val="0"/>
          <w:numId w:val="27"/>
        </w:numPr>
        <w:autoSpaceDE w:val="0"/>
        <w:autoSpaceDN w:val="0"/>
        <w:adjustRightInd w:val="0"/>
        <w:spacing w:before="24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lastRenderedPageBreak/>
        <w:t xml:space="preserve">l’inclusion du stockage, de la détention et du transport des substances minérales dans le champ d’application du présent Code ; </w:t>
      </w:r>
    </w:p>
    <w:p w14:paraId="1296611C"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la restriction de l’éligibilité aux droits miniers à la seule personne morale ; </w:t>
      </w:r>
    </w:p>
    <w:p w14:paraId="2E181A7B"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le relèvement de la quotité de la participation de l’Etat dans le capital social des sociétés minières ; </w:t>
      </w:r>
    </w:p>
    <w:p w14:paraId="6DBCBA12"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le paiement des droits proportionnels ;</w:t>
      </w:r>
    </w:p>
    <w:p w14:paraId="7C3B3920"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le renforcement des conditions d’octroi, de transformation, de renouvellement et de cession des droits miniers et de carrières ; </w:t>
      </w:r>
    </w:p>
    <w:p w14:paraId="070B72BF"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la prise des mesures incitatives à l’endroit des provinces en déficit d’infrastructures afin de permettre leur essor économique ;</w:t>
      </w:r>
    </w:p>
    <w:p w14:paraId="5D3DAF13"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l’exclusivité de l’activité de la sous-traitance dans le secteur de mines et carrières aux seules sociétés dont la majorité du capital est détenue par des congolais ; </w:t>
      </w:r>
    </w:p>
    <w:p w14:paraId="227253C1"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la précision des modalités de superposition des périmètres des droits miniers et/ou des carrières ; </w:t>
      </w:r>
    </w:p>
    <w:p w14:paraId="1703E384"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la participation requise d’au moins 10 % des personnes physiques de nationalité congolaise dans le capital social des sociétés minières ;  </w:t>
      </w:r>
    </w:p>
    <w:p w14:paraId="0B3BEE9C"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la restriction d’accès à l’exploitation artisanale aux seules personnes physiques majeures de nationalité congolaise, membres d’une coopérative agréée ; </w:t>
      </w:r>
    </w:p>
    <w:p w14:paraId="153D9E3B"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le retrait des droits miniers et la récupération du périmètre ; </w:t>
      </w:r>
    </w:p>
    <w:p w14:paraId="77EC02D0"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la participation des congolais dans le capital des comptoirs d’achat et de vente des matières précieuses et de traitement ; </w:t>
      </w:r>
    </w:p>
    <w:p w14:paraId="3434ED69"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l’introduction de la notion de mine distincte et l’obligation de création d’une société de droit congolais pour son exploitation ; </w:t>
      </w:r>
    </w:p>
    <w:p w14:paraId="6D8494C2"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l’introduction du cahier des charges pour les sociétés minières en rapport avec leur responsabilité sociale vis-à-vis des populations locales ; </w:t>
      </w:r>
    </w:p>
    <w:p w14:paraId="124BB87C"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l’introduction du certificat environnemental  pour l’obtention d’un Permis d’exploitation ; </w:t>
      </w:r>
    </w:p>
    <w:p w14:paraId="7DF136FF"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le renforcement de la responsabilité industrielle du titulaire ; </w:t>
      </w:r>
    </w:p>
    <w:p w14:paraId="29D7DF8E"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la prise en compte des principes et critères de  l’initiative pour la transparence des industries extractives ; </w:t>
      </w:r>
    </w:p>
    <w:p w14:paraId="59A81B6F"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la restriction du régime privilégié du Code ;</w:t>
      </w:r>
    </w:p>
    <w:p w14:paraId="21314ACA"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l’élargissement de l’assiette et le relèvement des taux de la redevance minière ;</w:t>
      </w:r>
    </w:p>
    <w:p w14:paraId="7B0EFC93"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la cessation du bénéfice des droits d’entrée au  taux préférentiel pour les titulaires qui auront accompli six ans et plus d’exploitation ; </w:t>
      </w:r>
    </w:p>
    <w:p w14:paraId="08FC8167"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l’effectivité et le contrôle du rapatriement de 60% ou 100% de recette des ventes à l‘exportation ;</w:t>
      </w:r>
    </w:p>
    <w:p w14:paraId="59FCF268"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l’intervention d’autres ministres sectoriels dans la sphère des compétences du Ministre des mines du fait de la transversalité de l’exploitation minière ; </w:t>
      </w:r>
    </w:p>
    <w:p w14:paraId="57EC5D24"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la précision du cadre juridique pouvant exceptionnellement autoriser l’exportation des minerais à l’état brut ;  </w:t>
      </w:r>
    </w:p>
    <w:p w14:paraId="21BE145B"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l’autorisation d’exportation, selon le cas des substances minérales ; </w:t>
      </w:r>
    </w:p>
    <w:p w14:paraId="141FBE94"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l’institution d’une collaboration entre l’Agence Congolaise de l’Environnement et la Direction de la protection de l’environnement sur les questions ayant trait à l’instruction environnementale et sociale ;  </w:t>
      </w:r>
    </w:p>
    <w:p w14:paraId="20DEED3D"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le remplacement de l’avis environnemental par le certificat environnemental ; </w:t>
      </w:r>
    </w:p>
    <w:p w14:paraId="233FFCDA"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l’attribution exclusive au Premier ministre de la compétence de classer ou de déclasser une zone interdite à l’activité minière ou aux travaux de carrières, de déclarer le classement ou le déclassement d’une substance minérale en une substance réservée ; </w:t>
      </w:r>
    </w:p>
    <w:p w14:paraId="68D3F9CE"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lastRenderedPageBreak/>
        <w:t xml:space="preserve">l’obligation de construction du bâtiment abritant le siège social dans le chef-lieu de la province de l’exploitation ; </w:t>
      </w:r>
    </w:p>
    <w:p w14:paraId="27234009"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l’application des règles d’amortissement linéaire des immobilisations ; </w:t>
      </w:r>
    </w:p>
    <w:p w14:paraId="0E5C57D7"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la fixation du montant du capital social à au moins 40% des ressources nécessaires à la réalisation de l’investissement ; </w:t>
      </w:r>
    </w:p>
    <w:p w14:paraId="07A279EC"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l’évaluation du gisement en cas de cession d’actifs immobiliers et la prise en compte de sa  valeur dans le capital social  de la société commune ; </w:t>
      </w:r>
    </w:p>
    <w:p w14:paraId="7F2C09A7"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l’attribution de pas de porte à la société commerciale appartenant à l’Etat ayant effectué les travaux d’étude et de documentation sur le gisement ;</w:t>
      </w:r>
    </w:p>
    <w:p w14:paraId="577B5157"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l’institution d’un établissement public placé sous la tutelle du Ministre des mines et chargé de réaliser des activités d’investigation du sol ou du sous-sol dans le but d’améliorer la connaissance géologique du territoire national ou des provinces à des fins scientifiques ou d’amélioration et de promotion de l’information géologique.</w:t>
      </w:r>
    </w:p>
    <w:p w14:paraId="30EC523E" w14:textId="77777777" w:rsidR="00207B98" w:rsidRPr="00694EDA" w:rsidRDefault="00207B98" w:rsidP="00207B98">
      <w:pPr>
        <w:pStyle w:val="Paragraphedeliste"/>
        <w:rPr>
          <w:rFonts w:ascii="Times New Roman" w:hAnsi="Times New Roman" w:cs="Times New Roman"/>
          <w:sz w:val="24"/>
          <w:szCs w:val="24"/>
        </w:rPr>
      </w:pPr>
    </w:p>
    <w:p w14:paraId="751BF3FB" w14:textId="77777777" w:rsidR="00207B98" w:rsidRPr="00D47E4B" w:rsidRDefault="00207B98" w:rsidP="000738D3">
      <w:pPr>
        <w:pStyle w:val="Paragraphedeliste"/>
        <w:numPr>
          <w:ilvl w:val="1"/>
          <w:numId w:val="56"/>
        </w:numPr>
        <w:ind w:left="567"/>
        <w:rPr>
          <w:rFonts w:ascii="Times New Roman" w:hAnsi="Times New Roman"/>
          <w:i/>
          <w:sz w:val="24"/>
          <w:szCs w:val="24"/>
        </w:rPr>
      </w:pPr>
      <w:bookmarkStart w:id="103" w:name="_Toc518135500"/>
      <w:r w:rsidRPr="00D47E4B">
        <w:rPr>
          <w:rFonts w:ascii="Times New Roman" w:hAnsi="Times New Roman"/>
          <w:i/>
          <w:sz w:val="24"/>
          <w:szCs w:val="24"/>
        </w:rPr>
        <w:t>Révision du Décret n°038/2003 du 26 mars 2003 portant Règlement minier</w:t>
      </w:r>
      <w:bookmarkEnd w:id="103"/>
      <w:r w:rsidRPr="00D47E4B">
        <w:rPr>
          <w:rFonts w:ascii="Times New Roman" w:hAnsi="Times New Roman"/>
          <w:i/>
          <w:sz w:val="24"/>
          <w:szCs w:val="24"/>
        </w:rPr>
        <w:t xml:space="preserve"> </w:t>
      </w:r>
    </w:p>
    <w:p w14:paraId="5B41B18B" w14:textId="1FB6EAB2" w:rsidR="00982965" w:rsidRDefault="00207B98" w:rsidP="006443D7">
      <w:pPr>
        <w:spacing w:line="240" w:lineRule="auto"/>
        <w:ind w:left="567" w:right="567"/>
        <w:jc w:val="both"/>
        <w:rPr>
          <w:rFonts w:ascii="Times New Roman" w:hAnsi="Times New Roman"/>
          <w:szCs w:val="20"/>
        </w:rPr>
      </w:pPr>
      <w:r w:rsidRPr="00840E13">
        <w:rPr>
          <w:rFonts w:ascii="Times New Roman" w:hAnsi="Times New Roman"/>
        </w:rPr>
        <w:t xml:space="preserve">Une Commission composée des membres de la société civile, des entreprises et du Gouvernement a été mise en place pour adapter les mesures d’application du Code Minier aux modifications apportées par la </w:t>
      </w:r>
      <w:r w:rsidRPr="00840E13">
        <w:rPr>
          <w:rFonts w:ascii="Times New Roman" w:hAnsi="Times New Roman"/>
          <w:b/>
          <w:i/>
          <w:sz w:val="20"/>
          <w:szCs w:val="20"/>
        </w:rPr>
        <w:t>Loi n°18/001 du 09 mars 2018</w:t>
      </w:r>
      <w:r w:rsidRPr="00840E13">
        <w:rPr>
          <w:rFonts w:ascii="Times New Roman" w:hAnsi="Times New Roman"/>
          <w:i/>
          <w:sz w:val="20"/>
          <w:szCs w:val="20"/>
        </w:rPr>
        <w:t>.</w:t>
      </w:r>
      <w:r w:rsidRPr="00840E13">
        <w:rPr>
          <w:rFonts w:ascii="Times New Roman" w:hAnsi="Times New Roman"/>
          <w:sz w:val="20"/>
          <w:szCs w:val="20"/>
        </w:rPr>
        <w:t xml:space="preserve"> </w:t>
      </w:r>
      <w:r>
        <w:rPr>
          <w:rFonts w:ascii="Times New Roman" w:hAnsi="Times New Roman"/>
          <w:szCs w:val="20"/>
        </w:rPr>
        <w:t>Un  projet de</w:t>
      </w:r>
      <w:r w:rsidRPr="00840E13">
        <w:rPr>
          <w:rFonts w:ascii="Times New Roman" w:hAnsi="Times New Roman"/>
          <w:szCs w:val="20"/>
        </w:rPr>
        <w:t xml:space="preserve"> décret portant Règlement minier</w:t>
      </w:r>
      <w:r>
        <w:rPr>
          <w:rFonts w:ascii="Times New Roman" w:hAnsi="Times New Roman"/>
          <w:szCs w:val="20"/>
        </w:rPr>
        <w:t xml:space="preserve"> a été soumis à la signature </w:t>
      </w:r>
      <w:r w:rsidRPr="00840E13">
        <w:rPr>
          <w:rFonts w:ascii="Times New Roman" w:hAnsi="Times New Roman"/>
          <w:szCs w:val="20"/>
        </w:rPr>
        <w:t>du Premier Ministre</w:t>
      </w:r>
      <w:r>
        <w:rPr>
          <w:rFonts w:ascii="Times New Roman" w:hAnsi="Times New Roman"/>
          <w:szCs w:val="20"/>
        </w:rPr>
        <w:t xml:space="preserve"> et attend sa publication.</w:t>
      </w:r>
    </w:p>
    <w:p w14:paraId="4C6BCDC2" w14:textId="47567732" w:rsidR="00207B98" w:rsidRDefault="00982965" w:rsidP="006443D7">
      <w:pPr>
        <w:spacing w:line="240" w:lineRule="auto"/>
        <w:ind w:left="567" w:right="567"/>
        <w:jc w:val="both"/>
        <w:rPr>
          <w:rFonts w:ascii="Times New Roman" w:hAnsi="Times New Roman"/>
          <w:sz w:val="24"/>
        </w:rPr>
      </w:pPr>
      <w:r>
        <w:rPr>
          <w:noProof/>
          <w:lang w:eastAsia="fr-FR"/>
        </w:rPr>
        <mc:AlternateContent>
          <mc:Choice Requires="wps">
            <w:drawing>
              <wp:anchor distT="0" distB="0" distL="114300" distR="114300" simplePos="0" relativeHeight="251672576" behindDoc="0" locked="0" layoutInCell="1" allowOverlap="1" wp14:anchorId="6BFFD814" wp14:editId="715EDEFD">
                <wp:simplePos x="0" y="0"/>
                <wp:positionH relativeFrom="margin">
                  <wp:align>left</wp:align>
                </wp:positionH>
                <wp:positionV relativeFrom="paragraph">
                  <wp:posOffset>80433</wp:posOffset>
                </wp:positionV>
                <wp:extent cx="5709920" cy="1395412"/>
                <wp:effectExtent l="0" t="0" r="24130" b="14605"/>
                <wp:wrapNone/>
                <wp:docPr id="9" name="Zone de texte 9"/>
                <wp:cNvGraphicFramePr/>
                <a:graphic xmlns:a="http://schemas.openxmlformats.org/drawingml/2006/main">
                  <a:graphicData uri="http://schemas.microsoft.com/office/word/2010/wordprocessingShape">
                    <wps:wsp>
                      <wps:cNvSpPr txBox="1"/>
                      <wps:spPr>
                        <a:xfrm>
                          <a:off x="0" y="0"/>
                          <a:ext cx="5709920" cy="1395412"/>
                        </a:xfrm>
                        <a:prstGeom prst="rect">
                          <a:avLst/>
                        </a:prstGeom>
                        <a:solidFill>
                          <a:schemeClr val="accent1">
                            <a:lumMod val="20000"/>
                            <a:lumOff val="80000"/>
                          </a:schemeClr>
                        </a:solidFill>
                        <a:ln>
                          <a:solidFill>
                            <a:schemeClr val="accent1">
                              <a:lumMod val="20000"/>
                              <a:lumOff val="80000"/>
                            </a:schemeClr>
                          </a:solidFill>
                        </a:ln>
                      </wps:spPr>
                      <wps:style>
                        <a:lnRef idx="1">
                          <a:schemeClr val="accent1"/>
                        </a:lnRef>
                        <a:fillRef idx="2">
                          <a:schemeClr val="accent1"/>
                        </a:fillRef>
                        <a:effectRef idx="1">
                          <a:schemeClr val="accent1"/>
                        </a:effectRef>
                        <a:fontRef idx="minor">
                          <a:schemeClr val="dk1"/>
                        </a:fontRef>
                      </wps:style>
                      <wps:txbx>
                        <w:txbxContent>
                          <w:p w14:paraId="3051BE02" w14:textId="1847EE3F" w:rsidR="00E357DF" w:rsidRPr="0063635F" w:rsidRDefault="00E357DF" w:rsidP="00982965">
                            <w:pPr>
                              <w:rPr>
                                <w:rFonts w:ascii="Times New Roman" w:hAnsi="Times New Roman"/>
                                <w:b/>
                                <w:color w:val="44546A" w:themeColor="text2"/>
                                <w:sz w:val="24"/>
                                <w:szCs w:val="24"/>
                                <w:u w:val="single"/>
                              </w:rPr>
                            </w:pPr>
                            <w:r w:rsidRPr="0063635F">
                              <w:rPr>
                                <w:rFonts w:ascii="Times New Roman" w:hAnsi="Times New Roman"/>
                                <w:b/>
                                <w:color w:val="44546A" w:themeColor="text2"/>
                                <w:sz w:val="24"/>
                                <w:szCs w:val="24"/>
                                <w:u w:val="single"/>
                              </w:rPr>
                              <w:t>Recommandations</w:t>
                            </w:r>
                            <w:r>
                              <w:rPr>
                                <w:rFonts w:ascii="Times New Roman" w:hAnsi="Times New Roman"/>
                                <w:b/>
                                <w:color w:val="44546A" w:themeColor="text2"/>
                                <w:sz w:val="24"/>
                                <w:szCs w:val="24"/>
                              </w:rPr>
                              <w:t xml:space="preserve"> : </w:t>
                            </w:r>
                            <w:r w:rsidRPr="00F32693">
                              <w:rPr>
                                <w:rFonts w:ascii="Times New Roman" w:hAnsi="Times New Roman"/>
                                <w:i/>
                                <w:color w:val="44546A" w:themeColor="text2"/>
                                <w:sz w:val="24"/>
                                <w:szCs w:val="24"/>
                              </w:rPr>
                              <w:t>(2)</w:t>
                            </w:r>
                          </w:p>
                          <w:p w14:paraId="4AF316FC" w14:textId="77777777" w:rsidR="00E357DF" w:rsidRPr="0063635F" w:rsidRDefault="00E357DF" w:rsidP="00982965">
                            <w:pPr>
                              <w:spacing w:after="0" w:line="276" w:lineRule="auto"/>
                              <w:rPr>
                                <w:rFonts w:ascii="Times New Roman" w:eastAsia="Times New Roman" w:hAnsi="Times New Roman"/>
                                <w:color w:val="262626" w:themeColor="text1" w:themeTint="D9"/>
                                <w:sz w:val="24"/>
                                <w:szCs w:val="24"/>
                                <w:lang w:eastAsia="fr-FR"/>
                              </w:rPr>
                            </w:pPr>
                            <w:r w:rsidRPr="0063635F">
                              <w:rPr>
                                <w:rFonts w:ascii="Times New Roman" w:eastAsia="Times New Roman" w:hAnsi="Times New Roman"/>
                                <w:color w:val="262626" w:themeColor="text1" w:themeTint="D9"/>
                                <w:sz w:val="24"/>
                                <w:szCs w:val="24"/>
                                <w:lang w:eastAsia="fr-FR"/>
                              </w:rPr>
                              <w:t>Au Premier Ministre de :</w:t>
                            </w:r>
                          </w:p>
                          <w:p w14:paraId="6AC5AD97" w14:textId="77777777" w:rsidR="00E357DF" w:rsidRPr="0063635F" w:rsidRDefault="00E357DF" w:rsidP="00982965">
                            <w:pPr>
                              <w:pStyle w:val="Paragraphedeliste"/>
                              <w:numPr>
                                <w:ilvl w:val="0"/>
                                <w:numId w:val="57"/>
                              </w:numPr>
                              <w:spacing w:after="0" w:line="240" w:lineRule="auto"/>
                              <w:jc w:val="both"/>
                              <w:rPr>
                                <w:rFonts w:ascii="Times New Roman" w:eastAsia="Times New Roman" w:hAnsi="Times New Roman" w:cs="Times New Roman"/>
                                <w:color w:val="262626" w:themeColor="text1" w:themeTint="D9"/>
                                <w:sz w:val="24"/>
                                <w:szCs w:val="24"/>
                                <w:lang w:eastAsia="fr-FR"/>
                              </w:rPr>
                            </w:pPr>
                            <w:r w:rsidRPr="0063635F">
                              <w:rPr>
                                <w:rFonts w:ascii="Times New Roman" w:eastAsia="Times New Roman" w:hAnsi="Times New Roman" w:cs="Times New Roman"/>
                                <w:color w:val="262626" w:themeColor="text1" w:themeTint="D9"/>
                                <w:sz w:val="24"/>
                                <w:szCs w:val="24"/>
                                <w:lang w:eastAsia="fr-FR"/>
                              </w:rPr>
                              <w:t xml:space="preserve">publier le règlement minier ; </w:t>
                            </w:r>
                          </w:p>
                          <w:p w14:paraId="3CA17736" w14:textId="77777777" w:rsidR="00E357DF" w:rsidRPr="0063635F" w:rsidRDefault="00E357DF" w:rsidP="00982965">
                            <w:pPr>
                              <w:pStyle w:val="Paragraphedeliste"/>
                              <w:numPr>
                                <w:ilvl w:val="0"/>
                                <w:numId w:val="57"/>
                              </w:numPr>
                              <w:spacing w:after="0" w:line="240" w:lineRule="auto"/>
                              <w:jc w:val="both"/>
                              <w:rPr>
                                <w:rFonts w:ascii="Times New Roman" w:eastAsia="Times New Roman" w:hAnsi="Times New Roman" w:cs="Times New Roman"/>
                                <w:color w:val="262626" w:themeColor="text1" w:themeTint="D9"/>
                                <w:sz w:val="24"/>
                                <w:szCs w:val="24"/>
                                <w:lang w:eastAsia="fr-FR"/>
                              </w:rPr>
                            </w:pPr>
                            <w:r w:rsidRPr="0063635F">
                              <w:rPr>
                                <w:rFonts w:ascii="Times New Roman" w:eastAsia="Times New Roman" w:hAnsi="Times New Roman" w:cs="Times New Roman"/>
                                <w:color w:val="262626" w:themeColor="text1" w:themeTint="D9"/>
                                <w:sz w:val="24"/>
                                <w:szCs w:val="24"/>
                                <w:lang w:eastAsia="fr-FR"/>
                              </w:rPr>
                              <w:t>prendr</w:t>
                            </w:r>
                            <w:r>
                              <w:rPr>
                                <w:rFonts w:ascii="Times New Roman" w:eastAsia="Times New Roman" w:hAnsi="Times New Roman" w:cs="Times New Roman"/>
                                <w:color w:val="262626" w:themeColor="text1" w:themeTint="D9"/>
                                <w:sz w:val="24"/>
                                <w:szCs w:val="24"/>
                                <w:lang w:eastAsia="fr-FR"/>
                              </w:rPr>
                              <w:t xml:space="preserve">e les décrets portant création, </w:t>
                            </w:r>
                            <w:r w:rsidRPr="0063635F">
                              <w:rPr>
                                <w:rFonts w:ascii="Times New Roman" w:eastAsia="Times New Roman" w:hAnsi="Times New Roman" w:cs="Times New Roman"/>
                                <w:color w:val="262626" w:themeColor="text1" w:themeTint="D9"/>
                                <w:sz w:val="24"/>
                                <w:szCs w:val="24"/>
                                <w:lang w:eastAsia="fr-FR"/>
                              </w:rPr>
                              <w:t>organisation et fonctionnement des organismes publics chargés de gérer respectivement  la Caisse Nationale de Péréquation et les Fonds pour les générations futures (secteurs minier et pétrolier).</w:t>
                            </w:r>
                          </w:p>
                          <w:p w14:paraId="1967281D" w14:textId="77777777" w:rsidR="00E357DF" w:rsidRDefault="00E357DF" w:rsidP="00982965">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FFD814" id="_x0000_t202" coordsize="21600,21600" o:spt="202" path="m,l,21600r21600,l21600,xe">
                <v:stroke joinstyle="miter"/>
                <v:path gradientshapeok="t" o:connecttype="rect"/>
              </v:shapetype>
              <v:shape id="Zone de texte 9" o:spid="_x0000_s1026" type="#_x0000_t202" style="position:absolute;left:0;text-align:left;margin-left:0;margin-top:6.35pt;width:449.6pt;height:109.8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" fillcolor="#deeaf6 [660]" strokecolor="#deeaf6 [660]" strokeweight=".5pt">
                <v:textbox>
                  <w:txbxContent>
                    <w:p w14:paraId="3051BE02" w14:textId="1847EE3F" w:rsidR="00E357DF" w:rsidRPr="0063635F" w:rsidRDefault="00E357DF" w:rsidP="00982965">
                      <w:pPr>
                        <w:rPr>
                          <w:rFonts w:ascii="Times New Roman" w:hAnsi="Times New Roman"/>
                          <w:b/>
                          <w:color w:val="44546A" w:themeColor="text2"/>
                          <w:sz w:val="24"/>
                          <w:szCs w:val="24"/>
                          <w:u w:val="single"/>
                        </w:rPr>
                      </w:pPr>
                      <w:r w:rsidRPr="0063635F">
                        <w:rPr>
                          <w:rFonts w:ascii="Times New Roman" w:hAnsi="Times New Roman"/>
                          <w:b/>
                          <w:color w:val="44546A" w:themeColor="text2"/>
                          <w:sz w:val="24"/>
                          <w:szCs w:val="24"/>
                          <w:u w:val="single"/>
                        </w:rPr>
                        <w:t>Recommandations</w:t>
                      </w:r>
                      <w:r>
                        <w:rPr>
                          <w:rFonts w:ascii="Times New Roman" w:hAnsi="Times New Roman"/>
                          <w:b/>
                          <w:color w:val="44546A" w:themeColor="text2"/>
                          <w:sz w:val="24"/>
                          <w:szCs w:val="24"/>
                        </w:rPr>
                        <w:t xml:space="preserve"> : </w:t>
                      </w:r>
                      <w:r w:rsidRPr="00F32693">
                        <w:rPr>
                          <w:rFonts w:ascii="Times New Roman" w:hAnsi="Times New Roman"/>
                          <w:i/>
                          <w:color w:val="44546A" w:themeColor="text2"/>
                          <w:sz w:val="24"/>
                          <w:szCs w:val="24"/>
                        </w:rPr>
                        <w:t>(2)</w:t>
                      </w:r>
                    </w:p>
                    <w:p w14:paraId="4AF316FC" w14:textId="77777777" w:rsidR="00E357DF" w:rsidRPr="0063635F" w:rsidRDefault="00E357DF" w:rsidP="00982965">
                      <w:pPr>
                        <w:spacing w:after="0" w:line="276" w:lineRule="auto"/>
                        <w:rPr>
                          <w:rFonts w:ascii="Times New Roman" w:eastAsia="Times New Roman" w:hAnsi="Times New Roman"/>
                          <w:color w:val="262626" w:themeColor="text1" w:themeTint="D9"/>
                          <w:sz w:val="24"/>
                          <w:szCs w:val="24"/>
                          <w:lang w:eastAsia="fr-FR"/>
                        </w:rPr>
                      </w:pPr>
                      <w:r w:rsidRPr="0063635F">
                        <w:rPr>
                          <w:rFonts w:ascii="Times New Roman" w:eastAsia="Times New Roman" w:hAnsi="Times New Roman"/>
                          <w:color w:val="262626" w:themeColor="text1" w:themeTint="D9"/>
                          <w:sz w:val="24"/>
                          <w:szCs w:val="24"/>
                          <w:lang w:eastAsia="fr-FR"/>
                        </w:rPr>
                        <w:t>Au Premier Ministre de :</w:t>
                      </w:r>
                    </w:p>
                    <w:p w14:paraId="6AC5AD97" w14:textId="77777777" w:rsidR="00E357DF" w:rsidRPr="0063635F" w:rsidRDefault="00E357DF" w:rsidP="00982965">
                      <w:pPr>
                        <w:pStyle w:val="Paragraphedeliste"/>
                        <w:numPr>
                          <w:ilvl w:val="0"/>
                          <w:numId w:val="57"/>
                        </w:numPr>
                        <w:spacing w:after="0" w:line="240" w:lineRule="auto"/>
                        <w:jc w:val="both"/>
                        <w:rPr>
                          <w:rFonts w:ascii="Times New Roman" w:eastAsia="Times New Roman" w:hAnsi="Times New Roman" w:cs="Times New Roman"/>
                          <w:color w:val="262626" w:themeColor="text1" w:themeTint="D9"/>
                          <w:sz w:val="24"/>
                          <w:szCs w:val="24"/>
                          <w:lang w:eastAsia="fr-FR"/>
                        </w:rPr>
                      </w:pPr>
                      <w:r w:rsidRPr="0063635F">
                        <w:rPr>
                          <w:rFonts w:ascii="Times New Roman" w:eastAsia="Times New Roman" w:hAnsi="Times New Roman" w:cs="Times New Roman"/>
                          <w:color w:val="262626" w:themeColor="text1" w:themeTint="D9"/>
                          <w:sz w:val="24"/>
                          <w:szCs w:val="24"/>
                          <w:lang w:eastAsia="fr-FR"/>
                        </w:rPr>
                        <w:t xml:space="preserve">publier le règlement minier ; </w:t>
                      </w:r>
                    </w:p>
                    <w:p w14:paraId="3CA17736" w14:textId="77777777" w:rsidR="00E357DF" w:rsidRPr="0063635F" w:rsidRDefault="00E357DF" w:rsidP="00982965">
                      <w:pPr>
                        <w:pStyle w:val="Paragraphedeliste"/>
                        <w:numPr>
                          <w:ilvl w:val="0"/>
                          <w:numId w:val="57"/>
                        </w:numPr>
                        <w:spacing w:after="0" w:line="240" w:lineRule="auto"/>
                        <w:jc w:val="both"/>
                        <w:rPr>
                          <w:rFonts w:ascii="Times New Roman" w:eastAsia="Times New Roman" w:hAnsi="Times New Roman" w:cs="Times New Roman"/>
                          <w:color w:val="262626" w:themeColor="text1" w:themeTint="D9"/>
                          <w:sz w:val="24"/>
                          <w:szCs w:val="24"/>
                          <w:lang w:eastAsia="fr-FR"/>
                        </w:rPr>
                      </w:pPr>
                      <w:r w:rsidRPr="0063635F">
                        <w:rPr>
                          <w:rFonts w:ascii="Times New Roman" w:eastAsia="Times New Roman" w:hAnsi="Times New Roman" w:cs="Times New Roman"/>
                          <w:color w:val="262626" w:themeColor="text1" w:themeTint="D9"/>
                          <w:sz w:val="24"/>
                          <w:szCs w:val="24"/>
                          <w:lang w:eastAsia="fr-FR"/>
                        </w:rPr>
                        <w:t>prendr</w:t>
                      </w:r>
                      <w:r>
                        <w:rPr>
                          <w:rFonts w:ascii="Times New Roman" w:eastAsia="Times New Roman" w:hAnsi="Times New Roman" w:cs="Times New Roman"/>
                          <w:color w:val="262626" w:themeColor="text1" w:themeTint="D9"/>
                          <w:sz w:val="24"/>
                          <w:szCs w:val="24"/>
                          <w:lang w:eastAsia="fr-FR"/>
                        </w:rPr>
                        <w:t xml:space="preserve">e les décrets portant création, </w:t>
                      </w:r>
                      <w:r w:rsidRPr="0063635F">
                        <w:rPr>
                          <w:rFonts w:ascii="Times New Roman" w:eastAsia="Times New Roman" w:hAnsi="Times New Roman" w:cs="Times New Roman"/>
                          <w:color w:val="262626" w:themeColor="text1" w:themeTint="D9"/>
                          <w:sz w:val="24"/>
                          <w:szCs w:val="24"/>
                          <w:lang w:eastAsia="fr-FR"/>
                        </w:rPr>
                        <w:t>organisation et fonctionnement des organismes publics chargés de gérer respectivement  la Caisse Nationale de Péréquation et les Fonds pour les générations futures (secteurs minier et pétrolier).</w:t>
                      </w:r>
                    </w:p>
                    <w:p w14:paraId="1967281D" w14:textId="77777777" w:rsidR="00E357DF" w:rsidRDefault="00E357DF" w:rsidP="00982965">
                      <w:pPr>
                        <w:jc w:val="both"/>
                      </w:pPr>
                    </w:p>
                  </w:txbxContent>
                </v:textbox>
                <w10:wrap anchorx="margin"/>
              </v:shape>
            </w:pict>
          </mc:Fallback>
        </mc:AlternateContent>
      </w:r>
      <w:r w:rsidR="00207B98" w:rsidRPr="00840E13">
        <w:rPr>
          <w:rFonts w:ascii="Times New Roman" w:hAnsi="Times New Roman"/>
          <w:b/>
          <w:i/>
          <w:szCs w:val="20"/>
        </w:rPr>
        <w:t xml:space="preserve"> </w:t>
      </w:r>
      <w:r w:rsidR="00207B98" w:rsidRPr="00840E13">
        <w:rPr>
          <w:rFonts w:ascii="Times New Roman" w:hAnsi="Times New Roman"/>
          <w:szCs w:val="20"/>
        </w:rPr>
        <w:t xml:space="preserve"> </w:t>
      </w:r>
      <w:r w:rsidR="00207B98" w:rsidRPr="00840E13">
        <w:rPr>
          <w:rFonts w:ascii="Times New Roman" w:hAnsi="Times New Roman"/>
          <w:sz w:val="24"/>
        </w:rPr>
        <w:t xml:space="preserve"> </w:t>
      </w:r>
    </w:p>
    <w:p w14:paraId="5DF7DC6E" w14:textId="3C3D7D08" w:rsidR="00982965" w:rsidRDefault="00982965" w:rsidP="006443D7">
      <w:pPr>
        <w:spacing w:line="240" w:lineRule="auto"/>
        <w:ind w:left="567" w:right="567"/>
        <w:jc w:val="both"/>
        <w:rPr>
          <w:rFonts w:ascii="Times New Roman" w:hAnsi="Times New Roman"/>
          <w:sz w:val="24"/>
        </w:rPr>
      </w:pPr>
    </w:p>
    <w:p w14:paraId="5BF21EF8" w14:textId="6E4F6ADD" w:rsidR="00982965" w:rsidRDefault="00982965" w:rsidP="006443D7">
      <w:pPr>
        <w:spacing w:line="240" w:lineRule="auto"/>
        <w:ind w:left="567" w:right="567"/>
        <w:jc w:val="both"/>
        <w:rPr>
          <w:rFonts w:ascii="Times New Roman" w:hAnsi="Times New Roman"/>
          <w:sz w:val="24"/>
        </w:rPr>
      </w:pPr>
    </w:p>
    <w:p w14:paraId="729AF312" w14:textId="77777777" w:rsidR="00982965" w:rsidRDefault="00982965" w:rsidP="006443D7">
      <w:pPr>
        <w:spacing w:line="240" w:lineRule="auto"/>
        <w:ind w:left="567" w:right="567"/>
        <w:jc w:val="both"/>
        <w:rPr>
          <w:rFonts w:ascii="Times New Roman" w:hAnsi="Times New Roman"/>
          <w:sz w:val="24"/>
        </w:rPr>
      </w:pPr>
    </w:p>
    <w:p w14:paraId="3D6BF7B8" w14:textId="77777777" w:rsidR="00982965" w:rsidRDefault="00982965" w:rsidP="006443D7">
      <w:pPr>
        <w:spacing w:line="240" w:lineRule="auto"/>
        <w:ind w:left="567" w:right="567"/>
        <w:jc w:val="both"/>
        <w:rPr>
          <w:rFonts w:ascii="Times New Roman" w:hAnsi="Times New Roman"/>
          <w:sz w:val="24"/>
        </w:rPr>
      </w:pPr>
    </w:p>
    <w:p w14:paraId="720B232F" w14:textId="1E21884E" w:rsidR="00982965" w:rsidRPr="00840E13" w:rsidRDefault="00982965" w:rsidP="006443D7">
      <w:pPr>
        <w:spacing w:line="240" w:lineRule="auto"/>
        <w:ind w:left="567" w:right="567"/>
        <w:jc w:val="both"/>
        <w:rPr>
          <w:rFonts w:ascii="Times New Roman" w:hAnsi="Times New Roman"/>
          <w:sz w:val="24"/>
        </w:rPr>
      </w:pPr>
    </w:p>
    <w:p w14:paraId="5EC162C4" w14:textId="7A4976BB" w:rsidR="00207B98" w:rsidRPr="00344D92" w:rsidRDefault="00207B98" w:rsidP="00344D92">
      <w:pPr>
        <w:pStyle w:val="Titre2"/>
        <w:spacing w:line="276" w:lineRule="auto"/>
        <w:rPr>
          <w:rFonts w:ascii="Times New Roman" w:hAnsi="Times New Roman" w:cs="Times New Roman"/>
          <w:sz w:val="24"/>
          <w:szCs w:val="24"/>
        </w:rPr>
      </w:pPr>
      <w:bookmarkStart w:id="104" w:name="_Toc515792944"/>
      <w:bookmarkStart w:id="105" w:name="_Toc515793183"/>
      <w:bookmarkStart w:id="106" w:name="_Toc518135501"/>
      <w:bookmarkStart w:id="107" w:name="_Toc518468065"/>
      <w:r w:rsidRPr="00344D92">
        <w:rPr>
          <w:rFonts w:ascii="Times New Roman" w:hAnsi="Times New Roman" w:cs="Times New Roman"/>
          <w:sz w:val="24"/>
          <w:szCs w:val="24"/>
        </w:rPr>
        <w:t xml:space="preserve">I.3. </w:t>
      </w:r>
      <w:r w:rsidR="00AA5F3F" w:rsidRPr="00344D92">
        <w:rPr>
          <w:rFonts w:ascii="Times New Roman" w:hAnsi="Times New Roman" w:cs="Times New Roman"/>
          <w:caps w:val="0"/>
          <w:sz w:val="24"/>
          <w:szCs w:val="24"/>
        </w:rPr>
        <w:t>Tableau de description des flux</w:t>
      </w:r>
      <w:bookmarkEnd w:id="104"/>
      <w:bookmarkEnd w:id="105"/>
      <w:bookmarkEnd w:id="106"/>
      <w:bookmarkEnd w:id="107"/>
    </w:p>
    <w:p w14:paraId="3BF6EA7F" w14:textId="77777777" w:rsidR="00207B98" w:rsidRPr="00840E13" w:rsidRDefault="00207B98" w:rsidP="00207B98">
      <w:pPr>
        <w:spacing w:after="0" w:line="240" w:lineRule="auto"/>
        <w:ind w:left="1418" w:right="567"/>
        <w:jc w:val="both"/>
        <w:rPr>
          <w:rFonts w:ascii="Times New Roman" w:hAnsi="Times New Roman"/>
          <w:sz w:val="8"/>
          <w:szCs w:val="8"/>
        </w:rPr>
      </w:pPr>
    </w:p>
    <w:p w14:paraId="0A8ED631" w14:textId="45933523" w:rsidR="00207B98" w:rsidRPr="00344D92" w:rsidRDefault="00207B98" w:rsidP="00344D92">
      <w:pPr>
        <w:spacing w:line="240" w:lineRule="auto"/>
        <w:ind w:right="567"/>
        <w:jc w:val="both"/>
        <w:rPr>
          <w:rFonts w:ascii="Times New Roman" w:hAnsi="Times New Roman"/>
          <w:sz w:val="24"/>
          <w:szCs w:val="24"/>
        </w:rPr>
      </w:pPr>
      <w:r w:rsidRPr="00344D92">
        <w:rPr>
          <w:rFonts w:ascii="Times New Roman" w:hAnsi="Times New Roman"/>
          <w:sz w:val="24"/>
          <w:szCs w:val="24"/>
        </w:rPr>
        <w:t>Le tableau de description des flux posté sur le site web de l’ITIE-RDC</w:t>
      </w:r>
      <w:r w:rsidRPr="00344D92">
        <w:rPr>
          <w:rStyle w:val="Appelnotedebasdep"/>
          <w:rFonts w:ascii="Times New Roman" w:hAnsi="Times New Roman"/>
          <w:sz w:val="24"/>
          <w:szCs w:val="24"/>
        </w:rPr>
        <w:footnoteReference w:id="16"/>
      </w:r>
      <w:r w:rsidRPr="00344D92">
        <w:rPr>
          <w:rFonts w:ascii="Times New Roman" w:hAnsi="Times New Roman"/>
          <w:sz w:val="24"/>
          <w:szCs w:val="24"/>
        </w:rPr>
        <w:t xml:space="preserve"> est un </w:t>
      </w:r>
      <w:hyperlink r:id="rId26" w:history="1">
        <w:r w:rsidRPr="00344D92">
          <w:rPr>
            <w:rStyle w:val="Lienhypertexte"/>
            <w:rFonts w:ascii="Times New Roman" w:hAnsi="Times New Roman"/>
            <w:b/>
            <w:sz w:val="24"/>
            <w:szCs w:val="24"/>
          </w:rPr>
          <w:t>Classeur</w:t>
        </w:r>
      </w:hyperlink>
      <w:r w:rsidRPr="00344D92">
        <w:rPr>
          <w:rFonts w:ascii="Times New Roman" w:hAnsi="Times New Roman"/>
          <w:color w:val="0070C0"/>
          <w:sz w:val="24"/>
          <w:szCs w:val="24"/>
        </w:rPr>
        <w:t xml:space="preserve"> </w:t>
      </w:r>
      <w:r w:rsidRPr="00344D92">
        <w:rPr>
          <w:rFonts w:ascii="Times New Roman" w:hAnsi="Times New Roman"/>
          <w:sz w:val="24"/>
          <w:szCs w:val="24"/>
        </w:rPr>
        <w:t xml:space="preserve">de trois feuilles contenant respectivement les flux des revenus nationaux, infranationaux et ceux encadrés par les entreprises du portefeuille de l’Etat (EPE). </w:t>
      </w:r>
    </w:p>
    <w:p w14:paraId="24BBD74A" w14:textId="347566FB" w:rsidR="00207B98" w:rsidRPr="00344D92" w:rsidRDefault="00207B98" w:rsidP="00344D92">
      <w:pPr>
        <w:spacing w:line="240" w:lineRule="auto"/>
        <w:ind w:right="567"/>
        <w:jc w:val="both"/>
        <w:rPr>
          <w:rFonts w:ascii="Times New Roman" w:hAnsi="Times New Roman"/>
          <w:sz w:val="24"/>
          <w:szCs w:val="24"/>
        </w:rPr>
      </w:pPr>
      <w:r w:rsidRPr="00344D92">
        <w:rPr>
          <w:rFonts w:ascii="Times New Roman" w:hAnsi="Times New Roman"/>
          <w:sz w:val="24"/>
          <w:szCs w:val="24"/>
        </w:rPr>
        <w:t xml:space="preserve">Chaque tableau comprend neuf colonnes renseignant sur : l’agence collectrice, la dénomination du flux, sa source légale, sa base de taxation, le taux de taxation, les catégories d’entreprises assujetties (selon qu’elles sont en exploration ou en production), la raison d’inclusion du flux dans le référentiel de 2016 et son mode de déclaration à l’ITIE-RDC 2016. </w:t>
      </w:r>
    </w:p>
    <w:p w14:paraId="553F0248" w14:textId="77777777" w:rsidR="00207B98" w:rsidRPr="00344D92" w:rsidRDefault="00207B98" w:rsidP="00344D92">
      <w:pPr>
        <w:spacing w:line="240" w:lineRule="auto"/>
        <w:ind w:right="567"/>
        <w:jc w:val="both"/>
        <w:rPr>
          <w:rFonts w:ascii="Times New Roman" w:hAnsi="Times New Roman"/>
          <w:sz w:val="24"/>
          <w:szCs w:val="24"/>
        </w:rPr>
      </w:pPr>
      <w:r w:rsidRPr="00344D92">
        <w:rPr>
          <w:rFonts w:ascii="Times New Roman" w:hAnsi="Times New Roman"/>
          <w:sz w:val="24"/>
          <w:szCs w:val="24"/>
        </w:rPr>
        <w:t>Cette description des flux vise à apporter au public une information simple et compréhensible sur la structuration et l’organisation de la fiscalité en RDC, information susceptible d’éclairer les parties prenantes lors du débat sur les revenus du secteur extractif. C’est aussi un outil d’analyse à la disposition des investisseurs potentiels.</w:t>
      </w:r>
    </w:p>
    <w:p w14:paraId="6D475A2C" w14:textId="77777777" w:rsidR="00207B98" w:rsidRPr="00344D92" w:rsidRDefault="00207B98" w:rsidP="00344D92">
      <w:pPr>
        <w:spacing w:line="240" w:lineRule="auto"/>
        <w:ind w:right="567"/>
        <w:jc w:val="both"/>
        <w:rPr>
          <w:rFonts w:ascii="Times New Roman" w:hAnsi="Times New Roman"/>
          <w:sz w:val="24"/>
          <w:szCs w:val="24"/>
        </w:rPr>
      </w:pPr>
      <w:r w:rsidRPr="00344D92">
        <w:rPr>
          <w:rFonts w:ascii="Times New Roman" w:hAnsi="Times New Roman"/>
          <w:b/>
          <w:sz w:val="24"/>
          <w:szCs w:val="24"/>
        </w:rPr>
        <w:t>Limitation</w:t>
      </w:r>
      <w:r w:rsidRPr="00344D92">
        <w:rPr>
          <w:rFonts w:ascii="Times New Roman" w:hAnsi="Times New Roman"/>
          <w:sz w:val="24"/>
          <w:szCs w:val="24"/>
        </w:rPr>
        <w:t xml:space="preserve"> : Ce tableau ne reprend que les flux du référentiel 2016 et donc exclut les flux du secteur de l’artisanat minier. </w:t>
      </w:r>
    </w:p>
    <w:p w14:paraId="7EFD2F1B" w14:textId="6FAC272D" w:rsidR="00AA1F5B" w:rsidRPr="00AA1F5B" w:rsidRDefault="00AA1F5B" w:rsidP="00EE2A5B">
      <w:pPr>
        <w:pStyle w:val="Titre1"/>
        <w:numPr>
          <w:ilvl w:val="0"/>
          <w:numId w:val="4"/>
        </w:numPr>
        <w:spacing w:before="0" w:after="0" w:line="360" w:lineRule="auto"/>
        <w:ind w:left="426" w:right="1" w:hanging="425"/>
        <w:contextualSpacing w:val="0"/>
        <w:rPr>
          <w:rFonts w:ascii="Times New Roman" w:hAnsi="Times New Roman" w:cs="Times New Roman"/>
          <w:sz w:val="28"/>
          <w:szCs w:val="28"/>
        </w:rPr>
      </w:pPr>
      <w:bookmarkStart w:id="108" w:name="_Toc518468066"/>
      <w:r w:rsidRPr="00AA1F5B">
        <w:rPr>
          <w:rFonts w:ascii="Times New Roman" w:hAnsi="Times New Roman" w:cs="Times New Roman"/>
          <w:sz w:val="28"/>
          <w:szCs w:val="28"/>
        </w:rPr>
        <w:lastRenderedPageBreak/>
        <w:t xml:space="preserve">OCTROI </w:t>
      </w:r>
      <w:r w:rsidR="00B41722" w:rsidRPr="00AA1F5B">
        <w:rPr>
          <w:rFonts w:ascii="Times New Roman" w:hAnsi="Times New Roman" w:cs="Times New Roman"/>
          <w:caps w:val="0"/>
          <w:sz w:val="28"/>
          <w:szCs w:val="28"/>
        </w:rPr>
        <w:t>DES</w:t>
      </w:r>
      <w:r w:rsidRPr="00AA1F5B">
        <w:rPr>
          <w:rFonts w:ascii="Times New Roman" w:hAnsi="Times New Roman" w:cs="Times New Roman"/>
          <w:sz w:val="28"/>
          <w:szCs w:val="28"/>
        </w:rPr>
        <w:t xml:space="preserve"> DROITS MINIERS ET PETROLIERS</w:t>
      </w:r>
      <w:bookmarkEnd w:id="108"/>
    </w:p>
    <w:p w14:paraId="2AB9F9DF" w14:textId="410357F8" w:rsidR="00C579DE" w:rsidRPr="00840E13" w:rsidRDefault="00C579DE" w:rsidP="00C579DE">
      <w:pPr>
        <w:pStyle w:val="Titre2"/>
        <w:jc w:val="both"/>
        <w:rPr>
          <w:rFonts w:ascii="Times New Roman" w:hAnsi="Times New Roman" w:cs="Times New Roman"/>
          <w:bCs/>
          <w:color w:val="0070C0"/>
          <w:sz w:val="24"/>
          <w:szCs w:val="24"/>
        </w:rPr>
      </w:pPr>
      <w:bookmarkStart w:id="109" w:name="_Toc518468067"/>
      <w:r>
        <w:rPr>
          <w:rFonts w:ascii="Times New Roman" w:hAnsi="Times New Roman" w:cs="Times New Roman"/>
          <w:sz w:val="24"/>
          <w:szCs w:val="24"/>
        </w:rPr>
        <w:t xml:space="preserve">II.1. </w:t>
      </w:r>
      <w:r w:rsidR="008A3C1F" w:rsidRPr="00840E13">
        <w:rPr>
          <w:rFonts w:ascii="Times New Roman" w:hAnsi="Times New Roman" w:cs="Times New Roman"/>
          <w:caps w:val="0"/>
          <w:sz w:val="24"/>
          <w:szCs w:val="24"/>
        </w:rPr>
        <w:t xml:space="preserve">Procédure d’octroi des droits </w:t>
      </w:r>
      <w:bookmarkEnd w:id="3"/>
      <w:r w:rsidR="008A3C1F" w:rsidRPr="00840E13">
        <w:rPr>
          <w:rFonts w:ascii="Times New Roman" w:hAnsi="Times New Roman" w:cs="Times New Roman"/>
          <w:caps w:val="0"/>
          <w:sz w:val="24"/>
          <w:szCs w:val="24"/>
        </w:rPr>
        <w:t>pétroliers</w:t>
      </w:r>
      <w:bookmarkEnd w:id="109"/>
    </w:p>
    <w:p w14:paraId="3BB3A94B" w14:textId="77777777" w:rsidR="00C579DE" w:rsidRPr="00E10AFD" w:rsidRDefault="00C579DE" w:rsidP="000738D3">
      <w:pPr>
        <w:pStyle w:val="Paragraphedeliste"/>
        <w:numPr>
          <w:ilvl w:val="0"/>
          <w:numId w:val="63"/>
        </w:numPr>
        <w:ind w:left="709"/>
        <w:rPr>
          <w:rFonts w:ascii="Times New Roman" w:hAnsi="Times New Roman"/>
          <w:b/>
          <w:bCs/>
          <w:i/>
          <w:iCs/>
          <w:color w:val="5B9BD5" w:themeColor="accent1"/>
          <w:sz w:val="24"/>
          <w:szCs w:val="24"/>
        </w:rPr>
      </w:pPr>
      <w:bookmarkStart w:id="110" w:name="_Toc516047980"/>
      <w:r w:rsidRPr="00E10AFD">
        <w:rPr>
          <w:rFonts w:ascii="Times New Roman" w:hAnsi="Times New Roman"/>
          <w:b/>
          <w:i/>
          <w:color w:val="5B9BD5" w:themeColor="accent1"/>
          <w:sz w:val="24"/>
          <w:szCs w:val="24"/>
        </w:rPr>
        <w:t>Attribution de l’autorisation de prospection</w:t>
      </w:r>
      <w:bookmarkEnd w:id="110"/>
      <w:r w:rsidRPr="00E10AFD">
        <w:rPr>
          <w:rFonts w:ascii="Times New Roman" w:hAnsi="Times New Roman"/>
          <w:b/>
          <w:i/>
          <w:color w:val="5B9BD5" w:themeColor="accent1"/>
          <w:sz w:val="24"/>
          <w:szCs w:val="24"/>
        </w:rPr>
        <w:t xml:space="preserve">    </w:t>
      </w:r>
    </w:p>
    <w:p w14:paraId="76726E72" w14:textId="77777777" w:rsidR="00C579DE" w:rsidRPr="00840E13" w:rsidRDefault="00C579DE" w:rsidP="00AA1F5B">
      <w:pPr>
        <w:autoSpaceDE w:val="0"/>
        <w:autoSpaceDN w:val="0"/>
        <w:adjustRightInd w:val="0"/>
        <w:spacing w:after="0"/>
        <w:ind w:left="284"/>
        <w:jc w:val="both"/>
        <w:rPr>
          <w:rFonts w:ascii="Times New Roman" w:eastAsiaTheme="minorHAnsi" w:hAnsi="Times New Roman"/>
          <w:bCs/>
          <w:sz w:val="24"/>
          <w:szCs w:val="24"/>
        </w:rPr>
      </w:pPr>
      <w:r w:rsidRPr="00840E13">
        <w:rPr>
          <w:rFonts w:ascii="Times New Roman" w:eastAsiaTheme="minorHAnsi" w:hAnsi="Times New Roman"/>
          <w:color w:val="252525"/>
          <w:sz w:val="24"/>
          <w:szCs w:val="24"/>
        </w:rPr>
        <w:t>Conformément aux articles 25 à 3</w:t>
      </w:r>
      <w:r>
        <w:rPr>
          <w:rFonts w:ascii="Times New Roman" w:eastAsiaTheme="minorHAnsi" w:hAnsi="Times New Roman"/>
          <w:color w:val="252525"/>
          <w:sz w:val="24"/>
          <w:szCs w:val="24"/>
        </w:rPr>
        <w:t>2</w:t>
      </w:r>
      <w:r w:rsidRPr="00840E13">
        <w:rPr>
          <w:rFonts w:ascii="Times New Roman" w:eastAsiaTheme="minorHAnsi" w:hAnsi="Times New Roman"/>
          <w:color w:val="252525"/>
          <w:sz w:val="24"/>
          <w:szCs w:val="24"/>
        </w:rPr>
        <w:t xml:space="preserve"> du Code des Hydrocarbures et 50 à 59 du Règlement d’hydrocarbures, l'autorisation de prospection est accordée, par arrêté du Ministre ayant les Hydrocarbures dans ses attributions, à toute personne morale de droit congolais ou de droit étranger</w:t>
      </w:r>
      <w:r w:rsidRPr="00840E13">
        <w:rPr>
          <w:rFonts w:ascii="Times New Roman" w:eastAsiaTheme="minorHAnsi" w:hAnsi="Times New Roman"/>
          <w:sz w:val="24"/>
          <w:szCs w:val="24"/>
        </w:rPr>
        <w:t xml:space="preserve"> </w:t>
      </w:r>
      <w:r w:rsidRPr="00840E13">
        <w:rPr>
          <w:rFonts w:ascii="Times New Roman" w:eastAsiaTheme="minorHAnsi" w:hAnsi="Times New Roman"/>
          <w:color w:val="252525"/>
          <w:sz w:val="24"/>
          <w:szCs w:val="24"/>
        </w:rPr>
        <w:t>ayant souscrit au cahier des charges dûment établi à cet effet et présenté une étude d'impact environnemental.</w:t>
      </w:r>
      <w:r w:rsidRPr="00840E13">
        <w:rPr>
          <w:rFonts w:ascii="Times New Roman" w:eastAsiaTheme="minorHAnsi" w:hAnsi="Times New Roman"/>
          <w:sz w:val="24"/>
          <w:szCs w:val="24"/>
        </w:rPr>
        <w:t xml:space="preserve"> </w:t>
      </w:r>
    </w:p>
    <w:p w14:paraId="1F040134" w14:textId="77777777" w:rsidR="00C579DE" w:rsidRPr="00840E13" w:rsidRDefault="00C579DE" w:rsidP="00AA1F5B">
      <w:pPr>
        <w:autoSpaceDE w:val="0"/>
        <w:autoSpaceDN w:val="0"/>
        <w:adjustRightInd w:val="0"/>
        <w:spacing w:after="0"/>
        <w:ind w:left="284"/>
        <w:jc w:val="both"/>
        <w:rPr>
          <w:rFonts w:ascii="Times New Roman" w:eastAsiaTheme="minorHAnsi" w:hAnsi="Times New Roman"/>
          <w:bCs/>
          <w:color w:val="252525"/>
          <w:sz w:val="24"/>
          <w:szCs w:val="24"/>
        </w:rPr>
      </w:pPr>
      <w:r w:rsidRPr="00840E13">
        <w:rPr>
          <w:rFonts w:ascii="Times New Roman" w:eastAsiaTheme="minorHAnsi" w:hAnsi="Times New Roman"/>
          <w:color w:val="252525"/>
          <w:sz w:val="24"/>
          <w:szCs w:val="24"/>
        </w:rPr>
        <w:t>L'autorisation de prospection confère à son bénéficiaire, dans un bassin sédimentaire déterminé, le droit non exclusif d'effectuer des travaux définis par la loi.</w:t>
      </w:r>
    </w:p>
    <w:p w14:paraId="77AEF00B" w14:textId="77777777" w:rsidR="00C579DE" w:rsidRPr="00840E13" w:rsidRDefault="00C579DE" w:rsidP="00AA1F5B">
      <w:pPr>
        <w:autoSpaceDE w:val="0"/>
        <w:autoSpaceDN w:val="0"/>
        <w:adjustRightInd w:val="0"/>
        <w:spacing w:after="0"/>
        <w:ind w:left="284"/>
        <w:jc w:val="both"/>
        <w:rPr>
          <w:rFonts w:ascii="Times New Roman" w:eastAsiaTheme="minorHAnsi" w:hAnsi="Times New Roman"/>
          <w:bCs/>
          <w:sz w:val="24"/>
          <w:szCs w:val="24"/>
        </w:rPr>
      </w:pPr>
      <w:r w:rsidRPr="00840E13">
        <w:rPr>
          <w:rFonts w:ascii="Times New Roman" w:eastAsiaTheme="minorHAnsi" w:hAnsi="Times New Roman"/>
          <w:color w:val="252525"/>
          <w:sz w:val="24"/>
          <w:szCs w:val="24"/>
        </w:rPr>
        <w:t>Elle est valable pour une durée de douze mois, renouvelable une seule fois pour une durée de six mois.</w:t>
      </w:r>
    </w:p>
    <w:p w14:paraId="0D3BD321" w14:textId="77777777" w:rsidR="00C579DE" w:rsidRPr="00840E13" w:rsidRDefault="00C579DE" w:rsidP="00AA1F5B">
      <w:pPr>
        <w:autoSpaceDE w:val="0"/>
        <w:autoSpaceDN w:val="0"/>
        <w:adjustRightInd w:val="0"/>
        <w:spacing w:after="0"/>
        <w:ind w:left="284"/>
        <w:jc w:val="both"/>
        <w:rPr>
          <w:rFonts w:ascii="Times New Roman" w:eastAsiaTheme="minorHAnsi" w:hAnsi="Times New Roman"/>
          <w:bCs/>
          <w:color w:val="252525"/>
          <w:sz w:val="24"/>
          <w:szCs w:val="24"/>
        </w:rPr>
      </w:pPr>
      <w:r w:rsidRPr="00840E13">
        <w:rPr>
          <w:rFonts w:ascii="Times New Roman" w:eastAsiaTheme="minorHAnsi" w:hAnsi="Times New Roman"/>
          <w:color w:val="252525"/>
          <w:sz w:val="24"/>
          <w:szCs w:val="24"/>
        </w:rPr>
        <w:t>Elle n'est ni cessible, ni transmissible.</w:t>
      </w:r>
    </w:p>
    <w:p w14:paraId="4B1F59A7" w14:textId="77777777" w:rsidR="00C579DE" w:rsidRPr="00840E13" w:rsidRDefault="00C579DE" w:rsidP="00AA1F5B">
      <w:pPr>
        <w:autoSpaceDE w:val="0"/>
        <w:autoSpaceDN w:val="0"/>
        <w:adjustRightInd w:val="0"/>
        <w:spacing w:after="0"/>
        <w:ind w:left="284"/>
        <w:jc w:val="both"/>
        <w:rPr>
          <w:rFonts w:ascii="Times New Roman" w:eastAsiaTheme="minorHAnsi" w:hAnsi="Times New Roman"/>
          <w:bCs/>
          <w:color w:val="252525"/>
          <w:sz w:val="24"/>
          <w:szCs w:val="24"/>
        </w:rPr>
      </w:pPr>
      <w:r w:rsidRPr="00840E13">
        <w:rPr>
          <w:rFonts w:ascii="Times New Roman" w:eastAsiaTheme="minorHAnsi" w:hAnsi="Times New Roman"/>
          <w:color w:val="252525"/>
          <w:sz w:val="24"/>
          <w:szCs w:val="24"/>
        </w:rPr>
        <w:t>Le contenu du cahier des charges est donné à l’article 54 du Règlement d’hydrocarbures.</w:t>
      </w:r>
    </w:p>
    <w:p w14:paraId="0CBF2C25" w14:textId="77777777" w:rsidR="00C579DE" w:rsidRPr="00840E13" w:rsidRDefault="00C579DE" w:rsidP="00AA1F5B">
      <w:pPr>
        <w:pStyle w:val="Paragraphedeliste"/>
        <w:ind w:left="284"/>
        <w:jc w:val="both"/>
        <w:rPr>
          <w:rFonts w:ascii="Times New Roman" w:hAnsi="Times New Roman" w:cs="Times New Roman"/>
          <w:sz w:val="24"/>
          <w:szCs w:val="24"/>
        </w:rPr>
      </w:pPr>
      <w:r w:rsidRPr="00840E13">
        <w:rPr>
          <w:rFonts w:ascii="Times New Roman" w:hAnsi="Times New Roman" w:cs="Times New Roman"/>
          <w:sz w:val="24"/>
          <w:szCs w:val="24"/>
        </w:rPr>
        <w:t>A l’issue des travaux de prospection dument exécutés, le bénéficiaire de l’autorisation de prospection est pré-qualifié pour la procédure d’appel d’offres en vue de l’obtention du droit d’exploration ou d’exploitation.</w:t>
      </w:r>
    </w:p>
    <w:p w14:paraId="1D0D3E11" w14:textId="77777777" w:rsidR="00C579DE" w:rsidRPr="00840E13" w:rsidRDefault="00C579DE" w:rsidP="00AA1F5B">
      <w:pPr>
        <w:pStyle w:val="Paragraphedeliste"/>
        <w:ind w:left="284"/>
        <w:jc w:val="both"/>
        <w:rPr>
          <w:rFonts w:ascii="Times New Roman" w:hAnsi="Times New Roman" w:cs="Times New Roman"/>
          <w:sz w:val="24"/>
          <w:szCs w:val="24"/>
        </w:rPr>
      </w:pPr>
      <w:r w:rsidRPr="00840E13">
        <w:rPr>
          <w:rFonts w:ascii="Times New Roman" w:hAnsi="Times New Roman" w:cs="Times New Roman"/>
          <w:sz w:val="24"/>
          <w:szCs w:val="24"/>
        </w:rPr>
        <w:t xml:space="preserve">Toutes les données brutes ainsi que les échantillons issus de la prospection sont la propriété exclusive de l’Etat. </w:t>
      </w:r>
    </w:p>
    <w:p w14:paraId="2012D59D" w14:textId="77777777" w:rsidR="00C579DE" w:rsidRPr="00E10AFD" w:rsidRDefault="00C579DE" w:rsidP="000738D3">
      <w:pPr>
        <w:pStyle w:val="Paragraphedeliste"/>
        <w:numPr>
          <w:ilvl w:val="0"/>
          <w:numId w:val="63"/>
        </w:numPr>
        <w:ind w:left="709"/>
        <w:rPr>
          <w:rFonts w:ascii="Times New Roman" w:hAnsi="Times New Roman"/>
          <w:b/>
          <w:i/>
          <w:color w:val="5B9BD5" w:themeColor="accent1"/>
          <w:sz w:val="24"/>
          <w:szCs w:val="24"/>
        </w:rPr>
      </w:pPr>
      <w:bookmarkStart w:id="111" w:name="_Toc516047981"/>
      <w:r w:rsidRPr="00E10AFD">
        <w:rPr>
          <w:rFonts w:ascii="Times New Roman" w:hAnsi="Times New Roman"/>
          <w:b/>
          <w:i/>
          <w:color w:val="5B9BD5" w:themeColor="accent1"/>
          <w:sz w:val="24"/>
          <w:szCs w:val="24"/>
        </w:rPr>
        <w:t>Attribution des droits d’exploration et d’exploitation</w:t>
      </w:r>
      <w:bookmarkEnd w:id="111"/>
    </w:p>
    <w:p w14:paraId="0D99ADCC" w14:textId="77777777" w:rsidR="00C579DE" w:rsidRPr="00840E13" w:rsidRDefault="00C579DE" w:rsidP="00AA1F5B">
      <w:pPr>
        <w:autoSpaceDE w:val="0"/>
        <w:autoSpaceDN w:val="0"/>
        <w:adjustRightInd w:val="0"/>
        <w:spacing w:after="0"/>
        <w:ind w:left="284"/>
        <w:jc w:val="both"/>
        <w:rPr>
          <w:rFonts w:ascii="Times New Roman" w:hAnsi="Times New Roman"/>
          <w:color w:val="343434"/>
          <w:sz w:val="24"/>
          <w:szCs w:val="24"/>
        </w:rPr>
      </w:pPr>
      <w:r w:rsidRPr="00840E13">
        <w:rPr>
          <w:rFonts w:ascii="Times New Roman" w:eastAsiaTheme="minorHAnsi" w:hAnsi="Times New Roman"/>
          <w:color w:val="252525"/>
          <w:sz w:val="24"/>
          <w:szCs w:val="24"/>
        </w:rPr>
        <w:t>L’octroi des droits d’exploration et d’exploitation des hydrocarbures s’effectuait dans le passé soit par voie d’appel d’offres ou selon la procédure de demande de droits. Mais, depuis la publication de la Loi n°15/012 du 1</w:t>
      </w:r>
      <w:r w:rsidRPr="00840E13">
        <w:rPr>
          <w:rFonts w:ascii="Times New Roman" w:eastAsiaTheme="minorHAnsi" w:hAnsi="Times New Roman"/>
          <w:color w:val="252525"/>
          <w:sz w:val="24"/>
          <w:szCs w:val="24"/>
          <w:vertAlign w:val="superscript"/>
        </w:rPr>
        <w:t>er</w:t>
      </w:r>
      <w:r w:rsidRPr="00840E13">
        <w:rPr>
          <w:rFonts w:ascii="Times New Roman" w:eastAsiaTheme="minorHAnsi" w:hAnsi="Times New Roman"/>
          <w:color w:val="252525"/>
          <w:sz w:val="24"/>
          <w:szCs w:val="24"/>
        </w:rPr>
        <w:t xml:space="preserve"> août 2015 portant régime général des hydrocarbures, seule la procédure par voie d’appel d’offres est applicable pour l’octroi des droits d’exploration et d’exploitation des hydrocarbures en République Démocratique du Congo</w:t>
      </w:r>
      <w:r w:rsidRPr="00840E13">
        <w:rPr>
          <w:rFonts w:ascii="Times New Roman" w:hAnsi="Times New Roman"/>
          <w:sz w:val="24"/>
          <w:szCs w:val="24"/>
        </w:rPr>
        <w:t>.</w:t>
      </w:r>
    </w:p>
    <w:p w14:paraId="5BAD22B4" w14:textId="77777777" w:rsidR="00C579DE" w:rsidRPr="00840E13" w:rsidRDefault="00C579DE" w:rsidP="00C579DE">
      <w:pPr>
        <w:spacing w:after="120"/>
        <w:jc w:val="both"/>
        <w:rPr>
          <w:rFonts w:ascii="Times New Roman" w:hAnsi="Times New Roman"/>
          <w:sz w:val="24"/>
          <w:szCs w:val="24"/>
        </w:rPr>
      </w:pPr>
    </w:p>
    <w:p w14:paraId="1C194B0E" w14:textId="77777777" w:rsidR="00C579DE" w:rsidRPr="00840E13" w:rsidRDefault="00C579DE" w:rsidP="00C579DE">
      <w:pPr>
        <w:pStyle w:val="Titre4"/>
        <w:ind w:firstLine="567"/>
        <w:rPr>
          <w:rFonts w:ascii="Times New Roman" w:hAnsi="Times New Roman" w:cs="Times New Roman"/>
          <w:b/>
          <w:sz w:val="24"/>
          <w:szCs w:val="24"/>
        </w:rPr>
      </w:pPr>
      <w:r w:rsidRPr="00840E13">
        <w:rPr>
          <w:rFonts w:ascii="Times New Roman" w:hAnsi="Times New Roman" w:cs="Times New Roman"/>
          <w:b/>
          <w:sz w:val="24"/>
          <w:szCs w:val="24"/>
        </w:rPr>
        <w:t>Octroi par Appel d’Offres</w:t>
      </w:r>
    </w:p>
    <w:p w14:paraId="11610EA3" w14:textId="77777777" w:rsidR="00C579DE" w:rsidRPr="00840E13" w:rsidRDefault="00C579DE" w:rsidP="00C579DE">
      <w:pPr>
        <w:autoSpaceDE w:val="0"/>
        <w:autoSpaceDN w:val="0"/>
        <w:adjustRightInd w:val="0"/>
        <w:spacing w:before="240" w:after="0"/>
        <w:ind w:left="567"/>
        <w:jc w:val="both"/>
        <w:rPr>
          <w:rFonts w:ascii="Times New Roman" w:eastAsiaTheme="minorHAnsi" w:hAnsi="Times New Roman"/>
          <w:color w:val="252525"/>
          <w:sz w:val="24"/>
          <w:szCs w:val="24"/>
        </w:rPr>
      </w:pPr>
      <w:r w:rsidRPr="00840E13">
        <w:rPr>
          <w:rFonts w:ascii="Times New Roman" w:eastAsiaTheme="minorHAnsi" w:hAnsi="Times New Roman"/>
          <w:color w:val="252525"/>
          <w:sz w:val="24"/>
          <w:szCs w:val="24"/>
        </w:rPr>
        <w:t>Conformément aux articles 35 à 39 du Code des Hydrocarbures en vigueur, le Ministre des Hydrocarbures met en concurrence les personnes morales de droit congolais ou étranger en lançant un avis à manifestation d’intérêts publié dans la presse locale et internationale.</w:t>
      </w:r>
    </w:p>
    <w:p w14:paraId="537B3FAE" w14:textId="77777777" w:rsidR="00C579DE" w:rsidRPr="00840E13" w:rsidRDefault="00C579DE" w:rsidP="00C579DE">
      <w:pPr>
        <w:autoSpaceDE w:val="0"/>
        <w:autoSpaceDN w:val="0"/>
        <w:adjustRightInd w:val="0"/>
        <w:spacing w:before="240" w:after="0"/>
        <w:ind w:left="567"/>
        <w:jc w:val="both"/>
        <w:rPr>
          <w:rFonts w:ascii="Times New Roman" w:eastAsiaTheme="minorHAnsi" w:hAnsi="Times New Roman"/>
          <w:color w:val="252525"/>
          <w:sz w:val="24"/>
          <w:szCs w:val="24"/>
        </w:rPr>
      </w:pPr>
      <w:r w:rsidRPr="00840E13">
        <w:rPr>
          <w:rFonts w:ascii="Times New Roman" w:eastAsiaTheme="minorHAnsi" w:hAnsi="Times New Roman"/>
          <w:color w:val="252525"/>
          <w:sz w:val="24"/>
          <w:szCs w:val="24"/>
        </w:rPr>
        <w:t xml:space="preserve">En application de </w:t>
      </w:r>
      <w:r>
        <w:rPr>
          <w:rFonts w:ascii="Times New Roman" w:eastAsiaTheme="minorHAnsi" w:hAnsi="Times New Roman"/>
          <w:color w:val="252525"/>
          <w:sz w:val="24"/>
          <w:szCs w:val="24"/>
        </w:rPr>
        <w:t>l</w:t>
      </w:r>
      <w:r w:rsidRPr="00840E13">
        <w:rPr>
          <w:rFonts w:ascii="Times New Roman" w:eastAsiaTheme="minorHAnsi" w:hAnsi="Times New Roman"/>
          <w:color w:val="252525"/>
          <w:sz w:val="24"/>
          <w:szCs w:val="24"/>
        </w:rPr>
        <w:t>’article 76 du Règlement d’hydrocarbures, le Ministre sélectionne une ou plusieurs personnes morales sur base des critères techniques et financiers qu’il définit et fait approuver par le Conseil des Ministres. Une présélection des offres est organisée, le cas échéant.</w:t>
      </w:r>
    </w:p>
    <w:p w14:paraId="3A46E674" w14:textId="77777777" w:rsidR="00C579DE" w:rsidRPr="00840E13" w:rsidRDefault="00C579DE" w:rsidP="00C579DE">
      <w:pPr>
        <w:autoSpaceDE w:val="0"/>
        <w:autoSpaceDN w:val="0"/>
        <w:adjustRightInd w:val="0"/>
        <w:spacing w:before="240" w:after="0"/>
        <w:ind w:left="567"/>
        <w:jc w:val="both"/>
        <w:rPr>
          <w:rFonts w:ascii="Times New Roman" w:eastAsiaTheme="minorHAnsi" w:hAnsi="Times New Roman"/>
          <w:color w:val="252525"/>
          <w:sz w:val="24"/>
          <w:szCs w:val="24"/>
        </w:rPr>
      </w:pPr>
      <w:r w:rsidRPr="00840E13">
        <w:rPr>
          <w:rFonts w:ascii="Times New Roman" w:eastAsiaTheme="minorHAnsi" w:hAnsi="Times New Roman"/>
          <w:color w:val="252525"/>
          <w:sz w:val="24"/>
          <w:szCs w:val="24"/>
        </w:rPr>
        <w:t>La liste des soumissionnaires et celle des sélectionnés sont publiées dans la presse locale et internationale, au Journal officiel de la RDC et sur le site web du Ministère des Hydrocarbures.</w:t>
      </w:r>
    </w:p>
    <w:p w14:paraId="4D03CDBA" w14:textId="77777777" w:rsidR="00C579DE" w:rsidRDefault="00C579DE" w:rsidP="00C579DE">
      <w:pPr>
        <w:autoSpaceDE w:val="0"/>
        <w:autoSpaceDN w:val="0"/>
        <w:adjustRightInd w:val="0"/>
        <w:spacing w:before="240" w:after="0"/>
        <w:ind w:left="567"/>
        <w:jc w:val="both"/>
        <w:rPr>
          <w:rFonts w:ascii="Times New Roman" w:hAnsi="Times New Roman"/>
          <w:sz w:val="24"/>
          <w:szCs w:val="24"/>
        </w:rPr>
      </w:pPr>
      <w:r w:rsidRPr="00840E13">
        <w:rPr>
          <w:rFonts w:ascii="Times New Roman" w:eastAsiaTheme="minorHAnsi" w:hAnsi="Times New Roman"/>
          <w:color w:val="252525"/>
          <w:sz w:val="24"/>
          <w:szCs w:val="24"/>
        </w:rPr>
        <w:t>Dans le cas où le potentiel d’hydrocarbures d’un bloc n’est pas suffisamment démontré ou en raison de sa géologie, il est recouru à la</w:t>
      </w:r>
      <w:r w:rsidRPr="00840E13">
        <w:rPr>
          <w:rFonts w:ascii="Times New Roman" w:hAnsi="Times New Roman"/>
          <w:sz w:val="24"/>
          <w:szCs w:val="24"/>
        </w:rPr>
        <w:t xml:space="preserve"> procédure d’appel d’offres restreint sur autorisation du Conseil des Ministres. </w:t>
      </w:r>
    </w:p>
    <w:p w14:paraId="25F82D64" w14:textId="77777777" w:rsidR="00C579DE" w:rsidRDefault="00C579DE" w:rsidP="00C579DE">
      <w:pPr>
        <w:autoSpaceDE w:val="0"/>
        <w:autoSpaceDN w:val="0"/>
        <w:adjustRightInd w:val="0"/>
        <w:spacing w:before="240" w:after="0"/>
        <w:ind w:left="567"/>
        <w:jc w:val="both"/>
        <w:rPr>
          <w:rFonts w:ascii="Times New Roman" w:hAnsi="Times New Roman"/>
          <w:sz w:val="24"/>
          <w:szCs w:val="24"/>
        </w:rPr>
      </w:pPr>
      <w:r>
        <w:rPr>
          <w:rFonts w:ascii="Times New Roman" w:hAnsi="Times New Roman"/>
          <w:sz w:val="24"/>
          <w:szCs w:val="24"/>
        </w:rPr>
        <w:lastRenderedPageBreak/>
        <w:t>« Selon l’article 25 de la loi sur la passation des marchés publics, l’appel d’offres est dit restreint lorsque seuls peuvent remettre des offres, les candidats que l’autorité contractante a décidé de consulter ».</w:t>
      </w:r>
    </w:p>
    <w:p w14:paraId="3CF2207B" w14:textId="77777777" w:rsidR="00C579DE" w:rsidRDefault="00C579DE" w:rsidP="00C579DE">
      <w:pPr>
        <w:pStyle w:val="Commentaire"/>
      </w:pPr>
    </w:p>
    <w:p w14:paraId="2FD4EFA4" w14:textId="77777777" w:rsidR="00C579DE" w:rsidRPr="00840E13" w:rsidRDefault="00C579DE" w:rsidP="00C579DE">
      <w:pPr>
        <w:tabs>
          <w:tab w:val="left" w:pos="851"/>
          <w:tab w:val="left" w:pos="1134"/>
        </w:tabs>
        <w:spacing w:after="120"/>
        <w:ind w:left="567"/>
        <w:jc w:val="both"/>
        <w:rPr>
          <w:rFonts w:ascii="Times New Roman" w:eastAsiaTheme="minorHAnsi" w:hAnsi="Times New Roman"/>
          <w:color w:val="252525"/>
          <w:sz w:val="24"/>
          <w:szCs w:val="24"/>
        </w:rPr>
      </w:pPr>
      <w:r w:rsidRPr="00840E13">
        <w:rPr>
          <w:rFonts w:ascii="Times New Roman" w:eastAsiaTheme="minorHAnsi" w:hAnsi="Times New Roman"/>
          <w:color w:val="252525"/>
          <w:sz w:val="24"/>
          <w:szCs w:val="24"/>
        </w:rPr>
        <w:t xml:space="preserve">En cas d’échec de la première procédure, des nouveaux appels d’offres sont lancés jusqu’à la </w:t>
      </w:r>
      <w:r>
        <w:rPr>
          <w:rFonts w:ascii="Times New Roman" w:eastAsiaTheme="minorHAnsi" w:hAnsi="Times New Roman"/>
          <w:color w:val="252525"/>
          <w:sz w:val="24"/>
          <w:szCs w:val="24"/>
        </w:rPr>
        <w:t xml:space="preserve">     </w:t>
      </w:r>
      <w:r w:rsidRPr="00840E13">
        <w:rPr>
          <w:rFonts w:ascii="Times New Roman" w:eastAsiaTheme="minorHAnsi" w:hAnsi="Times New Roman"/>
          <w:color w:val="252525"/>
          <w:sz w:val="24"/>
          <w:szCs w:val="24"/>
        </w:rPr>
        <w:t>conclusion du marché.</w:t>
      </w:r>
    </w:p>
    <w:p w14:paraId="16FA4212" w14:textId="77777777" w:rsidR="00C579DE" w:rsidRPr="00840E13" w:rsidRDefault="00C579DE" w:rsidP="00C579DE">
      <w:pPr>
        <w:spacing w:after="120"/>
        <w:ind w:left="567"/>
        <w:jc w:val="both"/>
        <w:rPr>
          <w:rFonts w:ascii="Times New Roman" w:eastAsiaTheme="minorHAnsi" w:hAnsi="Times New Roman"/>
          <w:color w:val="252525"/>
          <w:sz w:val="24"/>
          <w:szCs w:val="24"/>
        </w:rPr>
      </w:pPr>
      <w:r w:rsidRPr="00840E13">
        <w:rPr>
          <w:rFonts w:ascii="Times New Roman" w:eastAsiaTheme="minorHAnsi" w:hAnsi="Times New Roman"/>
          <w:color w:val="252525"/>
          <w:sz w:val="24"/>
          <w:szCs w:val="24"/>
        </w:rPr>
        <w:t>La personne morale de droit congolais ou de droit étranger qui a gagné le marché, s’associe à la société nationale, et les deux constituent ensemble la partie contractante vis-à-vis de l’Etat congolais.</w:t>
      </w:r>
    </w:p>
    <w:p w14:paraId="19C557B3" w14:textId="77777777" w:rsidR="00C579DE" w:rsidRPr="00840E13" w:rsidRDefault="00C579DE" w:rsidP="00C579DE">
      <w:pPr>
        <w:autoSpaceDE w:val="0"/>
        <w:autoSpaceDN w:val="0"/>
        <w:adjustRightInd w:val="0"/>
        <w:spacing w:after="0"/>
        <w:ind w:left="567"/>
        <w:jc w:val="both"/>
        <w:rPr>
          <w:rFonts w:ascii="Times New Roman" w:eastAsiaTheme="minorHAnsi" w:hAnsi="Times New Roman"/>
          <w:color w:val="252525"/>
          <w:sz w:val="24"/>
          <w:szCs w:val="24"/>
        </w:rPr>
      </w:pPr>
      <w:r w:rsidRPr="00840E13">
        <w:rPr>
          <w:rFonts w:ascii="Times New Roman" w:eastAsiaTheme="minorHAnsi" w:hAnsi="Times New Roman"/>
          <w:color w:val="252525"/>
          <w:sz w:val="24"/>
          <w:szCs w:val="24"/>
        </w:rPr>
        <w:t xml:space="preserve">Ainsi fait, le Ministre des Hydrocarbures conclut, avec la personne morale sélectionnée en association avec la société nationale, un contrat d’hydrocarbures accordant les droits d’exploration et d’exploitation sous la forme d’un contrat de partage de production ou de services. </w:t>
      </w:r>
    </w:p>
    <w:p w14:paraId="42C2397B" w14:textId="77777777" w:rsidR="00C579DE" w:rsidRPr="00840E13" w:rsidRDefault="00C579DE" w:rsidP="00C579DE">
      <w:pPr>
        <w:autoSpaceDE w:val="0"/>
        <w:autoSpaceDN w:val="0"/>
        <w:adjustRightInd w:val="0"/>
        <w:spacing w:before="240" w:after="0"/>
        <w:ind w:left="567"/>
        <w:jc w:val="both"/>
        <w:rPr>
          <w:rFonts w:ascii="Times New Roman" w:eastAsiaTheme="minorHAnsi" w:hAnsi="Times New Roman"/>
          <w:color w:val="252525"/>
          <w:sz w:val="24"/>
          <w:szCs w:val="24"/>
        </w:rPr>
      </w:pPr>
      <w:r w:rsidRPr="00840E13">
        <w:rPr>
          <w:rFonts w:ascii="Times New Roman" w:eastAsiaTheme="minorHAnsi" w:hAnsi="Times New Roman"/>
          <w:color w:val="252525"/>
          <w:sz w:val="24"/>
          <w:szCs w:val="24"/>
        </w:rPr>
        <w:t>Les contrats d’hydrocarbures et leurs avenants sont signés par les Ministres des Hydrocarbures et des Finances après délibération en Conseil des Ministres. Ils ne produisent leurs effets qu’après leur approbation par ordonnance du Président de la République.</w:t>
      </w:r>
    </w:p>
    <w:p w14:paraId="3023FA27" w14:textId="77777777" w:rsidR="00C579DE" w:rsidRPr="00840E13" w:rsidRDefault="00C579DE" w:rsidP="00C579DE">
      <w:pPr>
        <w:autoSpaceDE w:val="0"/>
        <w:autoSpaceDN w:val="0"/>
        <w:adjustRightInd w:val="0"/>
        <w:spacing w:before="240" w:line="276" w:lineRule="auto"/>
        <w:ind w:left="567"/>
        <w:jc w:val="both"/>
        <w:rPr>
          <w:rFonts w:ascii="Times New Roman" w:eastAsiaTheme="minorHAnsi" w:hAnsi="Times New Roman"/>
          <w:color w:val="252525"/>
          <w:sz w:val="24"/>
          <w:szCs w:val="24"/>
        </w:rPr>
      </w:pPr>
      <w:r w:rsidRPr="00840E13">
        <w:rPr>
          <w:rFonts w:ascii="Times New Roman" w:eastAsiaTheme="minorHAnsi" w:hAnsi="Times New Roman"/>
          <w:color w:val="252525"/>
          <w:sz w:val="24"/>
          <w:szCs w:val="24"/>
        </w:rPr>
        <w:t>Le contrat de partage de production porte sur deux phases</w:t>
      </w:r>
      <w:r>
        <w:rPr>
          <w:rFonts w:ascii="Times New Roman" w:eastAsiaTheme="minorHAnsi" w:hAnsi="Times New Roman"/>
          <w:color w:val="252525"/>
          <w:sz w:val="24"/>
          <w:szCs w:val="24"/>
        </w:rPr>
        <w:t xml:space="preserve"> </w:t>
      </w:r>
      <w:r w:rsidRPr="00840E13">
        <w:rPr>
          <w:rFonts w:ascii="Times New Roman" w:eastAsiaTheme="minorHAnsi" w:hAnsi="Times New Roman"/>
          <w:color w:val="252525"/>
          <w:sz w:val="24"/>
          <w:szCs w:val="24"/>
        </w:rPr>
        <w:t>:</w:t>
      </w:r>
    </w:p>
    <w:p w14:paraId="6F40752B" w14:textId="77777777" w:rsidR="00C579DE" w:rsidRPr="00761855" w:rsidRDefault="00C579DE" w:rsidP="000738D3">
      <w:pPr>
        <w:pStyle w:val="Paragraphedeliste"/>
        <w:numPr>
          <w:ilvl w:val="0"/>
          <w:numId w:val="5"/>
        </w:numPr>
        <w:autoSpaceDE w:val="0"/>
        <w:autoSpaceDN w:val="0"/>
        <w:adjustRightInd w:val="0"/>
        <w:ind w:left="1276" w:hanging="283"/>
        <w:jc w:val="both"/>
        <w:rPr>
          <w:rFonts w:ascii="Times New Roman" w:hAnsi="Times New Roman"/>
          <w:color w:val="252525"/>
          <w:sz w:val="24"/>
          <w:szCs w:val="24"/>
        </w:rPr>
      </w:pPr>
      <w:r w:rsidRPr="00761855">
        <w:rPr>
          <w:rFonts w:ascii="Times New Roman" w:hAnsi="Times New Roman"/>
          <w:color w:val="252525"/>
          <w:sz w:val="24"/>
          <w:szCs w:val="24"/>
        </w:rPr>
        <w:t>La phase d'exploration, qui inclut entre autres les activités d'évaluation des découvertes d'hydrocarbures dans le but d'en déterminer la commercialité ;</w:t>
      </w:r>
    </w:p>
    <w:p w14:paraId="16DBEC02" w14:textId="77777777" w:rsidR="00C579DE" w:rsidRPr="00761855" w:rsidRDefault="00C579DE" w:rsidP="000738D3">
      <w:pPr>
        <w:pStyle w:val="Paragraphedeliste"/>
        <w:numPr>
          <w:ilvl w:val="0"/>
          <w:numId w:val="5"/>
        </w:numPr>
        <w:autoSpaceDE w:val="0"/>
        <w:autoSpaceDN w:val="0"/>
        <w:adjustRightInd w:val="0"/>
        <w:spacing w:after="0"/>
        <w:ind w:left="1276" w:hanging="283"/>
        <w:jc w:val="both"/>
        <w:rPr>
          <w:rFonts w:ascii="Times New Roman" w:hAnsi="Times New Roman"/>
          <w:color w:val="252525"/>
          <w:sz w:val="24"/>
          <w:szCs w:val="24"/>
        </w:rPr>
      </w:pPr>
      <w:r w:rsidRPr="00761855">
        <w:rPr>
          <w:rFonts w:ascii="Times New Roman" w:hAnsi="Times New Roman"/>
          <w:color w:val="252525"/>
          <w:sz w:val="24"/>
          <w:szCs w:val="24"/>
        </w:rPr>
        <w:t>La phase d'exploitation, qui inclut notamment les opérations de développement en vue de la production des hydrocarbures (Article 44).</w:t>
      </w:r>
    </w:p>
    <w:p w14:paraId="0DF9C619" w14:textId="77777777" w:rsidR="00C579DE" w:rsidRPr="00840E13" w:rsidRDefault="00C579DE" w:rsidP="00C579DE">
      <w:pPr>
        <w:autoSpaceDE w:val="0"/>
        <w:autoSpaceDN w:val="0"/>
        <w:adjustRightInd w:val="0"/>
        <w:spacing w:after="0"/>
        <w:ind w:left="567"/>
        <w:jc w:val="both"/>
        <w:rPr>
          <w:rFonts w:ascii="Times New Roman" w:eastAsiaTheme="minorHAnsi" w:hAnsi="Times New Roman"/>
          <w:color w:val="252525"/>
          <w:sz w:val="24"/>
          <w:szCs w:val="24"/>
        </w:rPr>
      </w:pPr>
    </w:p>
    <w:p w14:paraId="4231577E" w14:textId="77777777" w:rsidR="00C579DE" w:rsidRPr="00840E13" w:rsidRDefault="00C579DE" w:rsidP="00C579DE">
      <w:pPr>
        <w:autoSpaceDE w:val="0"/>
        <w:autoSpaceDN w:val="0"/>
        <w:adjustRightInd w:val="0"/>
        <w:spacing w:after="0"/>
        <w:ind w:left="567"/>
        <w:jc w:val="both"/>
        <w:rPr>
          <w:rFonts w:ascii="Times New Roman" w:eastAsiaTheme="minorHAnsi" w:hAnsi="Times New Roman"/>
          <w:color w:val="252525"/>
          <w:sz w:val="24"/>
          <w:szCs w:val="24"/>
        </w:rPr>
      </w:pPr>
      <w:r w:rsidRPr="00840E13">
        <w:rPr>
          <w:rFonts w:ascii="Times New Roman" w:eastAsiaTheme="minorHAnsi" w:hAnsi="Times New Roman"/>
          <w:color w:val="252525"/>
          <w:sz w:val="24"/>
          <w:szCs w:val="24"/>
        </w:rPr>
        <w:t>Le droit d'exploration est exclusif. Il est accordé au contractant pour une durée initiale de trois ans à compter de la date d'entrée en vigueur du contrat. Il est renouvelable deux fois respectivement pour une durée de trois ans.</w:t>
      </w:r>
    </w:p>
    <w:p w14:paraId="79F64F44" w14:textId="77777777" w:rsidR="00C579DE" w:rsidRPr="00840E13" w:rsidRDefault="00C579DE" w:rsidP="00C579DE">
      <w:pPr>
        <w:autoSpaceDE w:val="0"/>
        <w:autoSpaceDN w:val="0"/>
        <w:adjustRightInd w:val="0"/>
        <w:spacing w:after="0"/>
        <w:ind w:left="567"/>
        <w:jc w:val="both"/>
        <w:rPr>
          <w:rFonts w:ascii="Times New Roman" w:eastAsiaTheme="minorHAnsi" w:hAnsi="Times New Roman"/>
          <w:color w:val="252525"/>
          <w:sz w:val="24"/>
          <w:szCs w:val="24"/>
        </w:rPr>
      </w:pPr>
      <w:r w:rsidRPr="00840E13">
        <w:rPr>
          <w:rFonts w:ascii="Times New Roman" w:eastAsiaTheme="minorHAnsi" w:hAnsi="Times New Roman"/>
          <w:color w:val="252525"/>
          <w:sz w:val="24"/>
          <w:szCs w:val="24"/>
        </w:rPr>
        <w:t xml:space="preserve">Toutefois, la durée initiale est de quatre ans pour les bassins sédimentaires aux conditions géologiques ou d'accès difficiles (Article 50 </w:t>
      </w:r>
      <w:r>
        <w:rPr>
          <w:rFonts w:ascii="Times New Roman" w:eastAsiaTheme="minorHAnsi" w:hAnsi="Times New Roman"/>
          <w:color w:val="252525"/>
          <w:sz w:val="24"/>
          <w:szCs w:val="24"/>
        </w:rPr>
        <w:t>d</w:t>
      </w:r>
      <w:r w:rsidRPr="00840E13">
        <w:rPr>
          <w:rFonts w:ascii="Times New Roman" w:eastAsiaTheme="minorHAnsi" w:hAnsi="Times New Roman"/>
          <w:color w:val="252525"/>
          <w:sz w:val="24"/>
          <w:szCs w:val="24"/>
        </w:rPr>
        <w:t>u Code).</w:t>
      </w:r>
    </w:p>
    <w:p w14:paraId="794BE361" w14:textId="77777777" w:rsidR="00C579DE" w:rsidRDefault="00C579DE" w:rsidP="00C579DE">
      <w:pPr>
        <w:autoSpaceDE w:val="0"/>
        <w:autoSpaceDN w:val="0"/>
        <w:adjustRightInd w:val="0"/>
        <w:spacing w:before="240" w:after="0"/>
        <w:ind w:left="567"/>
        <w:jc w:val="both"/>
        <w:rPr>
          <w:rFonts w:ascii="Times New Roman" w:eastAsiaTheme="minorHAnsi" w:hAnsi="Times New Roman"/>
          <w:color w:val="252525"/>
          <w:sz w:val="24"/>
          <w:szCs w:val="24"/>
        </w:rPr>
      </w:pPr>
      <w:r w:rsidRPr="00840E13">
        <w:rPr>
          <w:rFonts w:ascii="Times New Roman" w:eastAsiaTheme="minorHAnsi" w:hAnsi="Times New Roman"/>
          <w:color w:val="252525"/>
          <w:sz w:val="24"/>
          <w:szCs w:val="24"/>
        </w:rPr>
        <w:t>Le droit d'exploitation est aussi exclusif. Il est accordé pour une durée qui ne peut excéder vingt ans, et il est renouvelable une seule fois pour un terme maximal de dix ans (Article</w:t>
      </w:r>
      <w:r>
        <w:rPr>
          <w:rFonts w:ascii="Times New Roman" w:eastAsiaTheme="minorHAnsi" w:hAnsi="Times New Roman"/>
          <w:color w:val="252525"/>
          <w:sz w:val="24"/>
          <w:szCs w:val="24"/>
        </w:rPr>
        <w:t xml:space="preserve"> </w:t>
      </w:r>
      <w:r w:rsidRPr="00840E13">
        <w:rPr>
          <w:rFonts w:ascii="Times New Roman" w:eastAsiaTheme="minorHAnsi" w:hAnsi="Times New Roman"/>
          <w:color w:val="252525"/>
          <w:sz w:val="24"/>
          <w:szCs w:val="24"/>
        </w:rPr>
        <w:t>59 du Code).</w:t>
      </w:r>
    </w:p>
    <w:p w14:paraId="6F5EEDDB" w14:textId="77777777" w:rsidR="00C579DE" w:rsidRDefault="00C579DE" w:rsidP="00C579DE">
      <w:pPr>
        <w:autoSpaceDE w:val="0"/>
        <w:autoSpaceDN w:val="0"/>
        <w:adjustRightInd w:val="0"/>
        <w:spacing w:before="240" w:after="0"/>
        <w:ind w:left="567"/>
        <w:jc w:val="both"/>
        <w:rPr>
          <w:rFonts w:ascii="Times New Roman" w:eastAsiaTheme="minorHAnsi" w:hAnsi="Times New Roman"/>
          <w:color w:val="252525"/>
          <w:sz w:val="24"/>
          <w:szCs w:val="24"/>
        </w:rPr>
      </w:pPr>
    </w:p>
    <w:p w14:paraId="27D7E0DF" w14:textId="77777777" w:rsidR="00C579DE" w:rsidRPr="004E7C39" w:rsidRDefault="00C579DE" w:rsidP="00C579DE">
      <w:pPr>
        <w:spacing w:after="0" w:line="240" w:lineRule="auto"/>
        <w:ind w:left="567"/>
        <w:rPr>
          <w:rFonts w:ascii="Times New Roman" w:eastAsiaTheme="minorHAnsi" w:hAnsi="Times New Roman"/>
          <w:sz w:val="24"/>
          <w:szCs w:val="24"/>
          <w:lang w:eastAsia="fr-FR"/>
        </w:rPr>
      </w:pPr>
      <w:r w:rsidRPr="004E7C39">
        <w:rPr>
          <w:rFonts w:ascii="Times New Roman" w:eastAsiaTheme="minorHAnsi" w:hAnsi="Times New Roman"/>
          <w:sz w:val="24"/>
          <w:szCs w:val="24"/>
        </w:rPr>
        <w:t>En 2016, il n’y a pas eu octroi du droit des hydrocarbures</w:t>
      </w:r>
      <w:r w:rsidRPr="004E7C39">
        <w:rPr>
          <w:rStyle w:val="Appelnotedebasdep"/>
          <w:rFonts w:ascii="Times New Roman" w:eastAsiaTheme="minorHAnsi" w:hAnsi="Times New Roman"/>
          <w:sz w:val="24"/>
          <w:szCs w:val="24"/>
        </w:rPr>
        <w:footnoteReference w:id="17"/>
      </w:r>
      <w:r w:rsidRPr="004E7C39">
        <w:rPr>
          <w:rFonts w:ascii="Times New Roman" w:eastAsiaTheme="minorHAnsi" w:hAnsi="Times New Roman"/>
          <w:sz w:val="24"/>
          <w:szCs w:val="24"/>
        </w:rPr>
        <w:t xml:space="preserve"> </w:t>
      </w:r>
      <w:r w:rsidRPr="004E7C39">
        <w:rPr>
          <w:rFonts w:ascii="Times New Roman" w:eastAsiaTheme="minorHAnsi" w:hAnsi="Times New Roman"/>
          <w:sz w:val="24"/>
          <w:szCs w:val="24"/>
          <w:lang w:eastAsia="fr-FR"/>
        </w:rPr>
        <w:t xml:space="preserve"> </w:t>
      </w:r>
    </w:p>
    <w:p w14:paraId="1FDA9DA9" w14:textId="77777777" w:rsidR="00C579DE" w:rsidRDefault="00C579DE" w:rsidP="00C579DE">
      <w:pPr>
        <w:autoSpaceDE w:val="0"/>
        <w:autoSpaceDN w:val="0"/>
        <w:adjustRightInd w:val="0"/>
        <w:spacing w:after="0"/>
        <w:ind w:left="567"/>
        <w:jc w:val="both"/>
        <w:rPr>
          <w:rFonts w:ascii="Times New Roman" w:eastAsiaTheme="minorHAnsi" w:hAnsi="Times New Roman"/>
          <w:color w:val="252525"/>
          <w:sz w:val="24"/>
          <w:szCs w:val="24"/>
        </w:rPr>
      </w:pPr>
    </w:p>
    <w:p w14:paraId="20DF1D49" w14:textId="77777777" w:rsidR="00C579DE" w:rsidRDefault="00C579DE" w:rsidP="00C579DE">
      <w:pPr>
        <w:autoSpaceDE w:val="0"/>
        <w:autoSpaceDN w:val="0"/>
        <w:adjustRightInd w:val="0"/>
        <w:spacing w:after="0"/>
        <w:ind w:left="567"/>
        <w:jc w:val="both"/>
        <w:rPr>
          <w:rFonts w:ascii="Times New Roman" w:eastAsiaTheme="minorHAnsi" w:hAnsi="Times New Roman"/>
          <w:color w:val="252525"/>
          <w:sz w:val="24"/>
          <w:szCs w:val="24"/>
        </w:rPr>
      </w:pPr>
      <w:r>
        <w:rPr>
          <w:rFonts w:ascii="Times New Roman" w:eastAsiaTheme="minorHAnsi" w:hAnsi="Times New Roman"/>
          <w:color w:val="252525"/>
          <w:sz w:val="24"/>
          <w:szCs w:val="24"/>
        </w:rPr>
        <w:t>À</w:t>
      </w:r>
      <w:r w:rsidRPr="00840E13">
        <w:rPr>
          <w:rFonts w:ascii="Times New Roman" w:eastAsiaTheme="minorHAnsi" w:hAnsi="Times New Roman"/>
          <w:color w:val="252525"/>
          <w:sz w:val="24"/>
          <w:szCs w:val="24"/>
        </w:rPr>
        <w:t xml:space="preserve"> l’issue d’un appel d’offres lancé sur base de l’avis à manifestation d’intérêt n°004/AMI.GAZ/CGPMP/MIN-HYDRO/2014 de 2014, relatif au recrutement d’une société pour l’exploitation du gaz méthane du lac Kivu en vue de la production de l’électricité, la RDC, par le biais du Ministère des Hydrocarbures, a signé, en </w:t>
      </w:r>
      <w:r>
        <w:rPr>
          <w:rFonts w:ascii="Times New Roman" w:eastAsiaTheme="minorHAnsi" w:hAnsi="Times New Roman"/>
          <w:color w:val="252525"/>
          <w:sz w:val="24"/>
          <w:szCs w:val="24"/>
        </w:rPr>
        <w:t xml:space="preserve">juillet </w:t>
      </w:r>
      <w:r w:rsidRPr="00840E13">
        <w:rPr>
          <w:rFonts w:ascii="Times New Roman" w:eastAsiaTheme="minorHAnsi" w:hAnsi="Times New Roman"/>
          <w:color w:val="252525"/>
          <w:sz w:val="24"/>
          <w:szCs w:val="24"/>
        </w:rPr>
        <w:t xml:space="preserve">2017, le contrat </w:t>
      </w:r>
      <w:r w:rsidRPr="00840E13">
        <w:rPr>
          <w:rFonts w:ascii="Times New Roman" w:eastAsiaTheme="minorHAnsi" w:hAnsi="Times New Roman"/>
          <w:color w:val="252525"/>
          <w:sz w:val="24"/>
          <w:szCs w:val="24"/>
        </w:rPr>
        <w:lastRenderedPageBreak/>
        <w:t>n°001/GAZ.ELEC/PPP/CGPMP/MIN-HYDRO/2017, pour l’exploitation du gaz méthane du lac Kivu.</w:t>
      </w:r>
    </w:p>
    <w:p w14:paraId="2A733889" w14:textId="77777777" w:rsidR="00C579DE" w:rsidRDefault="00C579DE" w:rsidP="00C579DE">
      <w:pPr>
        <w:autoSpaceDE w:val="0"/>
        <w:autoSpaceDN w:val="0"/>
        <w:adjustRightInd w:val="0"/>
        <w:spacing w:after="0"/>
        <w:ind w:left="567"/>
        <w:jc w:val="both"/>
        <w:rPr>
          <w:rFonts w:ascii="Times New Roman" w:eastAsiaTheme="minorHAnsi" w:hAnsi="Times New Roman"/>
          <w:color w:val="252525"/>
          <w:sz w:val="24"/>
          <w:szCs w:val="24"/>
        </w:rPr>
      </w:pPr>
      <w:r>
        <w:rPr>
          <w:rFonts w:ascii="Times New Roman" w:eastAsiaTheme="minorHAnsi" w:hAnsi="Times New Roman"/>
          <w:color w:val="252525"/>
          <w:sz w:val="24"/>
          <w:szCs w:val="24"/>
        </w:rPr>
        <w:t>Cette  exploitation revêt un caractère social et environnemental (compte tenu de la particularité du lac Kivu, un cas unique au monde).</w:t>
      </w:r>
    </w:p>
    <w:p w14:paraId="214CB065" w14:textId="77777777" w:rsidR="00C579DE" w:rsidRDefault="00C579DE" w:rsidP="00C579DE">
      <w:pPr>
        <w:autoSpaceDE w:val="0"/>
        <w:autoSpaceDN w:val="0"/>
        <w:adjustRightInd w:val="0"/>
        <w:spacing w:after="0"/>
        <w:ind w:left="567"/>
        <w:jc w:val="both"/>
        <w:rPr>
          <w:rFonts w:ascii="Times New Roman" w:eastAsiaTheme="minorHAnsi" w:hAnsi="Times New Roman"/>
          <w:color w:val="252525"/>
          <w:sz w:val="24"/>
          <w:szCs w:val="24"/>
        </w:rPr>
      </w:pPr>
    </w:p>
    <w:p w14:paraId="1617D741" w14:textId="77777777" w:rsidR="00C579DE" w:rsidRPr="007B1A01" w:rsidRDefault="00C579DE" w:rsidP="00C579DE">
      <w:pPr>
        <w:ind w:left="567"/>
        <w:jc w:val="both"/>
        <w:rPr>
          <w:rFonts w:ascii="Times New Roman" w:hAnsi="Times New Roman"/>
          <w:color w:val="222222"/>
          <w:sz w:val="24"/>
          <w:szCs w:val="24"/>
          <w:shd w:val="clear" w:color="auto" w:fill="FFFFFF"/>
        </w:rPr>
      </w:pPr>
      <w:r w:rsidRPr="00672458">
        <w:rPr>
          <w:rFonts w:ascii="Times New Roman" w:eastAsiaTheme="minorHAnsi" w:hAnsi="Times New Roman"/>
          <w:color w:val="252525"/>
          <w:sz w:val="24"/>
          <w:szCs w:val="24"/>
        </w:rPr>
        <w:t>En effet,</w:t>
      </w:r>
      <w:r>
        <w:rPr>
          <w:rFonts w:ascii="Times New Roman" w:eastAsiaTheme="minorHAnsi" w:hAnsi="Times New Roman"/>
          <w:color w:val="252525"/>
          <w:sz w:val="24"/>
          <w:szCs w:val="24"/>
        </w:rPr>
        <w:t xml:space="preserve"> à lire Wikipédia,</w:t>
      </w:r>
      <w:r w:rsidRPr="00672458">
        <w:rPr>
          <w:rFonts w:ascii="Times New Roman" w:eastAsiaTheme="minorHAnsi" w:hAnsi="Times New Roman"/>
          <w:color w:val="252525"/>
          <w:sz w:val="24"/>
          <w:szCs w:val="24"/>
        </w:rPr>
        <w:t xml:space="preserve"> </w:t>
      </w:r>
      <w:r w:rsidRPr="007B1A01">
        <w:rPr>
          <w:rFonts w:ascii="Times New Roman" w:hAnsi="Times New Roman"/>
          <w:color w:val="222222"/>
          <w:sz w:val="24"/>
          <w:szCs w:val="24"/>
          <w:shd w:val="clear" w:color="auto" w:fill="FFFFFF"/>
        </w:rPr>
        <w:t>Le </w:t>
      </w:r>
      <w:r w:rsidRPr="007B1A01">
        <w:rPr>
          <w:rFonts w:ascii="Times New Roman" w:hAnsi="Times New Roman"/>
          <w:b/>
          <w:bCs/>
          <w:color w:val="222222"/>
          <w:sz w:val="24"/>
          <w:szCs w:val="24"/>
          <w:shd w:val="clear" w:color="auto" w:fill="FFFFFF"/>
        </w:rPr>
        <w:t>lac Kivu</w:t>
      </w:r>
      <w:r w:rsidRPr="007B1A01">
        <w:rPr>
          <w:rFonts w:ascii="Times New Roman" w:hAnsi="Times New Roman"/>
          <w:color w:val="222222"/>
          <w:sz w:val="24"/>
          <w:szCs w:val="24"/>
          <w:shd w:val="clear" w:color="auto" w:fill="FFFFFF"/>
        </w:rPr>
        <w:t> est l'un des </w:t>
      </w:r>
      <w:hyperlink r:id="rId27" w:tooltip="Grands Lacs (Afrique)" w:history="1">
        <w:r w:rsidRPr="007B1A01">
          <w:rPr>
            <w:rStyle w:val="Lienhypertexte"/>
            <w:rFonts w:ascii="Times New Roman" w:hAnsi="Times New Roman"/>
            <w:color w:val="0B0080"/>
            <w:sz w:val="24"/>
            <w:szCs w:val="24"/>
            <w:shd w:val="clear" w:color="auto" w:fill="FFFFFF"/>
          </w:rPr>
          <w:t>Grands Lacs d'Afrique</w:t>
        </w:r>
      </w:hyperlink>
      <w:r w:rsidRPr="007B1A01">
        <w:rPr>
          <w:rFonts w:ascii="Times New Roman" w:hAnsi="Times New Roman"/>
          <w:color w:val="222222"/>
          <w:sz w:val="24"/>
          <w:szCs w:val="24"/>
          <w:shd w:val="clear" w:color="auto" w:fill="FFFFFF"/>
        </w:rPr>
        <w:t>. Il se situe entre la </w:t>
      </w:r>
      <w:hyperlink r:id="rId28" w:tooltip="République démocratique du Congo" w:history="1">
        <w:r w:rsidRPr="007B1A01">
          <w:rPr>
            <w:rStyle w:val="Lienhypertexte"/>
            <w:rFonts w:ascii="Times New Roman" w:hAnsi="Times New Roman"/>
            <w:color w:val="0B0080"/>
            <w:sz w:val="24"/>
            <w:szCs w:val="24"/>
            <w:shd w:val="clear" w:color="auto" w:fill="FFFFFF"/>
          </w:rPr>
          <w:t>République démocratique du Congo</w:t>
        </w:r>
      </w:hyperlink>
      <w:r w:rsidRPr="007B1A01">
        <w:rPr>
          <w:rFonts w:ascii="Times New Roman" w:hAnsi="Times New Roman"/>
          <w:color w:val="222222"/>
          <w:sz w:val="24"/>
          <w:szCs w:val="24"/>
          <w:shd w:val="clear" w:color="auto" w:fill="FFFFFF"/>
        </w:rPr>
        <w:t> et le </w:t>
      </w:r>
      <w:hyperlink r:id="rId29" w:tooltip="Rwanda" w:history="1">
        <w:r w:rsidRPr="007B1A01">
          <w:rPr>
            <w:rStyle w:val="Lienhypertexte"/>
            <w:rFonts w:ascii="Times New Roman" w:hAnsi="Times New Roman"/>
            <w:color w:val="0B0080"/>
            <w:sz w:val="24"/>
            <w:szCs w:val="24"/>
            <w:shd w:val="clear" w:color="auto" w:fill="FFFFFF"/>
          </w:rPr>
          <w:t>Rwanda</w:t>
        </w:r>
      </w:hyperlink>
      <w:r w:rsidRPr="007B1A01">
        <w:rPr>
          <w:rFonts w:ascii="Times New Roman" w:hAnsi="Times New Roman"/>
          <w:color w:val="222222"/>
          <w:sz w:val="24"/>
          <w:szCs w:val="24"/>
          <w:shd w:val="clear" w:color="auto" w:fill="FFFFFF"/>
        </w:rPr>
        <w:t>.</w:t>
      </w:r>
    </w:p>
    <w:p w14:paraId="2BA993CF" w14:textId="77777777" w:rsidR="00C579DE" w:rsidRPr="007B1A01" w:rsidRDefault="00C579DE" w:rsidP="00C579DE">
      <w:pPr>
        <w:ind w:left="567"/>
        <w:jc w:val="both"/>
        <w:rPr>
          <w:rFonts w:ascii="Times New Roman" w:hAnsi="Times New Roman"/>
          <w:color w:val="222222"/>
          <w:sz w:val="24"/>
          <w:szCs w:val="24"/>
          <w:shd w:val="clear" w:color="auto" w:fill="FFFFFF"/>
        </w:rPr>
      </w:pPr>
      <w:r w:rsidRPr="007B1A01">
        <w:rPr>
          <w:rFonts w:ascii="Times New Roman" w:hAnsi="Times New Roman"/>
          <w:color w:val="222222"/>
          <w:sz w:val="24"/>
          <w:szCs w:val="24"/>
          <w:shd w:val="clear" w:color="auto" w:fill="FFFFFF"/>
        </w:rPr>
        <w:t>Ce lac est caractérisé par une forte stratification thermique et chimique (CO</w:t>
      </w:r>
      <w:r w:rsidRPr="007B1A01">
        <w:rPr>
          <w:rFonts w:ascii="Times New Roman" w:hAnsi="Times New Roman"/>
          <w:color w:val="222222"/>
          <w:sz w:val="24"/>
          <w:szCs w:val="24"/>
          <w:shd w:val="clear" w:color="auto" w:fill="FFFFFF"/>
          <w:vertAlign w:val="subscript"/>
        </w:rPr>
        <w:t>2</w:t>
      </w:r>
      <w:r w:rsidRPr="007B1A01">
        <w:rPr>
          <w:rFonts w:ascii="Times New Roman" w:hAnsi="Times New Roman"/>
          <w:color w:val="222222"/>
          <w:sz w:val="24"/>
          <w:szCs w:val="24"/>
          <w:shd w:val="clear" w:color="auto" w:fill="FFFFFF"/>
        </w:rPr>
        <w:t> et </w:t>
      </w:r>
      <w:hyperlink r:id="rId30" w:tooltip="Méthane" w:history="1">
        <w:r w:rsidRPr="007B1A01">
          <w:rPr>
            <w:rStyle w:val="Lienhypertexte"/>
            <w:rFonts w:ascii="Times New Roman" w:hAnsi="Times New Roman"/>
            <w:color w:val="0B0080"/>
            <w:sz w:val="24"/>
            <w:szCs w:val="24"/>
            <w:shd w:val="clear" w:color="auto" w:fill="FFFFFF"/>
          </w:rPr>
          <w:t>méthane</w:t>
        </w:r>
      </w:hyperlink>
      <w:r w:rsidRPr="007B1A01">
        <w:rPr>
          <w:rFonts w:ascii="Times New Roman" w:hAnsi="Times New Roman"/>
          <w:color w:val="222222"/>
          <w:sz w:val="24"/>
          <w:szCs w:val="24"/>
          <w:shd w:val="clear" w:color="auto" w:fill="FFFFFF"/>
        </w:rPr>
        <w:t> assez fortement "piégés" dans les eaux profondes, mais pourrait épisodiquement être brutalement libéré avec des risques graves pour la population et la faune).</w:t>
      </w:r>
    </w:p>
    <w:p w14:paraId="239832B5" w14:textId="77777777" w:rsidR="00C579DE" w:rsidRPr="007B1A01" w:rsidRDefault="00C579DE" w:rsidP="00C579DE">
      <w:pPr>
        <w:ind w:left="567"/>
        <w:jc w:val="both"/>
        <w:rPr>
          <w:rFonts w:ascii="Times New Roman" w:hAnsi="Times New Roman"/>
          <w:color w:val="222222"/>
          <w:sz w:val="24"/>
          <w:szCs w:val="24"/>
          <w:shd w:val="clear" w:color="auto" w:fill="FFFFFF"/>
        </w:rPr>
      </w:pPr>
      <w:r w:rsidRPr="007B1A01">
        <w:rPr>
          <w:rFonts w:ascii="Times New Roman" w:hAnsi="Times New Roman"/>
          <w:color w:val="222222"/>
          <w:sz w:val="24"/>
          <w:szCs w:val="24"/>
          <w:shd w:val="clear" w:color="auto" w:fill="FFFFFF"/>
        </w:rPr>
        <w:t xml:space="preserve">Ce lac abriterait 300 kilomètres cubes de dioxyde de carbone et 60 kilomètres cubes de méthane, pouvant remonter par des cheminées volcaniques, ce qui représente plus de 300 fois la quantité de gaz contenue dans le lac </w:t>
      </w:r>
      <w:proofErr w:type="spellStart"/>
      <w:r w:rsidRPr="007B1A01">
        <w:rPr>
          <w:rFonts w:ascii="Times New Roman" w:hAnsi="Times New Roman"/>
          <w:color w:val="222222"/>
          <w:sz w:val="24"/>
          <w:szCs w:val="24"/>
          <w:shd w:val="clear" w:color="auto" w:fill="FFFFFF"/>
        </w:rPr>
        <w:t>Nyos</w:t>
      </w:r>
      <w:proofErr w:type="spellEnd"/>
      <w:r w:rsidRPr="007B1A01">
        <w:rPr>
          <w:rFonts w:ascii="Times New Roman" w:hAnsi="Times New Roman"/>
          <w:color w:val="222222"/>
          <w:sz w:val="24"/>
          <w:szCs w:val="24"/>
          <w:shd w:val="clear" w:color="auto" w:fill="FFFFFF"/>
        </w:rPr>
        <w:t xml:space="preserve"> qui lors de son </w:t>
      </w:r>
      <w:hyperlink r:id="rId31" w:anchor=".C3.89ruption_limnique_du_21_ao.C3.BBt_1986" w:tooltip="Lac Nyos" w:history="1">
        <w:r w:rsidRPr="007B1A01">
          <w:rPr>
            <w:rStyle w:val="Lienhypertexte"/>
            <w:rFonts w:ascii="Times New Roman" w:hAnsi="Times New Roman"/>
            <w:color w:val="0B0080"/>
            <w:sz w:val="24"/>
            <w:szCs w:val="24"/>
            <w:shd w:val="clear" w:color="auto" w:fill="FFFFFF"/>
          </w:rPr>
          <w:t>éruption</w:t>
        </w:r>
      </w:hyperlink>
      <w:r w:rsidRPr="007B1A01">
        <w:rPr>
          <w:rFonts w:ascii="Times New Roman" w:hAnsi="Times New Roman"/>
          <w:color w:val="222222"/>
          <w:sz w:val="24"/>
          <w:szCs w:val="24"/>
          <w:shd w:val="clear" w:color="auto" w:fill="FFFFFF"/>
        </w:rPr>
        <w:t> avait fait 1700 morts.</w:t>
      </w:r>
    </w:p>
    <w:p w14:paraId="20DE20AC" w14:textId="77777777" w:rsidR="00C579DE" w:rsidRDefault="00C579DE" w:rsidP="00C579DE">
      <w:pPr>
        <w:ind w:left="567"/>
        <w:jc w:val="both"/>
        <w:rPr>
          <w:rFonts w:ascii="Times New Roman" w:hAnsi="Times New Roman"/>
          <w:color w:val="222222"/>
          <w:sz w:val="24"/>
          <w:szCs w:val="24"/>
          <w:shd w:val="clear" w:color="auto" w:fill="FFFFFF"/>
        </w:rPr>
      </w:pPr>
      <w:r w:rsidRPr="007B1A01">
        <w:rPr>
          <w:rFonts w:ascii="Times New Roman" w:hAnsi="Times New Roman"/>
          <w:color w:val="222222"/>
          <w:sz w:val="24"/>
          <w:szCs w:val="24"/>
          <w:shd w:val="clear" w:color="auto" w:fill="FFFFFF"/>
        </w:rPr>
        <w:t>En 2005, des géologues et géochimistes ont estimé que certains changements récents de comportement du lac sont des indices de risque accru d'une éruption incontrôlable de gaz et que </w:t>
      </w:r>
      <w:r w:rsidRPr="007B1A01">
        <w:rPr>
          <w:rStyle w:val="citation0"/>
          <w:rFonts w:ascii="Times New Roman" w:hAnsi="Times New Roman"/>
          <w:color w:val="222222"/>
          <w:sz w:val="24"/>
          <w:szCs w:val="24"/>
          <w:shd w:val="clear" w:color="auto" w:fill="FFFFFF"/>
        </w:rPr>
        <w:t>« La libération d'une fraction de ces gaz, qui pourrait être déclenchée par une éruption de magma dans le lac, aurait des conséquences catastrophiques pour les deux millions de personnes vivant sur ses rives »</w:t>
      </w:r>
      <w:r w:rsidRPr="007B1A01">
        <w:rPr>
          <w:rFonts w:ascii="Times New Roman" w:hAnsi="Times New Roman"/>
          <w:color w:val="222222"/>
          <w:sz w:val="24"/>
          <w:szCs w:val="24"/>
          <w:shd w:val="clear" w:color="auto" w:fill="FFFFFF"/>
        </w:rPr>
        <w:t>.</w:t>
      </w:r>
    </w:p>
    <w:p w14:paraId="049834F0" w14:textId="77777777" w:rsidR="00C579DE" w:rsidRPr="007B1A01" w:rsidRDefault="00C579DE" w:rsidP="00C579DE">
      <w:pPr>
        <w:ind w:left="567"/>
        <w:jc w:val="both"/>
        <w:rPr>
          <w:rFonts w:ascii="Times New Roman" w:hAnsi="Times New Roman"/>
          <w:sz w:val="24"/>
          <w:szCs w:val="24"/>
        </w:rPr>
      </w:pPr>
      <w:r>
        <w:rPr>
          <w:rFonts w:ascii="Times New Roman" w:hAnsi="Times New Roman"/>
          <w:color w:val="222222"/>
          <w:sz w:val="24"/>
          <w:szCs w:val="24"/>
          <w:shd w:val="clear" w:color="auto" w:fill="FFFFFF"/>
        </w:rPr>
        <w:t>C’est, donc, pour prévenir tout risque de catastrophe naturelle liée à la sursaturation du Gaz méthane que ce contrat d’exploitation a été signé.</w:t>
      </w:r>
    </w:p>
    <w:p w14:paraId="5E33957B" w14:textId="77777777" w:rsidR="00C579DE" w:rsidRPr="00063141" w:rsidRDefault="00C579DE" w:rsidP="00C579DE">
      <w:pPr>
        <w:spacing w:before="160" w:after="320" w:line="360" w:lineRule="auto"/>
        <w:ind w:left="567"/>
        <w:rPr>
          <w:rFonts w:ascii="Times New Roman" w:eastAsiaTheme="minorHAnsi" w:hAnsi="Times New Roman"/>
          <w:color w:val="252525"/>
          <w:sz w:val="24"/>
          <w:szCs w:val="24"/>
        </w:rPr>
      </w:pPr>
      <w:r w:rsidRPr="00840E13">
        <w:rPr>
          <w:rFonts w:ascii="Times New Roman" w:hAnsi="Times New Roman"/>
          <w:color w:val="252525"/>
          <w:sz w:val="24"/>
          <w:szCs w:val="24"/>
        </w:rPr>
        <w:t>La partie contractante est un consortium composé de :</w:t>
      </w:r>
    </w:p>
    <w:p w14:paraId="7BFA75A8" w14:textId="77777777" w:rsidR="00C579DE" w:rsidRPr="00840E13" w:rsidRDefault="00C579DE" w:rsidP="000738D3">
      <w:pPr>
        <w:pStyle w:val="Paragraphedeliste"/>
        <w:numPr>
          <w:ilvl w:val="0"/>
          <w:numId w:val="3"/>
        </w:numPr>
        <w:autoSpaceDE w:val="0"/>
        <w:autoSpaceDN w:val="0"/>
        <w:adjustRightInd w:val="0"/>
        <w:spacing w:after="0"/>
        <w:ind w:left="567" w:firstLine="283"/>
        <w:jc w:val="both"/>
        <w:rPr>
          <w:rFonts w:ascii="Times New Roman" w:hAnsi="Times New Roman" w:cs="Times New Roman"/>
          <w:color w:val="252525"/>
          <w:sz w:val="24"/>
          <w:szCs w:val="24"/>
        </w:rPr>
      </w:pPr>
      <w:r w:rsidRPr="00840E13">
        <w:rPr>
          <w:rFonts w:ascii="Times New Roman" w:hAnsi="Times New Roman" w:cs="Times New Roman"/>
          <w:color w:val="252525"/>
          <w:sz w:val="24"/>
          <w:szCs w:val="24"/>
        </w:rPr>
        <w:t xml:space="preserve">La société Engineering </w:t>
      </w:r>
      <w:proofErr w:type="spellStart"/>
      <w:r w:rsidRPr="00840E13">
        <w:rPr>
          <w:rFonts w:ascii="Times New Roman" w:hAnsi="Times New Roman" w:cs="Times New Roman"/>
          <w:color w:val="252525"/>
          <w:sz w:val="24"/>
          <w:szCs w:val="24"/>
        </w:rPr>
        <w:t>Procurement</w:t>
      </w:r>
      <w:proofErr w:type="spellEnd"/>
      <w:r w:rsidRPr="00840E13">
        <w:rPr>
          <w:rFonts w:ascii="Times New Roman" w:hAnsi="Times New Roman" w:cs="Times New Roman"/>
          <w:color w:val="252525"/>
          <w:sz w:val="24"/>
          <w:szCs w:val="24"/>
        </w:rPr>
        <w:t xml:space="preserve"> &amp; Project Management SA (EPPM) ;</w:t>
      </w:r>
    </w:p>
    <w:p w14:paraId="5280B666" w14:textId="77777777" w:rsidR="00C579DE" w:rsidRPr="00840E13" w:rsidRDefault="00C579DE" w:rsidP="000738D3">
      <w:pPr>
        <w:pStyle w:val="Paragraphedeliste"/>
        <w:numPr>
          <w:ilvl w:val="0"/>
          <w:numId w:val="3"/>
        </w:numPr>
        <w:autoSpaceDE w:val="0"/>
        <w:autoSpaceDN w:val="0"/>
        <w:adjustRightInd w:val="0"/>
        <w:spacing w:after="0"/>
        <w:ind w:left="567" w:firstLine="283"/>
        <w:jc w:val="both"/>
        <w:rPr>
          <w:rFonts w:ascii="Times New Roman" w:hAnsi="Times New Roman" w:cs="Times New Roman"/>
          <w:color w:val="252525"/>
          <w:sz w:val="24"/>
          <w:szCs w:val="24"/>
        </w:rPr>
      </w:pPr>
      <w:r w:rsidRPr="00840E13">
        <w:rPr>
          <w:rFonts w:ascii="Times New Roman" w:hAnsi="Times New Roman" w:cs="Times New Roman"/>
          <w:color w:val="252525"/>
          <w:sz w:val="24"/>
          <w:szCs w:val="24"/>
        </w:rPr>
        <w:t xml:space="preserve">La société </w:t>
      </w:r>
      <w:proofErr w:type="spellStart"/>
      <w:r w:rsidRPr="00840E13">
        <w:rPr>
          <w:rFonts w:ascii="Times New Roman" w:hAnsi="Times New Roman" w:cs="Times New Roman"/>
          <w:color w:val="252525"/>
          <w:sz w:val="24"/>
          <w:szCs w:val="24"/>
        </w:rPr>
        <w:t>Transcentury</w:t>
      </w:r>
      <w:proofErr w:type="spellEnd"/>
      <w:r w:rsidRPr="00840E13">
        <w:rPr>
          <w:rFonts w:ascii="Times New Roman" w:hAnsi="Times New Roman" w:cs="Times New Roman"/>
          <w:color w:val="252525"/>
          <w:sz w:val="24"/>
          <w:szCs w:val="24"/>
        </w:rPr>
        <w:t xml:space="preserve"> Limited, et </w:t>
      </w:r>
    </w:p>
    <w:p w14:paraId="2EE25760" w14:textId="77777777" w:rsidR="00C579DE" w:rsidRPr="00840E13" w:rsidRDefault="00C579DE" w:rsidP="000738D3">
      <w:pPr>
        <w:pStyle w:val="Paragraphedeliste"/>
        <w:numPr>
          <w:ilvl w:val="0"/>
          <w:numId w:val="3"/>
        </w:numPr>
        <w:autoSpaceDE w:val="0"/>
        <w:autoSpaceDN w:val="0"/>
        <w:adjustRightInd w:val="0"/>
        <w:spacing w:after="0"/>
        <w:ind w:left="567" w:firstLine="283"/>
        <w:jc w:val="both"/>
        <w:rPr>
          <w:rFonts w:ascii="Times New Roman" w:hAnsi="Times New Roman" w:cs="Times New Roman"/>
          <w:color w:val="252525"/>
          <w:sz w:val="24"/>
          <w:szCs w:val="24"/>
        </w:rPr>
      </w:pPr>
      <w:r w:rsidRPr="00840E13">
        <w:rPr>
          <w:rFonts w:ascii="Times New Roman" w:hAnsi="Times New Roman" w:cs="Times New Roman"/>
          <w:color w:val="252525"/>
          <w:sz w:val="24"/>
          <w:szCs w:val="24"/>
        </w:rPr>
        <w:t xml:space="preserve">La société </w:t>
      </w:r>
      <w:proofErr w:type="spellStart"/>
      <w:r w:rsidRPr="00840E13">
        <w:rPr>
          <w:rFonts w:ascii="Times New Roman" w:hAnsi="Times New Roman" w:cs="Times New Roman"/>
          <w:color w:val="252525"/>
          <w:sz w:val="24"/>
          <w:szCs w:val="24"/>
        </w:rPr>
        <w:t>Swede</w:t>
      </w:r>
      <w:proofErr w:type="spellEnd"/>
      <w:r w:rsidRPr="00840E13">
        <w:rPr>
          <w:rFonts w:ascii="Times New Roman" w:hAnsi="Times New Roman" w:cs="Times New Roman"/>
          <w:color w:val="252525"/>
          <w:sz w:val="24"/>
          <w:szCs w:val="24"/>
        </w:rPr>
        <w:t xml:space="preserve"> </w:t>
      </w:r>
      <w:proofErr w:type="spellStart"/>
      <w:r w:rsidRPr="00840E13">
        <w:rPr>
          <w:rFonts w:ascii="Times New Roman" w:hAnsi="Times New Roman" w:cs="Times New Roman"/>
          <w:color w:val="252525"/>
          <w:sz w:val="24"/>
          <w:szCs w:val="24"/>
        </w:rPr>
        <w:t>Energy</w:t>
      </w:r>
      <w:proofErr w:type="spellEnd"/>
      <w:r w:rsidRPr="00840E13">
        <w:rPr>
          <w:rFonts w:ascii="Times New Roman" w:hAnsi="Times New Roman" w:cs="Times New Roman"/>
          <w:color w:val="252525"/>
          <w:sz w:val="24"/>
          <w:szCs w:val="24"/>
        </w:rPr>
        <w:t xml:space="preserve"> DRC Sarl.</w:t>
      </w:r>
    </w:p>
    <w:p w14:paraId="3C3EBC11" w14:textId="77777777" w:rsidR="00C579DE" w:rsidRPr="00840E13" w:rsidRDefault="00C579DE" w:rsidP="00C579DE">
      <w:pPr>
        <w:autoSpaceDE w:val="0"/>
        <w:autoSpaceDN w:val="0"/>
        <w:adjustRightInd w:val="0"/>
        <w:spacing w:after="0"/>
        <w:ind w:left="567"/>
        <w:jc w:val="both"/>
        <w:rPr>
          <w:rFonts w:ascii="Times New Roman" w:eastAsiaTheme="minorHAnsi" w:hAnsi="Times New Roman"/>
          <w:color w:val="252525"/>
          <w:sz w:val="24"/>
          <w:szCs w:val="24"/>
        </w:rPr>
      </w:pPr>
    </w:p>
    <w:p w14:paraId="4DC1A8DF" w14:textId="77777777" w:rsidR="00C579DE" w:rsidRDefault="00C579DE" w:rsidP="00C579DE">
      <w:pPr>
        <w:autoSpaceDE w:val="0"/>
        <w:autoSpaceDN w:val="0"/>
        <w:adjustRightInd w:val="0"/>
        <w:spacing w:after="0"/>
        <w:ind w:left="567"/>
        <w:jc w:val="both"/>
        <w:rPr>
          <w:rFonts w:ascii="Times New Roman" w:eastAsiaTheme="minorHAnsi" w:hAnsi="Times New Roman"/>
          <w:color w:val="252525"/>
          <w:sz w:val="24"/>
          <w:szCs w:val="24"/>
        </w:rPr>
      </w:pPr>
      <w:r w:rsidRPr="00840E13">
        <w:rPr>
          <w:rFonts w:ascii="Times New Roman" w:eastAsiaTheme="minorHAnsi" w:hAnsi="Times New Roman"/>
          <w:color w:val="252525"/>
          <w:sz w:val="24"/>
          <w:szCs w:val="24"/>
        </w:rPr>
        <w:t xml:space="preserve">La lettre N° 981/DGCMP/DG/DRE/D4/BNJ/2014 de la Direction Générale du Contrôle des Marchés Publics contenant la liste restreinte des candidats sélectionnés, ainsi que </w:t>
      </w:r>
      <w:hyperlink r:id="rId32" w:history="1">
        <w:r w:rsidRPr="00840E13">
          <w:rPr>
            <w:rStyle w:val="Lienhypertexte"/>
            <w:rFonts w:ascii="Times New Roman" w:eastAsiaTheme="minorHAnsi" w:hAnsi="Times New Roman"/>
            <w:sz w:val="24"/>
            <w:szCs w:val="24"/>
          </w:rPr>
          <w:t>le contrat de base signé avec le groupe EPPM sont publiés sur le site de l’ITIE-RDC</w:t>
        </w:r>
      </w:hyperlink>
      <w:r>
        <w:rPr>
          <w:rStyle w:val="Lienhypertexte"/>
          <w:rFonts w:ascii="Times New Roman" w:eastAsiaTheme="minorHAnsi" w:hAnsi="Times New Roman"/>
          <w:sz w:val="24"/>
          <w:szCs w:val="24"/>
        </w:rPr>
        <w:t>.</w:t>
      </w:r>
      <w:r w:rsidRPr="00840E13">
        <w:rPr>
          <w:rFonts w:ascii="Times New Roman" w:eastAsiaTheme="minorHAnsi" w:hAnsi="Times New Roman"/>
          <w:color w:val="252525"/>
          <w:sz w:val="24"/>
          <w:szCs w:val="24"/>
        </w:rPr>
        <w:t xml:space="preserve"> </w:t>
      </w:r>
    </w:p>
    <w:p w14:paraId="197864E8" w14:textId="77777777" w:rsidR="00C579DE" w:rsidRDefault="00C579DE">
      <w:pPr>
        <w:rPr>
          <w:rFonts w:ascii="Times New Roman" w:eastAsiaTheme="minorHAnsi" w:hAnsi="Times New Roman"/>
          <w:color w:val="252525"/>
          <w:sz w:val="24"/>
          <w:szCs w:val="24"/>
        </w:rPr>
      </w:pPr>
      <w:r>
        <w:rPr>
          <w:rFonts w:ascii="Times New Roman" w:eastAsiaTheme="minorHAnsi" w:hAnsi="Times New Roman"/>
          <w:color w:val="252525"/>
          <w:sz w:val="24"/>
          <w:szCs w:val="24"/>
        </w:rPr>
        <w:br w:type="page"/>
      </w:r>
    </w:p>
    <w:p w14:paraId="3AC3CF5B" w14:textId="77777777" w:rsidR="00C579DE" w:rsidRPr="007E7EFE" w:rsidRDefault="00C579DE" w:rsidP="00C579DE">
      <w:pPr>
        <w:autoSpaceDE w:val="0"/>
        <w:autoSpaceDN w:val="0"/>
        <w:adjustRightInd w:val="0"/>
        <w:spacing w:after="0"/>
        <w:ind w:left="284"/>
        <w:jc w:val="both"/>
        <w:rPr>
          <w:rFonts w:ascii="Times New Roman" w:eastAsiaTheme="minorHAnsi" w:hAnsi="Times New Roman"/>
          <w:b/>
          <w:i/>
          <w:color w:val="252525"/>
          <w:sz w:val="24"/>
          <w:szCs w:val="24"/>
        </w:rPr>
      </w:pPr>
      <w:r w:rsidRPr="007E7EFE">
        <w:rPr>
          <w:rFonts w:ascii="Times New Roman" w:eastAsiaTheme="minorHAnsi" w:hAnsi="Times New Roman"/>
          <w:b/>
          <w:i/>
          <w:color w:val="252525"/>
          <w:sz w:val="24"/>
          <w:szCs w:val="24"/>
        </w:rPr>
        <w:lastRenderedPageBreak/>
        <w:t>La procédure d’octroi est schématisée comme suit :</w:t>
      </w:r>
    </w:p>
    <w:p w14:paraId="04F69CF2" w14:textId="77777777" w:rsidR="00C579DE" w:rsidRPr="00840E13" w:rsidRDefault="00C579DE" w:rsidP="00C579DE">
      <w:pPr>
        <w:autoSpaceDE w:val="0"/>
        <w:autoSpaceDN w:val="0"/>
        <w:adjustRightInd w:val="0"/>
        <w:spacing w:after="0"/>
        <w:ind w:left="284"/>
        <w:jc w:val="both"/>
        <w:rPr>
          <w:rFonts w:ascii="Times New Roman" w:eastAsiaTheme="minorHAnsi" w:hAnsi="Times New Roman"/>
          <w:color w:val="252525"/>
          <w:sz w:val="24"/>
          <w:szCs w:val="24"/>
        </w:rPr>
      </w:pPr>
    </w:p>
    <w:p w14:paraId="03EF9CF3" w14:textId="77777777" w:rsidR="00C579DE" w:rsidRDefault="00C579DE" w:rsidP="00C579DE">
      <w:pPr>
        <w:autoSpaceDE w:val="0"/>
        <w:autoSpaceDN w:val="0"/>
        <w:adjustRightInd w:val="0"/>
        <w:spacing w:after="0"/>
        <w:jc w:val="both"/>
        <w:rPr>
          <w:rFonts w:ascii="Times New Roman" w:eastAsiaTheme="minorHAnsi" w:hAnsi="Times New Roman"/>
          <w:color w:val="252525"/>
          <w:sz w:val="24"/>
          <w:szCs w:val="24"/>
        </w:rPr>
      </w:pPr>
      <w:r>
        <w:rPr>
          <w:noProof/>
          <w:lang w:eastAsia="fr-FR"/>
        </w:rPr>
        <w:drawing>
          <wp:inline distT="0" distB="0" distL="0" distR="0" wp14:anchorId="39B14FF5" wp14:editId="62553874">
            <wp:extent cx="6280785" cy="2933700"/>
            <wp:effectExtent l="0" t="0" r="571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280785" cy="2933700"/>
                    </a:xfrm>
                    <a:prstGeom prst="rect">
                      <a:avLst/>
                    </a:prstGeom>
                  </pic:spPr>
                </pic:pic>
              </a:graphicData>
            </a:graphic>
          </wp:inline>
        </w:drawing>
      </w:r>
    </w:p>
    <w:p w14:paraId="1A64D020" w14:textId="77777777" w:rsidR="00C579DE" w:rsidRDefault="00C579DE" w:rsidP="00C579DE">
      <w:pPr>
        <w:autoSpaceDE w:val="0"/>
        <w:autoSpaceDN w:val="0"/>
        <w:adjustRightInd w:val="0"/>
        <w:spacing w:after="0"/>
        <w:jc w:val="both"/>
        <w:rPr>
          <w:rFonts w:ascii="Times New Roman" w:eastAsiaTheme="minorHAnsi" w:hAnsi="Times New Roman"/>
          <w:color w:val="252525"/>
          <w:sz w:val="24"/>
          <w:szCs w:val="24"/>
        </w:rPr>
      </w:pPr>
    </w:p>
    <w:p w14:paraId="289117CB" w14:textId="77777777" w:rsidR="00C579DE" w:rsidRPr="00840E13" w:rsidRDefault="00C579DE" w:rsidP="00C579DE">
      <w:pPr>
        <w:autoSpaceDE w:val="0"/>
        <w:autoSpaceDN w:val="0"/>
        <w:adjustRightInd w:val="0"/>
        <w:spacing w:after="0"/>
        <w:jc w:val="both"/>
        <w:rPr>
          <w:rFonts w:ascii="Times New Roman" w:eastAsiaTheme="minorHAnsi" w:hAnsi="Times New Roman"/>
          <w:color w:val="252525"/>
          <w:sz w:val="24"/>
          <w:szCs w:val="24"/>
        </w:rPr>
      </w:pPr>
    </w:p>
    <w:p w14:paraId="614A9B1D" w14:textId="77777777" w:rsidR="00C579DE" w:rsidRPr="00E10AFD" w:rsidRDefault="00C579DE" w:rsidP="000738D3">
      <w:pPr>
        <w:pStyle w:val="Paragraphedeliste"/>
        <w:numPr>
          <w:ilvl w:val="0"/>
          <w:numId w:val="63"/>
        </w:numPr>
        <w:ind w:left="709"/>
        <w:rPr>
          <w:rFonts w:ascii="Times New Roman" w:hAnsi="Times New Roman"/>
          <w:b/>
          <w:i/>
          <w:color w:val="5B9BD5" w:themeColor="accent1"/>
          <w:sz w:val="24"/>
          <w:szCs w:val="24"/>
        </w:rPr>
      </w:pPr>
      <w:bookmarkStart w:id="112" w:name="_Toc516047982"/>
      <w:r w:rsidRPr="00E10AFD">
        <w:rPr>
          <w:rFonts w:ascii="Times New Roman" w:hAnsi="Times New Roman"/>
          <w:b/>
          <w:i/>
          <w:color w:val="5B9BD5" w:themeColor="accent1"/>
          <w:sz w:val="24"/>
          <w:szCs w:val="24"/>
        </w:rPr>
        <w:t>Cession ou transfert des droits d’exploration et d’exploitation</w:t>
      </w:r>
      <w:bookmarkEnd w:id="112"/>
    </w:p>
    <w:p w14:paraId="062D959C" w14:textId="77777777" w:rsidR="00C579DE" w:rsidRPr="00840E13" w:rsidRDefault="00C579DE" w:rsidP="00C579DE">
      <w:pPr>
        <w:tabs>
          <w:tab w:val="left" w:pos="720"/>
        </w:tabs>
        <w:spacing w:before="120" w:after="120"/>
        <w:jc w:val="both"/>
        <w:rPr>
          <w:rFonts w:ascii="Times New Roman" w:hAnsi="Times New Roman"/>
          <w:sz w:val="24"/>
          <w:szCs w:val="24"/>
        </w:rPr>
      </w:pPr>
      <w:r w:rsidRPr="00840E13">
        <w:rPr>
          <w:rFonts w:ascii="Times New Roman" w:hAnsi="Times New Roman"/>
          <w:sz w:val="24"/>
          <w:szCs w:val="24"/>
        </w:rPr>
        <w:t>Suivant les articles 78 à 81, les droits d’exploration et d’exploitation sont cessibles partiellement ou totalement et transmissibles conformément à la loi.</w:t>
      </w:r>
    </w:p>
    <w:p w14:paraId="1DD12EA2" w14:textId="77777777" w:rsidR="00C579DE" w:rsidRPr="00840E13" w:rsidRDefault="00C579DE" w:rsidP="00C579DE">
      <w:pPr>
        <w:tabs>
          <w:tab w:val="left" w:pos="720"/>
        </w:tabs>
        <w:spacing w:before="120" w:after="120"/>
        <w:jc w:val="both"/>
        <w:rPr>
          <w:rFonts w:ascii="Times New Roman" w:hAnsi="Times New Roman"/>
          <w:sz w:val="24"/>
          <w:szCs w:val="24"/>
        </w:rPr>
      </w:pPr>
      <w:r w:rsidRPr="00840E13">
        <w:rPr>
          <w:rFonts w:ascii="Times New Roman" w:hAnsi="Times New Roman"/>
          <w:sz w:val="24"/>
          <w:szCs w:val="24"/>
        </w:rPr>
        <w:t>Sous peine de nullité ou de résiliation de contrat, toute cession directe ou indirecte des droits est soumise au Ministre des Hydrocarbures pour approbation préalable selon les conditions et modalités fixées dans le Règlement d’hydrocarbures.</w:t>
      </w:r>
    </w:p>
    <w:p w14:paraId="7CF6AFB9" w14:textId="77777777" w:rsidR="00C579DE" w:rsidRPr="00840E13" w:rsidRDefault="00C579DE" w:rsidP="00C579DE">
      <w:pPr>
        <w:tabs>
          <w:tab w:val="left" w:pos="720"/>
        </w:tabs>
        <w:spacing w:before="120"/>
        <w:jc w:val="both"/>
        <w:rPr>
          <w:rFonts w:ascii="Times New Roman" w:hAnsi="Times New Roman"/>
          <w:sz w:val="24"/>
          <w:szCs w:val="24"/>
        </w:rPr>
      </w:pPr>
      <w:r w:rsidRPr="00840E13">
        <w:rPr>
          <w:rFonts w:ascii="Times New Roman" w:hAnsi="Times New Roman"/>
          <w:sz w:val="24"/>
          <w:szCs w:val="24"/>
        </w:rPr>
        <w:t xml:space="preserve">Comme l’attributaire initial, le cessionnaire des droits d'exploration et d'exploitation est tenu de justifier des capacités techniques et financières auprès du Ministre ayant les Hydrocarbures dans ses attributions (voir article 76 du Règlement d’hydrocarbures). </w:t>
      </w:r>
    </w:p>
    <w:p w14:paraId="1EC05939" w14:textId="77777777" w:rsidR="00C579DE" w:rsidRDefault="00C579DE" w:rsidP="00C579DE">
      <w:pPr>
        <w:autoSpaceDE w:val="0"/>
        <w:autoSpaceDN w:val="0"/>
        <w:adjustRightInd w:val="0"/>
        <w:spacing w:after="0"/>
        <w:jc w:val="both"/>
        <w:rPr>
          <w:rFonts w:ascii="Times New Roman" w:eastAsiaTheme="minorHAnsi" w:hAnsi="Times New Roman"/>
          <w:color w:val="252525"/>
          <w:sz w:val="24"/>
          <w:szCs w:val="24"/>
        </w:rPr>
      </w:pPr>
      <w:r w:rsidRPr="00840E13">
        <w:rPr>
          <w:rFonts w:ascii="Times New Roman" w:eastAsiaTheme="minorHAnsi" w:hAnsi="Times New Roman"/>
          <w:color w:val="252525"/>
          <w:sz w:val="24"/>
          <w:szCs w:val="24"/>
        </w:rPr>
        <w:t>La société nationale bénéficie d'un droit de</w:t>
      </w:r>
      <w:r w:rsidRPr="00840E13">
        <w:rPr>
          <w:rFonts w:ascii="Times New Roman" w:eastAsiaTheme="minorHAnsi" w:hAnsi="Times New Roman"/>
          <w:sz w:val="24"/>
          <w:szCs w:val="24"/>
        </w:rPr>
        <w:t xml:space="preserve"> </w:t>
      </w:r>
      <w:r w:rsidRPr="00840E13">
        <w:rPr>
          <w:rFonts w:ascii="Times New Roman" w:eastAsiaTheme="minorHAnsi" w:hAnsi="Times New Roman"/>
          <w:color w:val="252525"/>
          <w:sz w:val="24"/>
          <w:szCs w:val="24"/>
        </w:rPr>
        <w:t>préemption en cas de cession totale ou partielle.</w:t>
      </w:r>
    </w:p>
    <w:p w14:paraId="542BB3DA" w14:textId="77777777" w:rsidR="00C579DE" w:rsidRDefault="00C579DE" w:rsidP="00C579DE">
      <w:pPr>
        <w:autoSpaceDE w:val="0"/>
        <w:autoSpaceDN w:val="0"/>
        <w:adjustRightInd w:val="0"/>
        <w:spacing w:after="0"/>
        <w:jc w:val="both"/>
        <w:rPr>
          <w:rFonts w:ascii="Times New Roman" w:eastAsiaTheme="minorHAnsi" w:hAnsi="Times New Roman"/>
          <w:color w:val="252525"/>
          <w:sz w:val="24"/>
          <w:szCs w:val="24"/>
        </w:rPr>
      </w:pPr>
    </w:p>
    <w:p w14:paraId="2B9F8B5D" w14:textId="77777777" w:rsidR="00C579DE" w:rsidRPr="001E3E06" w:rsidRDefault="00C579DE" w:rsidP="00C579DE">
      <w:pPr>
        <w:autoSpaceDE w:val="0"/>
        <w:autoSpaceDN w:val="0"/>
        <w:adjustRightInd w:val="0"/>
        <w:spacing w:after="0"/>
        <w:jc w:val="both"/>
        <w:rPr>
          <w:rFonts w:ascii="Times New Roman" w:eastAsiaTheme="minorHAnsi" w:hAnsi="Times New Roman"/>
          <w:color w:val="252525"/>
          <w:sz w:val="24"/>
          <w:szCs w:val="24"/>
        </w:rPr>
      </w:pPr>
      <w:r>
        <w:rPr>
          <w:rFonts w:ascii="Times New Roman" w:eastAsiaTheme="minorHAnsi" w:hAnsi="Times New Roman"/>
          <w:color w:val="252525"/>
          <w:sz w:val="24"/>
          <w:szCs w:val="24"/>
        </w:rPr>
        <w:t>A la lumière du registre pétrolier reçu du SGH, la rubrique consacrée aux o</w:t>
      </w:r>
      <w:r w:rsidRPr="00797587">
        <w:rPr>
          <w:rFonts w:ascii="Times New Roman" w:eastAsiaTheme="minorHAnsi" w:hAnsi="Times New Roman"/>
          <w:color w:val="252525"/>
          <w:sz w:val="24"/>
          <w:szCs w:val="24"/>
        </w:rPr>
        <w:t>pérations intervenues au cours de l’année</w:t>
      </w:r>
      <w:r>
        <w:rPr>
          <w:rFonts w:ascii="Times New Roman" w:eastAsiaTheme="minorHAnsi" w:hAnsi="Times New Roman"/>
          <w:color w:val="252525"/>
          <w:sz w:val="24"/>
          <w:szCs w:val="24"/>
        </w:rPr>
        <w:t>, ne renseigne que deux cas : l’extension du permis de Total E&amp;P RDC dans le bloc III et le renouvellement de la Concession des groupe PERENCO, TEIKOKU et CHEVRON. Rien n’est dit sur une quelconque opération de cession ou de transfert des droits d’exploration et d’exploitation.</w:t>
      </w:r>
    </w:p>
    <w:p w14:paraId="22B2281B" w14:textId="77777777" w:rsidR="00C579DE" w:rsidRPr="00E10AFD" w:rsidRDefault="00C579DE" w:rsidP="000738D3">
      <w:pPr>
        <w:pStyle w:val="Paragraphedeliste"/>
        <w:numPr>
          <w:ilvl w:val="0"/>
          <w:numId w:val="63"/>
        </w:numPr>
        <w:ind w:left="709"/>
        <w:rPr>
          <w:rFonts w:ascii="Times New Roman" w:hAnsi="Times New Roman"/>
          <w:b/>
          <w:i/>
          <w:color w:val="5B9BD5" w:themeColor="accent1"/>
          <w:sz w:val="24"/>
          <w:szCs w:val="24"/>
        </w:rPr>
      </w:pPr>
      <w:bookmarkStart w:id="113" w:name="_Toc516047983"/>
      <w:r w:rsidRPr="00E10AFD">
        <w:rPr>
          <w:rFonts w:ascii="Times New Roman" w:hAnsi="Times New Roman"/>
          <w:b/>
          <w:i/>
          <w:color w:val="5B9BD5" w:themeColor="accent1"/>
          <w:sz w:val="24"/>
          <w:szCs w:val="24"/>
        </w:rPr>
        <w:t>Types de titres pétroliers octroyés</w:t>
      </w:r>
      <w:bookmarkEnd w:id="113"/>
    </w:p>
    <w:p w14:paraId="27B96BED" w14:textId="77777777" w:rsidR="00C579DE" w:rsidRPr="00840E13" w:rsidRDefault="00C579DE" w:rsidP="00C579DE">
      <w:pPr>
        <w:tabs>
          <w:tab w:val="left" w:pos="720"/>
        </w:tabs>
        <w:spacing w:before="120"/>
        <w:jc w:val="both"/>
        <w:rPr>
          <w:rFonts w:ascii="Times New Roman" w:eastAsia="+mn-ea" w:hAnsi="Times New Roman"/>
          <w:sz w:val="24"/>
          <w:szCs w:val="24"/>
        </w:rPr>
      </w:pPr>
      <w:r w:rsidRPr="00840E13">
        <w:rPr>
          <w:rFonts w:ascii="Times New Roman" w:eastAsia="+mn-ea" w:hAnsi="Times New Roman"/>
          <w:sz w:val="24"/>
          <w:szCs w:val="24"/>
        </w:rPr>
        <w:t>Comme on l’a vu aux points (a) et (b) ci-dessus, nous avons trois types de titres pétroliers qui sont :</w:t>
      </w:r>
    </w:p>
    <w:p w14:paraId="0F6E2DF4" w14:textId="77777777" w:rsidR="00C579DE" w:rsidRPr="00840E13" w:rsidRDefault="00C579DE" w:rsidP="00C579DE">
      <w:pPr>
        <w:pStyle w:val="Paragraphedeliste"/>
        <w:tabs>
          <w:tab w:val="left" w:pos="720"/>
        </w:tabs>
        <w:spacing w:after="0"/>
        <w:ind w:left="851"/>
        <w:jc w:val="both"/>
        <w:rPr>
          <w:rFonts w:ascii="Times New Roman" w:eastAsia="+mn-ea" w:hAnsi="Times New Roman" w:cs="Times New Roman"/>
          <w:sz w:val="24"/>
          <w:szCs w:val="24"/>
        </w:rPr>
      </w:pPr>
      <w:r w:rsidRPr="00840E13">
        <w:rPr>
          <w:rFonts w:ascii="Times New Roman" w:eastAsia="+mn-ea" w:hAnsi="Times New Roman" w:cs="Times New Roman"/>
          <w:sz w:val="24"/>
          <w:szCs w:val="24"/>
        </w:rPr>
        <w:t>- l ’Autorisation de prospection ;</w:t>
      </w:r>
    </w:p>
    <w:p w14:paraId="10E5AEBA" w14:textId="77777777" w:rsidR="00C579DE" w:rsidRPr="00840E13" w:rsidRDefault="00C579DE" w:rsidP="00C579DE">
      <w:pPr>
        <w:pStyle w:val="Paragraphedeliste"/>
        <w:tabs>
          <w:tab w:val="left" w:pos="720"/>
        </w:tabs>
        <w:spacing w:after="0"/>
        <w:ind w:left="851"/>
        <w:jc w:val="both"/>
        <w:rPr>
          <w:rFonts w:ascii="Times New Roman" w:eastAsia="+mn-ea" w:hAnsi="Times New Roman" w:cs="Times New Roman"/>
          <w:sz w:val="24"/>
          <w:szCs w:val="24"/>
        </w:rPr>
      </w:pPr>
      <w:r w:rsidRPr="00840E13">
        <w:rPr>
          <w:rFonts w:ascii="Times New Roman" w:eastAsia="+mn-ea" w:hAnsi="Times New Roman" w:cs="Times New Roman"/>
          <w:sz w:val="24"/>
          <w:szCs w:val="24"/>
        </w:rPr>
        <w:t>- le Permis d’exploration ;</w:t>
      </w:r>
    </w:p>
    <w:p w14:paraId="566CDB2D" w14:textId="5F83BEEB" w:rsidR="00E10AFD" w:rsidRDefault="00C579DE" w:rsidP="00C579DE">
      <w:pPr>
        <w:pStyle w:val="Paragraphedeliste"/>
        <w:tabs>
          <w:tab w:val="left" w:pos="720"/>
        </w:tabs>
        <w:spacing w:after="0"/>
        <w:ind w:left="851"/>
        <w:jc w:val="both"/>
        <w:rPr>
          <w:rFonts w:ascii="Times New Roman" w:eastAsia="+mn-ea" w:hAnsi="Times New Roman" w:cs="Times New Roman"/>
          <w:sz w:val="24"/>
          <w:szCs w:val="24"/>
        </w:rPr>
      </w:pPr>
      <w:r w:rsidRPr="00840E13">
        <w:rPr>
          <w:rFonts w:ascii="Times New Roman" w:eastAsia="+mn-ea" w:hAnsi="Times New Roman" w:cs="Times New Roman"/>
          <w:sz w:val="24"/>
          <w:szCs w:val="24"/>
        </w:rPr>
        <w:t>- le Permis d’exploitation.</w:t>
      </w:r>
    </w:p>
    <w:p w14:paraId="5C401676" w14:textId="77777777" w:rsidR="00E10AFD" w:rsidRDefault="00E10AFD">
      <w:pPr>
        <w:rPr>
          <w:rFonts w:ascii="Times New Roman" w:eastAsia="+mn-ea" w:hAnsi="Times New Roman"/>
          <w:sz w:val="24"/>
          <w:szCs w:val="24"/>
        </w:rPr>
      </w:pPr>
      <w:r>
        <w:rPr>
          <w:rFonts w:ascii="Times New Roman" w:eastAsia="+mn-ea" w:hAnsi="Times New Roman"/>
          <w:sz w:val="24"/>
          <w:szCs w:val="24"/>
        </w:rPr>
        <w:br w:type="page"/>
      </w:r>
    </w:p>
    <w:p w14:paraId="292143BC" w14:textId="77777777" w:rsidR="00C579DE" w:rsidRPr="00E10AFD" w:rsidRDefault="00C579DE" w:rsidP="000738D3">
      <w:pPr>
        <w:pStyle w:val="Paragraphedeliste"/>
        <w:numPr>
          <w:ilvl w:val="0"/>
          <w:numId w:val="63"/>
        </w:numPr>
        <w:ind w:left="709"/>
        <w:rPr>
          <w:rFonts w:ascii="Times New Roman" w:hAnsi="Times New Roman"/>
          <w:i/>
          <w:color w:val="5B9BD5" w:themeColor="accent1"/>
          <w:sz w:val="24"/>
          <w:szCs w:val="24"/>
        </w:rPr>
      </w:pPr>
      <w:r w:rsidRPr="00E10AFD">
        <w:rPr>
          <w:rFonts w:ascii="Times New Roman" w:hAnsi="Times New Roman"/>
          <w:i/>
          <w:color w:val="5B9BD5" w:themeColor="accent1"/>
          <w:sz w:val="24"/>
          <w:szCs w:val="24"/>
        </w:rPr>
        <w:lastRenderedPageBreak/>
        <w:t>De l’extension de titre (permis)</w:t>
      </w:r>
    </w:p>
    <w:p w14:paraId="7C305CD5" w14:textId="77777777" w:rsidR="00C579DE" w:rsidRPr="00232529" w:rsidRDefault="00C579DE" w:rsidP="00C579DE">
      <w:pPr>
        <w:autoSpaceDE w:val="0"/>
        <w:autoSpaceDN w:val="0"/>
        <w:adjustRightInd w:val="0"/>
        <w:spacing w:after="0" w:line="240" w:lineRule="auto"/>
        <w:jc w:val="both"/>
        <w:rPr>
          <w:rFonts w:ascii="Times New Roman" w:hAnsi="Times New Roman"/>
          <w:color w:val="212121"/>
          <w:sz w:val="24"/>
          <w:szCs w:val="24"/>
        </w:rPr>
      </w:pPr>
      <w:r w:rsidRPr="00232529">
        <w:rPr>
          <w:rFonts w:ascii="Times New Roman" w:hAnsi="Times New Roman"/>
          <w:color w:val="212121"/>
          <w:sz w:val="24"/>
          <w:szCs w:val="24"/>
        </w:rPr>
        <w:t>Les articles 63 et 105, respectivement, du Code et du Règlement d’Hydrocarbures n’évoquent que l’extension du bloc. En effet,  au cas où le gisement s’étend au-delà du bloc d’exploitation sur une superficie libre de droit d'exploration, le contractant peut obtenir une extension du bloc initialement couvert par son droit d'exploration.</w:t>
      </w:r>
    </w:p>
    <w:p w14:paraId="666659E7" w14:textId="77777777" w:rsidR="00C579DE" w:rsidRPr="00232529" w:rsidRDefault="00C579DE" w:rsidP="00C579DE">
      <w:pPr>
        <w:autoSpaceDE w:val="0"/>
        <w:autoSpaceDN w:val="0"/>
        <w:adjustRightInd w:val="0"/>
        <w:spacing w:after="0" w:line="240" w:lineRule="auto"/>
        <w:jc w:val="both"/>
        <w:rPr>
          <w:rFonts w:ascii="Times New Roman" w:hAnsi="Times New Roman"/>
          <w:color w:val="212121"/>
          <w:sz w:val="24"/>
          <w:szCs w:val="24"/>
        </w:rPr>
      </w:pPr>
      <w:r w:rsidRPr="00232529">
        <w:rPr>
          <w:rFonts w:ascii="Times New Roman" w:hAnsi="Times New Roman"/>
          <w:color w:val="212121"/>
          <w:sz w:val="24"/>
          <w:szCs w:val="24"/>
        </w:rPr>
        <w:t>En cas d'extension du gisement sur un bloc déjà Couvert par un droit d'exploration attribué à un autre contractant, les différents contractants sont tenus de conclure un accord pour son exploitation.</w:t>
      </w:r>
    </w:p>
    <w:p w14:paraId="7F93DCF0" w14:textId="77777777" w:rsidR="00C579DE" w:rsidRPr="00232529" w:rsidRDefault="00C579DE" w:rsidP="00C579DE">
      <w:pPr>
        <w:autoSpaceDE w:val="0"/>
        <w:autoSpaceDN w:val="0"/>
        <w:adjustRightInd w:val="0"/>
        <w:spacing w:after="0" w:line="240" w:lineRule="auto"/>
        <w:jc w:val="both"/>
        <w:rPr>
          <w:rFonts w:ascii="Times New Roman" w:hAnsi="Times New Roman"/>
          <w:color w:val="212121"/>
          <w:sz w:val="24"/>
          <w:szCs w:val="24"/>
        </w:rPr>
      </w:pPr>
    </w:p>
    <w:p w14:paraId="668FE436" w14:textId="77777777" w:rsidR="00C579DE" w:rsidRPr="00232529" w:rsidRDefault="00C579DE" w:rsidP="00C579DE">
      <w:pPr>
        <w:autoSpaceDE w:val="0"/>
        <w:autoSpaceDN w:val="0"/>
        <w:adjustRightInd w:val="0"/>
        <w:spacing w:after="0" w:line="240" w:lineRule="auto"/>
        <w:jc w:val="both"/>
        <w:rPr>
          <w:rFonts w:ascii="Times New Roman" w:hAnsi="Times New Roman"/>
          <w:color w:val="212121"/>
          <w:sz w:val="24"/>
          <w:szCs w:val="24"/>
        </w:rPr>
      </w:pPr>
      <w:r w:rsidRPr="00232529">
        <w:rPr>
          <w:rFonts w:ascii="Times New Roman" w:hAnsi="Times New Roman"/>
          <w:color w:val="212121"/>
          <w:sz w:val="24"/>
          <w:szCs w:val="24"/>
        </w:rPr>
        <w:t>Selon les informations reçues du SGH, le cas pratique avec TOTAL E&amp;P RDC dans le bloc III, concerne plutôt l’extension du permis et non du bloc.</w:t>
      </w:r>
    </w:p>
    <w:p w14:paraId="3932E3BA" w14:textId="77777777" w:rsidR="00C579DE" w:rsidRPr="00232529" w:rsidRDefault="00C579DE" w:rsidP="00C579DE">
      <w:pPr>
        <w:autoSpaceDE w:val="0"/>
        <w:autoSpaceDN w:val="0"/>
        <w:adjustRightInd w:val="0"/>
        <w:spacing w:after="0" w:line="240" w:lineRule="auto"/>
        <w:jc w:val="both"/>
        <w:rPr>
          <w:rFonts w:ascii="Times New Roman" w:hAnsi="Times New Roman"/>
          <w:color w:val="212121"/>
          <w:sz w:val="24"/>
          <w:szCs w:val="24"/>
        </w:rPr>
      </w:pPr>
    </w:p>
    <w:p w14:paraId="705736ED" w14:textId="77777777" w:rsidR="00C579DE" w:rsidRPr="00232529" w:rsidRDefault="00C579DE" w:rsidP="00C579DE">
      <w:pPr>
        <w:autoSpaceDE w:val="0"/>
        <w:autoSpaceDN w:val="0"/>
        <w:adjustRightInd w:val="0"/>
        <w:spacing w:after="0" w:line="240" w:lineRule="auto"/>
        <w:jc w:val="both"/>
        <w:rPr>
          <w:rFonts w:ascii="Times New Roman" w:hAnsi="Times New Roman"/>
          <w:color w:val="212121"/>
          <w:sz w:val="24"/>
          <w:szCs w:val="24"/>
        </w:rPr>
      </w:pPr>
      <w:r w:rsidRPr="00232529">
        <w:rPr>
          <w:rFonts w:ascii="Times New Roman" w:hAnsi="Times New Roman"/>
          <w:color w:val="212121"/>
          <w:sz w:val="24"/>
          <w:szCs w:val="24"/>
        </w:rPr>
        <w:t>En effet, une extension de permis est accordée par arrêté du Ministre, après examen de la demande et sans frais, au contractant qui n’a pas achevé, dans le délai, le programme des travaux prévus dans le contrat, et qui, de ce fait, sollicite une prorogation de la durée d’exécution des travaux.</w:t>
      </w:r>
    </w:p>
    <w:p w14:paraId="5CE31290" w14:textId="77777777" w:rsidR="00C579DE" w:rsidRPr="00232529" w:rsidRDefault="00C579DE" w:rsidP="00C579DE">
      <w:pPr>
        <w:autoSpaceDE w:val="0"/>
        <w:autoSpaceDN w:val="0"/>
        <w:adjustRightInd w:val="0"/>
        <w:spacing w:after="0" w:line="240" w:lineRule="auto"/>
        <w:jc w:val="both"/>
        <w:rPr>
          <w:rFonts w:ascii="Times New Roman" w:hAnsi="Times New Roman"/>
          <w:color w:val="212121"/>
          <w:sz w:val="24"/>
          <w:szCs w:val="24"/>
        </w:rPr>
      </w:pPr>
    </w:p>
    <w:p w14:paraId="0E4C10E2" w14:textId="77777777" w:rsidR="00C579DE" w:rsidRPr="00232529" w:rsidRDefault="00C579DE" w:rsidP="00C579DE">
      <w:pPr>
        <w:autoSpaceDE w:val="0"/>
        <w:autoSpaceDN w:val="0"/>
        <w:adjustRightInd w:val="0"/>
        <w:spacing w:after="0" w:line="240" w:lineRule="auto"/>
        <w:jc w:val="both"/>
        <w:rPr>
          <w:rFonts w:ascii="Times New Roman" w:hAnsi="Times New Roman"/>
          <w:color w:val="212121"/>
          <w:sz w:val="24"/>
          <w:szCs w:val="24"/>
        </w:rPr>
      </w:pPr>
      <w:r w:rsidRPr="00232529">
        <w:rPr>
          <w:rFonts w:ascii="Times New Roman" w:hAnsi="Times New Roman"/>
          <w:color w:val="212121"/>
          <w:sz w:val="24"/>
          <w:szCs w:val="24"/>
        </w:rPr>
        <w:t>TOTAL a fait les travaux d’exploration jusqu’à la sismique qui a fait état de l’existence de trois prospects à une profondeur de 4 Km. Mais, au regard des conditions climatiques, géographiques et d’accessibilité très difficiles dans la zone d’exploitation, TOTAL a estimé que le projet sera très coûteux et risque de ne pas être rentable. Ces conditions difficiles avaient nécessité des travaux supplémentaires pour la poursuite du programme.</w:t>
      </w:r>
    </w:p>
    <w:p w14:paraId="1730572A" w14:textId="77777777" w:rsidR="00C579DE" w:rsidRPr="00232529" w:rsidRDefault="00C579DE" w:rsidP="00C579DE">
      <w:pPr>
        <w:autoSpaceDE w:val="0"/>
        <w:autoSpaceDN w:val="0"/>
        <w:adjustRightInd w:val="0"/>
        <w:spacing w:after="0" w:line="240" w:lineRule="auto"/>
        <w:jc w:val="both"/>
        <w:rPr>
          <w:rFonts w:ascii="Times New Roman" w:hAnsi="Times New Roman"/>
          <w:color w:val="212121"/>
          <w:sz w:val="24"/>
          <w:szCs w:val="24"/>
        </w:rPr>
      </w:pPr>
      <w:r w:rsidRPr="00232529">
        <w:rPr>
          <w:rFonts w:ascii="Times New Roman" w:hAnsi="Times New Roman"/>
          <w:color w:val="212121"/>
          <w:sz w:val="24"/>
          <w:szCs w:val="24"/>
        </w:rPr>
        <w:t xml:space="preserve">C’est pour cette raison que TOTAL avait demandé l’extension du permis et sollicite du Gouvernement Congolais que les termes du Contrat soient renégocier, notamment pour bénéficier de certaines exonérations, </w:t>
      </w:r>
      <w:r w:rsidRPr="00232529">
        <w:rPr>
          <w:rFonts w:ascii="Times New Roman" w:hAnsi="Times New Roman"/>
          <w:b/>
          <w:color w:val="212121"/>
          <w:sz w:val="24"/>
          <w:szCs w:val="24"/>
        </w:rPr>
        <w:t>avant de procéder aux travaux de forage</w:t>
      </w:r>
      <w:r w:rsidRPr="00232529">
        <w:rPr>
          <w:rFonts w:ascii="Times New Roman" w:hAnsi="Times New Roman"/>
          <w:color w:val="212121"/>
          <w:sz w:val="24"/>
          <w:szCs w:val="24"/>
        </w:rPr>
        <w:t>.</w:t>
      </w:r>
    </w:p>
    <w:p w14:paraId="348CAE6A" w14:textId="77777777" w:rsidR="00C579DE" w:rsidRPr="00232529" w:rsidRDefault="00C579DE" w:rsidP="00C579DE">
      <w:pPr>
        <w:autoSpaceDE w:val="0"/>
        <w:autoSpaceDN w:val="0"/>
        <w:adjustRightInd w:val="0"/>
        <w:spacing w:after="0" w:line="240" w:lineRule="auto"/>
        <w:jc w:val="both"/>
        <w:rPr>
          <w:rFonts w:ascii="Times New Roman" w:hAnsi="Times New Roman"/>
          <w:color w:val="212121"/>
          <w:sz w:val="24"/>
          <w:szCs w:val="24"/>
        </w:rPr>
      </w:pPr>
    </w:p>
    <w:p w14:paraId="140BEF47" w14:textId="77777777" w:rsidR="00C579DE" w:rsidRPr="00232529" w:rsidRDefault="00C579DE" w:rsidP="00C579DE">
      <w:pPr>
        <w:autoSpaceDE w:val="0"/>
        <w:autoSpaceDN w:val="0"/>
        <w:adjustRightInd w:val="0"/>
        <w:spacing w:after="0" w:line="240" w:lineRule="auto"/>
        <w:jc w:val="both"/>
        <w:rPr>
          <w:rFonts w:ascii="Times New Roman" w:hAnsi="Times New Roman"/>
          <w:color w:val="212121"/>
          <w:sz w:val="24"/>
          <w:szCs w:val="24"/>
        </w:rPr>
      </w:pPr>
      <w:r w:rsidRPr="00232529">
        <w:rPr>
          <w:rFonts w:ascii="Times New Roman" w:hAnsi="Times New Roman"/>
          <w:color w:val="212121"/>
          <w:sz w:val="24"/>
          <w:szCs w:val="24"/>
        </w:rPr>
        <w:t xml:space="preserve">Une extension du permis d’une année lui a été accordée. Concernant la renégociation des termes du Contrat, le Gouvernement estime bon de traiter de cette </w:t>
      </w:r>
      <w:r w:rsidRPr="00232529">
        <w:rPr>
          <w:rFonts w:ascii="Times New Roman" w:hAnsi="Times New Roman"/>
          <w:b/>
          <w:color w:val="212121"/>
          <w:sz w:val="24"/>
          <w:szCs w:val="24"/>
        </w:rPr>
        <w:t>question après le forage</w:t>
      </w:r>
      <w:r w:rsidRPr="00232529">
        <w:rPr>
          <w:rFonts w:ascii="Times New Roman" w:hAnsi="Times New Roman"/>
          <w:color w:val="212121"/>
          <w:sz w:val="24"/>
          <w:szCs w:val="24"/>
        </w:rPr>
        <w:t>.</w:t>
      </w:r>
    </w:p>
    <w:p w14:paraId="28E7374F" w14:textId="77777777" w:rsidR="00C579DE" w:rsidRPr="00232529" w:rsidRDefault="00C579DE" w:rsidP="00C579DE">
      <w:pPr>
        <w:autoSpaceDE w:val="0"/>
        <w:autoSpaceDN w:val="0"/>
        <w:adjustRightInd w:val="0"/>
        <w:spacing w:after="0" w:line="240" w:lineRule="auto"/>
        <w:jc w:val="both"/>
        <w:rPr>
          <w:rFonts w:ascii="Times New Roman" w:hAnsi="Times New Roman"/>
          <w:color w:val="212121"/>
          <w:sz w:val="24"/>
          <w:szCs w:val="24"/>
        </w:rPr>
      </w:pPr>
      <w:r w:rsidRPr="00232529">
        <w:rPr>
          <w:rFonts w:ascii="Times New Roman" w:hAnsi="Times New Roman"/>
          <w:color w:val="212121"/>
          <w:sz w:val="24"/>
          <w:szCs w:val="24"/>
        </w:rPr>
        <w:t>C’est là le niveau des discussions.</w:t>
      </w:r>
    </w:p>
    <w:p w14:paraId="4941943C" w14:textId="77777777" w:rsidR="00C579DE" w:rsidRPr="00232529" w:rsidRDefault="00C579DE" w:rsidP="00C579DE">
      <w:pPr>
        <w:autoSpaceDE w:val="0"/>
        <w:autoSpaceDN w:val="0"/>
        <w:adjustRightInd w:val="0"/>
        <w:spacing w:after="0" w:line="240" w:lineRule="auto"/>
        <w:jc w:val="both"/>
        <w:rPr>
          <w:rFonts w:ascii="Times New Roman" w:hAnsi="Times New Roman"/>
          <w:color w:val="212121"/>
          <w:sz w:val="24"/>
          <w:szCs w:val="24"/>
        </w:rPr>
      </w:pPr>
    </w:p>
    <w:p w14:paraId="73E0A706" w14:textId="77777777" w:rsidR="00C579DE" w:rsidRPr="00232529" w:rsidRDefault="00C579DE" w:rsidP="00C579DE">
      <w:pPr>
        <w:autoSpaceDE w:val="0"/>
        <w:autoSpaceDN w:val="0"/>
        <w:adjustRightInd w:val="0"/>
        <w:spacing w:after="0" w:line="240" w:lineRule="auto"/>
        <w:jc w:val="both"/>
        <w:rPr>
          <w:rFonts w:ascii="Times New Roman" w:hAnsi="Times New Roman"/>
          <w:color w:val="212121"/>
          <w:sz w:val="24"/>
          <w:szCs w:val="24"/>
        </w:rPr>
      </w:pPr>
      <w:r w:rsidRPr="00232529">
        <w:rPr>
          <w:rFonts w:ascii="Times New Roman" w:hAnsi="Times New Roman"/>
          <w:color w:val="212121"/>
          <w:sz w:val="24"/>
          <w:szCs w:val="24"/>
        </w:rPr>
        <w:t>L’arrêté du Ministre des Hydrocarbures qui a accordé l’extension de permis à TOTAL peut être consulté sur le site de l’ITIE-RDC.</w:t>
      </w:r>
    </w:p>
    <w:p w14:paraId="0C747A3C" w14:textId="77777777" w:rsidR="00C579DE" w:rsidRPr="00840E13" w:rsidRDefault="00C579DE" w:rsidP="00C579DE">
      <w:pPr>
        <w:autoSpaceDE w:val="0"/>
        <w:autoSpaceDN w:val="0"/>
        <w:adjustRightInd w:val="0"/>
        <w:spacing w:after="0"/>
        <w:jc w:val="both"/>
        <w:rPr>
          <w:rFonts w:ascii="Times New Roman" w:eastAsiaTheme="minorHAnsi" w:hAnsi="Times New Roman"/>
          <w:bCs/>
          <w:color w:val="212121"/>
          <w:sz w:val="24"/>
          <w:szCs w:val="24"/>
        </w:rPr>
      </w:pPr>
    </w:p>
    <w:p w14:paraId="6B81F662" w14:textId="468D15DF" w:rsidR="00C579DE" w:rsidRPr="00840E13" w:rsidRDefault="00C579DE" w:rsidP="00232529">
      <w:pPr>
        <w:pStyle w:val="Titre2"/>
        <w:ind w:left="567" w:hanging="567"/>
        <w:jc w:val="both"/>
        <w:rPr>
          <w:rFonts w:ascii="Times New Roman" w:hAnsi="Times New Roman" w:cs="Times New Roman"/>
          <w:sz w:val="24"/>
          <w:szCs w:val="24"/>
        </w:rPr>
      </w:pPr>
      <w:bookmarkStart w:id="114" w:name="_Toc516047984"/>
      <w:bookmarkStart w:id="115" w:name="_Toc518468068"/>
      <w:r>
        <w:rPr>
          <w:rFonts w:ascii="Times New Roman" w:hAnsi="Times New Roman" w:cs="Times New Roman"/>
          <w:sz w:val="24"/>
          <w:szCs w:val="24"/>
        </w:rPr>
        <w:t xml:space="preserve">II.2. </w:t>
      </w:r>
      <w:r w:rsidR="00A570EC" w:rsidRPr="00840E13">
        <w:rPr>
          <w:rFonts w:ascii="Times New Roman" w:hAnsi="Times New Roman" w:cs="Times New Roman"/>
          <w:caps w:val="0"/>
          <w:sz w:val="24"/>
          <w:szCs w:val="24"/>
        </w:rPr>
        <w:t xml:space="preserve">Procédure d’octroi des droits miniers et/ou de carrières et de la délivrance des titres miniers et de </w:t>
      </w:r>
      <w:bookmarkEnd w:id="114"/>
      <w:r w:rsidR="00A570EC" w:rsidRPr="00840E13">
        <w:rPr>
          <w:rFonts w:ascii="Times New Roman" w:hAnsi="Times New Roman" w:cs="Times New Roman"/>
          <w:caps w:val="0"/>
          <w:sz w:val="24"/>
          <w:szCs w:val="24"/>
        </w:rPr>
        <w:t>carrières</w:t>
      </w:r>
      <w:bookmarkEnd w:id="115"/>
    </w:p>
    <w:p w14:paraId="73D5FC58" w14:textId="77777777" w:rsidR="00C579DE" w:rsidRPr="00840E13" w:rsidRDefault="00C579DE" w:rsidP="00C579DE">
      <w:pPr>
        <w:tabs>
          <w:tab w:val="left" w:pos="8505"/>
        </w:tabs>
        <w:jc w:val="both"/>
        <w:rPr>
          <w:rFonts w:ascii="Times New Roman" w:hAnsi="Times New Roman"/>
          <w:sz w:val="24"/>
          <w:szCs w:val="24"/>
        </w:rPr>
      </w:pPr>
      <w:r w:rsidRPr="00840E13">
        <w:rPr>
          <w:rFonts w:ascii="Times New Roman" w:hAnsi="Times New Roman"/>
          <w:sz w:val="24"/>
          <w:szCs w:val="24"/>
        </w:rPr>
        <w:t>La procédure d’octroi des droits miniers et/ou de carrière est régie par les Articles 33 à 49 du Code Minier tel que modifié et complété par la Loi n</w:t>
      </w:r>
      <w:r w:rsidRPr="00840E13">
        <w:rPr>
          <w:rFonts w:ascii="Times New Roman" w:hAnsi="Times New Roman"/>
          <w:sz w:val="24"/>
          <w:szCs w:val="24"/>
          <w:vertAlign w:val="superscript"/>
        </w:rPr>
        <w:t>o</w:t>
      </w:r>
      <w:r w:rsidRPr="00840E13">
        <w:rPr>
          <w:rFonts w:ascii="Times New Roman" w:hAnsi="Times New Roman"/>
          <w:sz w:val="24"/>
          <w:szCs w:val="24"/>
        </w:rPr>
        <w:t xml:space="preserve"> 18/001 du 09 mars 2018. Elle prévoit l’octroi des titres, soit par voie d’appel d’offres ou par demande des droits. </w:t>
      </w:r>
      <w:r>
        <w:rPr>
          <w:rFonts w:ascii="Times New Roman" w:hAnsi="Times New Roman"/>
          <w:sz w:val="24"/>
          <w:szCs w:val="24"/>
        </w:rPr>
        <w:t xml:space="preserve">La procédure </w:t>
      </w:r>
      <w:r w:rsidRPr="00840E13">
        <w:rPr>
          <w:rFonts w:ascii="Times New Roman" w:hAnsi="Times New Roman"/>
          <w:sz w:val="24"/>
          <w:szCs w:val="24"/>
        </w:rPr>
        <w:t>d’octroi des droits</w:t>
      </w:r>
      <w:r>
        <w:rPr>
          <w:rFonts w:ascii="Times New Roman" w:hAnsi="Times New Roman"/>
          <w:sz w:val="24"/>
          <w:szCs w:val="24"/>
        </w:rPr>
        <w:t xml:space="preserve"> </w:t>
      </w:r>
      <w:r w:rsidRPr="00840E13">
        <w:rPr>
          <w:rFonts w:ascii="Times New Roman" w:hAnsi="Times New Roman"/>
          <w:sz w:val="24"/>
          <w:szCs w:val="24"/>
        </w:rPr>
        <w:t>par voie d’appel d’offres</w:t>
      </w:r>
      <w:r>
        <w:rPr>
          <w:rFonts w:ascii="Times New Roman" w:hAnsi="Times New Roman"/>
          <w:sz w:val="24"/>
          <w:szCs w:val="24"/>
        </w:rPr>
        <w:t xml:space="preserve"> est requise pour </w:t>
      </w:r>
      <w:r w:rsidRPr="00840E13">
        <w:rPr>
          <w:rFonts w:ascii="Times New Roman" w:hAnsi="Times New Roman"/>
          <w:iCs/>
          <w:color w:val="000000"/>
          <w:sz w:val="24"/>
          <w:szCs w:val="24"/>
        </w:rPr>
        <w:t>tout</w:t>
      </w:r>
      <w:r w:rsidRPr="00840E13">
        <w:rPr>
          <w:rFonts w:ascii="Times New Roman" w:hAnsi="Times New Roman"/>
          <w:sz w:val="24"/>
          <w:szCs w:val="24"/>
        </w:rPr>
        <w:t xml:space="preserve"> </w:t>
      </w:r>
      <w:r w:rsidRPr="00840E13">
        <w:rPr>
          <w:rFonts w:ascii="Times New Roman" w:hAnsi="Times New Roman"/>
          <w:iCs/>
          <w:color w:val="000000"/>
          <w:sz w:val="24"/>
          <w:szCs w:val="24"/>
        </w:rPr>
        <w:t>gisement é</w:t>
      </w:r>
      <w:r>
        <w:rPr>
          <w:rFonts w:ascii="Times New Roman" w:hAnsi="Times New Roman"/>
          <w:iCs/>
          <w:color w:val="000000"/>
          <w:sz w:val="24"/>
          <w:szCs w:val="24"/>
        </w:rPr>
        <w:t>tudié et</w:t>
      </w:r>
      <w:r w:rsidRPr="00840E13">
        <w:rPr>
          <w:rFonts w:ascii="Times New Roman" w:hAnsi="Times New Roman"/>
          <w:iCs/>
          <w:color w:val="000000"/>
          <w:sz w:val="24"/>
          <w:szCs w:val="24"/>
        </w:rPr>
        <w:t xml:space="preserve"> documenté</w:t>
      </w:r>
      <w:r>
        <w:rPr>
          <w:rFonts w:ascii="Times New Roman" w:hAnsi="Times New Roman"/>
          <w:iCs/>
          <w:color w:val="000000"/>
          <w:sz w:val="24"/>
          <w:szCs w:val="24"/>
        </w:rPr>
        <w:t xml:space="preserve"> par l’Etat.</w:t>
      </w:r>
      <w:r>
        <w:rPr>
          <w:rFonts w:ascii="Times New Roman" w:hAnsi="Times New Roman"/>
          <w:sz w:val="24"/>
          <w:szCs w:val="24"/>
        </w:rPr>
        <w:t xml:space="preserve"> </w:t>
      </w:r>
    </w:p>
    <w:p w14:paraId="733EA7CA" w14:textId="77777777" w:rsidR="00C579DE" w:rsidRPr="0056364C" w:rsidRDefault="00C579DE" w:rsidP="000738D3">
      <w:pPr>
        <w:pStyle w:val="Paragraphedeliste"/>
        <w:numPr>
          <w:ilvl w:val="0"/>
          <w:numId w:val="64"/>
        </w:numPr>
        <w:ind w:left="567" w:hanging="282"/>
        <w:rPr>
          <w:rFonts w:ascii="Times New Roman" w:hAnsi="Times New Roman"/>
          <w:b/>
          <w:i/>
          <w:color w:val="5B9BD5" w:themeColor="accent1"/>
          <w:sz w:val="24"/>
          <w:szCs w:val="24"/>
        </w:rPr>
      </w:pPr>
      <w:bookmarkStart w:id="116" w:name="_Toc516047985"/>
      <w:r w:rsidRPr="0056364C">
        <w:rPr>
          <w:rFonts w:ascii="Times New Roman" w:hAnsi="Times New Roman"/>
          <w:b/>
          <w:i/>
          <w:color w:val="5B9BD5" w:themeColor="accent1"/>
          <w:sz w:val="24"/>
          <w:szCs w:val="24"/>
        </w:rPr>
        <w:t>Octroi des droits par appel d’offres (art. 33 al. 1, 2, 3, 4 et 7)</w:t>
      </w:r>
      <w:bookmarkEnd w:id="116"/>
      <w:r w:rsidRPr="0056364C">
        <w:rPr>
          <w:rFonts w:ascii="Times New Roman" w:hAnsi="Times New Roman"/>
          <w:b/>
          <w:i/>
          <w:color w:val="5B9BD5" w:themeColor="accent1"/>
          <w:sz w:val="24"/>
          <w:szCs w:val="24"/>
        </w:rPr>
        <w:t xml:space="preserve"> </w:t>
      </w:r>
    </w:p>
    <w:p w14:paraId="45B7D8E8"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sz w:val="24"/>
          <w:szCs w:val="24"/>
        </w:rPr>
      </w:pPr>
      <w:r w:rsidRPr="00840E13">
        <w:rPr>
          <w:rFonts w:ascii="Times New Roman" w:hAnsi="Times New Roman"/>
          <w:iCs/>
          <w:color w:val="000000"/>
          <w:sz w:val="24"/>
          <w:szCs w:val="24"/>
        </w:rPr>
        <w:t>Le Gouvernement, par le truchement du Ministre, soumet à l’appel d’offres, ouvert ou restreint, les</w:t>
      </w:r>
      <w:r w:rsidRPr="00840E13">
        <w:rPr>
          <w:rFonts w:ascii="Times New Roman" w:hAnsi="Times New Roman"/>
          <w:sz w:val="24"/>
          <w:szCs w:val="24"/>
        </w:rPr>
        <w:t xml:space="preserve"> </w:t>
      </w:r>
      <w:r w:rsidRPr="00840E13">
        <w:rPr>
          <w:rFonts w:ascii="Times New Roman" w:hAnsi="Times New Roman"/>
          <w:iCs/>
          <w:color w:val="000000"/>
          <w:sz w:val="24"/>
          <w:szCs w:val="24"/>
        </w:rPr>
        <w:t>droits miniers et de carrières portant sur tout</w:t>
      </w:r>
      <w:r w:rsidRPr="00840E13">
        <w:rPr>
          <w:rFonts w:ascii="Times New Roman" w:hAnsi="Times New Roman"/>
          <w:sz w:val="24"/>
          <w:szCs w:val="24"/>
        </w:rPr>
        <w:t xml:space="preserve"> </w:t>
      </w:r>
      <w:r w:rsidRPr="00840E13">
        <w:rPr>
          <w:rFonts w:ascii="Times New Roman" w:hAnsi="Times New Roman"/>
          <w:iCs/>
          <w:color w:val="000000"/>
          <w:sz w:val="24"/>
          <w:szCs w:val="24"/>
        </w:rPr>
        <w:t>gisement étudié, documenté ou éventuellement</w:t>
      </w:r>
      <w:r w:rsidRPr="00840E13">
        <w:rPr>
          <w:rFonts w:ascii="Times New Roman" w:hAnsi="Times New Roman"/>
          <w:sz w:val="24"/>
          <w:szCs w:val="24"/>
        </w:rPr>
        <w:t xml:space="preserve"> </w:t>
      </w:r>
      <w:r w:rsidRPr="00840E13">
        <w:rPr>
          <w:rFonts w:ascii="Times New Roman" w:hAnsi="Times New Roman"/>
          <w:iCs/>
          <w:color w:val="000000"/>
          <w:sz w:val="24"/>
          <w:szCs w:val="24"/>
        </w:rPr>
        <w:t xml:space="preserve">travaillé par l’Etat, à travers ses services. </w:t>
      </w:r>
    </w:p>
    <w:p w14:paraId="3909251B"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sz w:val="24"/>
          <w:szCs w:val="24"/>
        </w:rPr>
      </w:pPr>
    </w:p>
    <w:p w14:paraId="2EE15B12"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r w:rsidRPr="00840E13">
        <w:rPr>
          <w:rFonts w:ascii="Times New Roman" w:hAnsi="Times New Roman"/>
          <w:iCs/>
          <w:color w:val="000000"/>
          <w:sz w:val="24"/>
          <w:szCs w:val="24"/>
        </w:rPr>
        <w:t xml:space="preserve">Dans ce cas, le Ministre réserve, par arrêté, les droits miniers sur le gisement à soumettre à l’appel d’offres. Avant de réserver des autorisations des carrières pour l’appel d’offres, le Ministre consulte le Ministre provincial des mines et la communauté locale concernée dans le cadre d’une commission de consultation dont les modalités sont fixées par voie réglementaire. </w:t>
      </w:r>
    </w:p>
    <w:p w14:paraId="166F8859"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r w:rsidRPr="00840E13">
        <w:rPr>
          <w:rFonts w:ascii="Times New Roman" w:hAnsi="Times New Roman"/>
          <w:iCs/>
          <w:color w:val="000000"/>
          <w:sz w:val="24"/>
          <w:szCs w:val="24"/>
        </w:rPr>
        <w:lastRenderedPageBreak/>
        <w:t xml:space="preserve">La réservation des droits miniers et/ ou de carrières sur le gisement soumis à l’appel d’offres est confirmée par le Premier Ministre dans les trente jours de l’entrée en vigueur de l’arrêté y relatif du Ministre. </w:t>
      </w:r>
    </w:p>
    <w:p w14:paraId="4FCE8AC2"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p>
    <w:p w14:paraId="41AE18CE" w14:textId="77777777" w:rsidR="00C579DE" w:rsidRPr="00840E13" w:rsidRDefault="00C579DE" w:rsidP="00C579DE">
      <w:pPr>
        <w:tabs>
          <w:tab w:val="left" w:pos="8505"/>
        </w:tabs>
        <w:spacing w:after="120"/>
        <w:jc w:val="both"/>
        <w:rPr>
          <w:rFonts w:ascii="Times New Roman" w:hAnsi="Times New Roman"/>
          <w:sz w:val="24"/>
          <w:szCs w:val="24"/>
        </w:rPr>
      </w:pPr>
      <w:r w:rsidRPr="00840E13">
        <w:rPr>
          <w:rFonts w:ascii="Times New Roman" w:hAnsi="Times New Roman"/>
          <w:sz w:val="24"/>
          <w:szCs w:val="24"/>
        </w:rPr>
        <w:t>Les offres déposées sont examinées promptement par une Commission Interministérielle dont les membres sont nommés et convoqués par le Ministre afin de sélectionner la meilleure offre. Celle-ci est sélectionnée sur la base des critères suivants :</w:t>
      </w:r>
    </w:p>
    <w:p w14:paraId="4EFA78FE" w14:textId="77777777" w:rsidR="00C579DE" w:rsidRPr="00840E13" w:rsidRDefault="00C579DE" w:rsidP="00C579DE">
      <w:pPr>
        <w:tabs>
          <w:tab w:val="left" w:pos="8505"/>
        </w:tabs>
        <w:spacing w:after="0"/>
        <w:ind w:left="1134" w:hanging="284"/>
        <w:jc w:val="both"/>
        <w:rPr>
          <w:rFonts w:ascii="Times New Roman" w:hAnsi="Times New Roman"/>
          <w:sz w:val="24"/>
          <w:szCs w:val="24"/>
        </w:rPr>
      </w:pPr>
      <w:r w:rsidRPr="00840E13">
        <w:rPr>
          <w:rFonts w:ascii="Times New Roman" w:hAnsi="Times New Roman"/>
          <w:sz w:val="24"/>
          <w:szCs w:val="24"/>
        </w:rPr>
        <w:t xml:space="preserve">a) le programme des opérations proposées et des engagements des dépenses financières y afférentes ; </w:t>
      </w:r>
    </w:p>
    <w:p w14:paraId="7A008029" w14:textId="77777777" w:rsidR="00C579DE" w:rsidRPr="00840E13" w:rsidRDefault="00C579DE" w:rsidP="00C579DE">
      <w:pPr>
        <w:tabs>
          <w:tab w:val="left" w:pos="8505"/>
        </w:tabs>
        <w:spacing w:after="0"/>
        <w:ind w:left="1134" w:hanging="284"/>
        <w:jc w:val="both"/>
        <w:rPr>
          <w:rFonts w:ascii="Times New Roman" w:hAnsi="Times New Roman"/>
          <w:sz w:val="24"/>
          <w:szCs w:val="24"/>
        </w:rPr>
      </w:pPr>
      <w:r w:rsidRPr="00840E13">
        <w:rPr>
          <w:rFonts w:ascii="Times New Roman" w:hAnsi="Times New Roman"/>
          <w:sz w:val="24"/>
          <w:szCs w:val="24"/>
        </w:rPr>
        <w:t xml:space="preserve">b) les ressources financières et techniques disponibles de l’offrant ; </w:t>
      </w:r>
    </w:p>
    <w:p w14:paraId="0041A793" w14:textId="77777777" w:rsidR="00C579DE" w:rsidRPr="00840E13" w:rsidRDefault="00C579DE" w:rsidP="00C579DE">
      <w:pPr>
        <w:tabs>
          <w:tab w:val="left" w:pos="8505"/>
        </w:tabs>
        <w:spacing w:after="0"/>
        <w:ind w:left="1134" w:hanging="284"/>
        <w:jc w:val="both"/>
        <w:rPr>
          <w:rFonts w:ascii="Times New Roman" w:hAnsi="Times New Roman"/>
          <w:sz w:val="24"/>
          <w:szCs w:val="24"/>
        </w:rPr>
      </w:pPr>
      <w:r w:rsidRPr="00840E13">
        <w:rPr>
          <w:rFonts w:ascii="Times New Roman" w:hAnsi="Times New Roman"/>
          <w:sz w:val="24"/>
          <w:szCs w:val="24"/>
        </w:rPr>
        <w:t>c) l’expérience antérieure de l’offrant dans la conduite des opérations proposées ; et</w:t>
      </w:r>
    </w:p>
    <w:p w14:paraId="71C65D7C" w14:textId="77777777" w:rsidR="00C579DE" w:rsidRPr="00840E13" w:rsidRDefault="00C579DE" w:rsidP="00C579DE">
      <w:pPr>
        <w:tabs>
          <w:tab w:val="left" w:pos="8505"/>
        </w:tabs>
        <w:spacing w:after="0"/>
        <w:ind w:left="1134" w:hanging="284"/>
        <w:jc w:val="both"/>
        <w:rPr>
          <w:rFonts w:ascii="Times New Roman" w:hAnsi="Times New Roman"/>
          <w:sz w:val="24"/>
          <w:szCs w:val="24"/>
        </w:rPr>
      </w:pPr>
      <w:r w:rsidRPr="00840E13">
        <w:rPr>
          <w:rFonts w:ascii="Times New Roman" w:hAnsi="Times New Roman"/>
          <w:sz w:val="24"/>
          <w:szCs w:val="24"/>
        </w:rPr>
        <w:t>d) divers autres avantages socio-économiques pour l’Etat, la province et la communauté environnante, y compris le bonus de signature offert.</w:t>
      </w:r>
    </w:p>
    <w:p w14:paraId="61FD48E5" w14:textId="77777777" w:rsidR="00C579DE" w:rsidRPr="00840E13" w:rsidRDefault="00C579DE" w:rsidP="00C579DE">
      <w:pPr>
        <w:tabs>
          <w:tab w:val="left" w:pos="8505"/>
        </w:tabs>
        <w:jc w:val="both"/>
        <w:rPr>
          <w:rFonts w:ascii="Times New Roman" w:hAnsi="Times New Roman"/>
          <w:sz w:val="24"/>
          <w:szCs w:val="24"/>
        </w:rPr>
      </w:pPr>
      <w:r w:rsidRPr="00840E13">
        <w:rPr>
          <w:rFonts w:ascii="Times New Roman" w:hAnsi="Times New Roman"/>
          <w:sz w:val="24"/>
          <w:szCs w:val="24"/>
        </w:rPr>
        <w:t>A la fin de la procédure, le Ministre publie le résultat de la sélection et la levée de la réservation.</w:t>
      </w:r>
      <w:r>
        <w:rPr>
          <w:rFonts w:ascii="Times New Roman" w:hAnsi="Times New Roman"/>
          <w:sz w:val="24"/>
          <w:szCs w:val="24"/>
        </w:rPr>
        <w:t xml:space="preserve"> La publication se fait au Journal Officiel, dans les journaux locaux et internationaux spécialisés. </w:t>
      </w:r>
    </w:p>
    <w:p w14:paraId="4CE2622A" w14:textId="77777777" w:rsidR="00C579DE"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r w:rsidRPr="00840E13">
        <w:rPr>
          <w:rFonts w:ascii="Times New Roman" w:hAnsi="Times New Roman"/>
          <w:iCs/>
          <w:color w:val="000000"/>
          <w:sz w:val="24"/>
          <w:szCs w:val="24"/>
        </w:rPr>
        <w:t xml:space="preserve">L’appel d’offres est conclu endéans neuf mois à compter de la réservation du gisement à soumettre à l’appel d’offres. Elle se fait conformément à la procédure prévue par la législation congolaise en matière de passation des marchés publics et à celle généralement admise ou reconnue par la pratique minière internationale. </w:t>
      </w:r>
    </w:p>
    <w:p w14:paraId="23DCD175" w14:textId="77777777" w:rsidR="00C579DE"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p>
    <w:p w14:paraId="695C3411" w14:textId="77777777" w:rsidR="00C579DE"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p>
    <w:p w14:paraId="114663B8"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r>
        <w:rPr>
          <w:rFonts w:ascii="Times New Roman" w:hAnsi="Times New Roman"/>
          <w:b/>
          <w:bCs/>
          <w:iCs/>
          <w:color w:val="000000"/>
          <w:sz w:val="24"/>
          <w:szCs w:val="24"/>
        </w:rPr>
        <w:t>Procédure d’octroi des droits miniers par appel d’offres</w:t>
      </w:r>
    </w:p>
    <w:p w14:paraId="546C40C4"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r w:rsidRPr="00840E13">
        <w:rPr>
          <w:rFonts w:ascii="Times New Roman" w:hAnsi="Times New Roman"/>
          <w:b/>
          <w:bCs/>
          <w:iCs/>
          <w:color w:val="000000"/>
          <w:sz w:val="24"/>
          <w:szCs w:val="24"/>
        </w:rPr>
        <w:t xml:space="preserve"> </w:t>
      </w:r>
      <w:r w:rsidRPr="00840E13">
        <w:rPr>
          <w:rFonts w:ascii="Times New Roman" w:hAnsi="Times New Roman"/>
          <w:iCs/>
          <w:noProof/>
          <w:color w:val="000000"/>
          <w:sz w:val="24"/>
          <w:szCs w:val="24"/>
          <w:lang w:eastAsia="fr-FR"/>
        </w:rPr>
        <w:drawing>
          <wp:inline distT="0" distB="0" distL="0" distR="0" wp14:anchorId="7A639ACB" wp14:editId="5A366A16">
            <wp:extent cx="6304648" cy="3514725"/>
            <wp:effectExtent l="0" t="0" r="127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ma procedure d'octroi licence minier.jpg"/>
                    <pic:cNvPicPr/>
                  </pic:nvPicPr>
                  <pic:blipFill rotWithShape="1">
                    <a:blip r:embed="rId34" cstate="print">
                      <a:extLst>
                        <a:ext uri="{28A0092B-C50C-407E-A947-70E740481C1C}">
                          <a14:useLocalDpi xmlns:a14="http://schemas.microsoft.com/office/drawing/2010/main" val="0"/>
                        </a:ext>
                      </a:extLst>
                    </a:blip>
                    <a:srcRect t="11933"/>
                    <a:stretch/>
                  </pic:blipFill>
                  <pic:spPr bwMode="auto">
                    <a:xfrm>
                      <a:off x="0" y="0"/>
                      <a:ext cx="6303645" cy="3514166"/>
                    </a:xfrm>
                    <a:prstGeom prst="rect">
                      <a:avLst/>
                    </a:prstGeom>
                    <a:ln>
                      <a:noFill/>
                    </a:ln>
                    <a:extLst>
                      <a:ext uri="{53640926-AAD7-44D8-BBD7-CCE9431645EC}">
                        <a14:shadowObscured xmlns:a14="http://schemas.microsoft.com/office/drawing/2010/main"/>
                      </a:ext>
                    </a:extLst>
                  </pic:spPr>
                </pic:pic>
              </a:graphicData>
            </a:graphic>
          </wp:inline>
        </w:drawing>
      </w:r>
    </w:p>
    <w:p w14:paraId="57FD7E83" w14:textId="77777777" w:rsidR="00C579DE" w:rsidRPr="00A12860" w:rsidRDefault="00C579DE" w:rsidP="00A12860">
      <w:pPr>
        <w:pStyle w:val="Paragraphedeliste"/>
        <w:numPr>
          <w:ilvl w:val="0"/>
          <w:numId w:val="65"/>
        </w:numPr>
        <w:rPr>
          <w:rFonts w:ascii="Times New Roman" w:hAnsi="Times New Roman"/>
          <w:b/>
          <w:i/>
          <w:sz w:val="24"/>
          <w:szCs w:val="24"/>
        </w:rPr>
      </w:pPr>
      <w:bookmarkStart w:id="117" w:name="_Toc516047986"/>
      <w:r w:rsidRPr="00A12860">
        <w:rPr>
          <w:rFonts w:ascii="Times New Roman" w:hAnsi="Times New Roman"/>
          <w:b/>
          <w:i/>
          <w:sz w:val="24"/>
          <w:szCs w:val="24"/>
        </w:rPr>
        <w:t xml:space="preserve">Octroi par demande des droits (art. 34 al. </w:t>
      </w:r>
      <w:proofErr w:type="gramStart"/>
      <w:r w:rsidRPr="00A12860">
        <w:rPr>
          <w:rFonts w:ascii="Times New Roman" w:hAnsi="Times New Roman"/>
          <w:b/>
          <w:i/>
          <w:sz w:val="24"/>
          <w:szCs w:val="24"/>
        </w:rPr>
        <w:t>1er )</w:t>
      </w:r>
      <w:bookmarkEnd w:id="117"/>
      <w:proofErr w:type="gramEnd"/>
    </w:p>
    <w:p w14:paraId="32EB433A" w14:textId="77777777" w:rsidR="00C579DE" w:rsidRPr="00840E13" w:rsidRDefault="00C579DE" w:rsidP="00C579DE">
      <w:pPr>
        <w:autoSpaceDE w:val="0"/>
        <w:autoSpaceDN w:val="0"/>
        <w:adjustRightInd w:val="0"/>
        <w:spacing w:after="0" w:line="240" w:lineRule="auto"/>
        <w:jc w:val="both"/>
        <w:rPr>
          <w:rFonts w:ascii="Times New Roman" w:hAnsi="Times New Roman"/>
          <w:sz w:val="24"/>
          <w:szCs w:val="24"/>
        </w:rPr>
      </w:pPr>
      <w:r w:rsidRPr="00840E13">
        <w:rPr>
          <w:rFonts w:ascii="Times New Roman" w:hAnsi="Times New Roman"/>
          <w:iCs/>
          <w:color w:val="000000"/>
          <w:sz w:val="24"/>
          <w:szCs w:val="24"/>
        </w:rPr>
        <w:t>Sans préjudice de l’octroi des droits miniers et/ou de carrières suivant la procédure d’appel d’offres prévue</w:t>
      </w:r>
      <w:r w:rsidRPr="00840E13">
        <w:rPr>
          <w:rFonts w:ascii="Times New Roman" w:hAnsi="Times New Roman"/>
          <w:sz w:val="24"/>
          <w:szCs w:val="24"/>
        </w:rPr>
        <w:t xml:space="preserve"> </w:t>
      </w:r>
      <w:r w:rsidRPr="00840E13">
        <w:rPr>
          <w:rFonts w:ascii="Times New Roman" w:hAnsi="Times New Roman"/>
          <w:iCs/>
          <w:color w:val="000000"/>
          <w:sz w:val="24"/>
          <w:szCs w:val="24"/>
        </w:rPr>
        <w:t>à l’article 33 ci-dessus, et sauf si elles sont</w:t>
      </w:r>
      <w:r w:rsidRPr="00840E13">
        <w:rPr>
          <w:rFonts w:ascii="Times New Roman" w:hAnsi="Times New Roman"/>
          <w:sz w:val="24"/>
          <w:szCs w:val="24"/>
        </w:rPr>
        <w:t xml:space="preserve"> </w:t>
      </w:r>
      <w:r w:rsidRPr="00840E13">
        <w:rPr>
          <w:rFonts w:ascii="Times New Roman" w:hAnsi="Times New Roman"/>
          <w:iCs/>
          <w:color w:val="000000"/>
          <w:sz w:val="24"/>
          <w:szCs w:val="24"/>
        </w:rPr>
        <w:t>irrecevables, les demandes des droits miniers et/ou</w:t>
      </w:r>
      <w:r w:rsidRPr="00840E13">
        <w:rPr>
          <w:rFonts w:ascii="Times New Roman" w:hAnsi="Times New Roman"/>
          <w:sz w:val="24"/>
          <w:szCs w:val="24"/>
        </w:rPr>
        <w:t xml:space="preserve"> </w:t>
      </w:r>
      <w:r w:rsidRPr="00840E13">
        <w:rPr>
          <w:rFonts w:ascii="Times New Roman" w:hAnsi="Times New Roman"/>
          <w:iCs/>
          <w:color w:val="000000"/>
          <w:sz w:val="24"/>
          <w:szCs w:val="24"/>
        </w:rPr>
        <w:lastRenderedPageBreak/>
        <w:t>de carrières pour un périmètre donné sont inscrites</w:t>
      </w:r>
      <w:r w:rsidRPr="00840E13">
        <w:rPr>
          <w:rFonts w:ascii="Times New Roman" w:hAnsi="Times New Roman"/>
          <w:sz w:val="24"/>
          <w:szCs w:val="24"/>
        </w:rPr>
        <w:t xml:space="preserve"> </w:t>
      </w:r>
      <w:r w:rsidRPr="00840E13">
        <w:rPr>
          <w:rFonts w:ascii="Times New Roman" w:hAnsi="Times New Roman"/>
          <w:iCs/>
          <w:color w:val="000000"/>
          <w:sz w:val="24"/>
          <w:szCs w:val="24"/>
        </w:rPr>
        <w:t xml:space="preserve">dans l’ordre chronologique de leur dépôt suivant </w:t>
      </w:r>
      <w:r w:rsidRPr="00840E13">
        <w:rPr>
          <w:rFonts w:ascii="Times New Roman" w:hAnsi="Times New Roman"/>
          <w:sz w:val="24"/>
          <w:szCs w:val="24"/>
        </w:rPr>
        <w:t>la règle du premier-venu premier-servi.</w:t>
      </w:r>
    </w:p>
    <w:p w14:paraId="067EE788"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sz w:val="24"/>
          <w:szCs w:val="24"/>
        </w:rPr>
      </w:pPr>
      <w:r w:rsidRPr="00840E13">
        <w:rPr>
          <w:rFonts w:ascii="Times New Roman" w:hAnsi="Times New Roman"/>
          <w:iCs/>
          <w:color w:val="000000"/>
          <w:sz w:val="24"/>
          <w:szCs w:val="24"/>
        </w:rPr>
        <w:t xml:space="preserve"> </w:t>
      </w:r>
    </w:p>
    <w:p w14:paraId="4D850F9E"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sz w:val="24"/>
          <w:szCs w:val="24"/>
        </w:rPr>
      </w:pPr>
      <w:r w:rsidRPr="00840E13">
        <w:rPr>
          <w:rFonts w:ascii="Times New Roman" w:hAnsi="Times New Roman"/>
          <w:bCs/>
          <w:iCs/>
          <w:color w:val="000000"/>
          <w:sz w:val="24"/>
          <w:szCs w:val="24"/>
        </w:rPr>
        <w:t>Conformément à l’article 35 al. 1</w:t>
      </w:r>
      <w:r w:rsidRPr="00840E13">
        <w:rPr>
          <w:rFonts w:ascii="Times New Roman" w:hAnsi="Times New Roman"/>
          <w:bCs/>
          <w:iCs/>
          <w:color w:val="000000"/>
          <w:sz w:val="24"/>
          <w:szCs w:val="24"/>
          <w:vertAlign w:val="superscript"/>
        </w:rPr>
        <w:t xml:space="preserve">er </w:t>
      </w:r>
      <w:r w:rsidRPr="00840E13">
        <w:rPr>
          <w:rFonts w:ascii="Times New Roman" w:hAnsi="Times New Roman"/>
          <w:sz w:val="24"/>
          <w:szCs w:val="24"/>
        </w:rPr>
        <w:t>tel que modifié et complété, t</w:t>
      </w:r>
      <w:r w:rsidRPr="00840E13">
        <w:rPr>
          <w:rFonts w:ascii="Times New Roman" w:hAnsi="Times New Roman"/>
          <w:iCs/>
          <w:color w:val="000000"/>
          <w:sz w:val="24"/>
          <w:szCs w:val="24"/>
        </w:rPr>
        <w:t>oute demande des droits miniers ou de carrières est rédigée sur un formulaire à retirer auprès du</w:t>
      </w:r>
      <w:r w:rsidRPr="00840E13">
        <w:rPr>
          <w:rFonts w:ascii="Times New Roman" w:hAnsi="Times New Roman"/>
          <w:sz w:val="24"/>
          <w:szCs w:val="24"/>
        </w:rPr>
        <w:t xml:space="preserve"> </w:t>
      </w:r>
      <w:r w:rsidRPr="00840E13">
        <w:rPr>
          <w:rFonts w:ascii="Times New Roman" w:hAnsi="Times New Roman"/>
          <w:iCs/>
          <w:color w:val="000000"/>
          <w:sz w:val="24"/>
          <w:szCs w:val="24"/>
        </w:rPr>
        <w:t>Cadastre minier pour le droit concerné et comprend</w:t>
      </w:r>
      <w:r w:rsidRPr="00840E13">
        <w:rPr>
          <w:rFonts w:ascii="Times New Roman" w:hAnsi="Times New Roman"/>
          <w:sz w:val="24"/>
          <w:szCs w:val="24"/>
        </w:rPr>
        <w:t xml:space="preserve"> </w:t>
      </w:r>
      <w:r w:rsidRPr="00840E13">
        <w:rPr>
          <w:rFonts w:ascii="Times New Roman" w:hAnsi="Times New Roman"/>
          <w:iCs/>
          <w:color w:val="000000"/>
          <w:sz w:val="24"/>
          <w:szCs w:val="24"/>
        </w:rPr>
        <w:t xml:space="preserve">des renseignements ci-après : </w:t>
      </w:r>
    </w:p>
    <w:p w14:paraId="04B4F79E" w14:textId="77777777" w:rsidR="00C579DE" w:rsidRPr="00840E13" w:rsidRDefault="00C579DE" w:rsidP="000738D3">
      <w:pPr>
        <w:pStyle w:val="Paragraphedeliste"/>
        <w:numPr>
          <w:ilvl w:val="0"/>
          <w:numId w:val="2"/>
        </w:numPr>
        <w:tabs>
          <w:tab w:val="left" w:pos="3119"/>
        </w:tabs>
        <w:autoSpaceDE w:val="0"/>
        <w:autoSpaceDN w:val="0"/>
        <w:adjustRightInd w:val="0"/>
        <w:spacing w:before="240" w:after="0"/>
        <w:ind w:left="993" w:hanging="284"/>
        <w:jc w:val="both"/>
        <w:rPr>
          <w:rFonts w:ascii="Times New Roman" w:hAnsi="Times New Roman" w:cs="Times New Roman"/>
          <w:iCs/>
          <w:color w:val="000000"/>
          <w:sz w:val="24"/>
          <w:szCs w:val="24"/>
        </w:rPr>
      </w:pPr>
      <w:r w:rsidRPr="00840E13">
        <w:rPr>
          <w:rFonts w:ascii="Times New Roman" w:hAnsi="Times New Roman" w:cs="Times New Roman"/>
          <w:iCs/>
          <w:color w:val="000000"/>
          <w:sz w:val="24"/>
          <w:szCs w:val="24"/>
        </w:rPr>
        <w:t xml:space="preserve">les statuts, l’inscription au Registre de Commerce et de Crédit Mobilier, et la preuve de  publication au Journal officiel ;  </w:t>
      </w:r>
    </w:p>
    <w:p w14:paraId="2D8C2C5C" w14:textId="77777777" w:rsidR="00C579DE" w:rsidRPr="00840E13" w:rsidRDefault="00C579DE" w:rsidP="000738D3">
      <w:pPr>
        <w:pStyle w:val="Paragraphedeliste"/>
        <w:numPr>
          <w:ilvl w:val="0"/>
          <w:numId w:val="2"/>
        </w:numPr>
        <w:tabs>
          <w:tab w:val="left" w:pos="3119"/>
        </w:tabs>
        <w:autoSpaceDE w:val="0"/>
        <w:autoSpaceDN w:val="0"/>
        <w:adjustRightInd w:val="0"/>
        <w:spacing w:before="240" w:after="0"/>
        <w:ind w:left="993" w:hanging="284"/>
        <w:jc w:val="both"/>
        <w:rPr>
          <w:rFonts w:ascii="Times New Roman" w:hAnsi="Times New Roman" w:cs="Times New Roman"/>
          <w:iCs/>
          <w:color w:val="000000"/>
          <w:sz w:val="24"/>
          <w:szCs w:val="24"/>
        </w:rPr>
      </w:pPr>
      <w:r w:rsidRPr="00840E13">
        <w:rPr>
          <w:rFonts w:ascii="Times New Roman" w:hAnsi="Times New Roman" w:cs="Times New Roman"/>
          <w:iCs/>
          <w:color w:val="000000"/>
          <w:sz w:val="24"/>
          <w:szCs w:val="24"/>
        </w:rPr>
        <w:t xml:space="preserve">les renseignements sur l’identifiant fiscal ; </w:t>
      </w:r>
    </w:p>
    <w:p w14:paraId="758E9598" w14:textId="77777777" w:rsidR="00C579DE" w:rsidRPr="00840E13" w:rsidRDefault="00C579DE" w:rsidP="000738D3">
      <w:pPr>
        <w:pStyle w:val="Paragraphedeliste"/>
        <w:numPr>
          <w:ilvl w:val="0"/>
          <w:numId w:val="2"/>
        </w:numPr>
        <w:tabs>
          <w:tab w:val="left" w:pos="3119"/>
        </w:tabs>
        <w:autoSpaceDE w:val="0"/>
        <w:autoSpaceDN w:val="0"/>
        <w:adjustRightInd w:val="0"/>
        <w:spacing w:before="240" w:after="0"/>
        <w:ind w:left="993" w:hanging="284"/>
        <w:jc w:val="both"/>
        <w:rPr>
          <w:rFonts w:ascii="Times New Roman" w:hAnsi="Times New Roman" w:cs="Times New Roman"/>
          <w:iCs/>
          <w:color w:val="000000"/>
          <w:sz w:val="24"/>
          <w:szCs w:val="24"/>
        </w:rPr>
      </w:pPr>
      <w:r w:rsidRPr="00840E13">
        <w:rPr>
          <w:rFonts w:ascii="Times New Roman" w:hAnsi="Times New Roman" w:cs="Times New Roman"/>
          <w:iCs/>
          <w:color w:val="000000"/>
          <w:sz w:val="24"/>
          <w:szCs w:val="24"/>
        </w:rPr>
        <w:t>la qualité et le pouvoir de la personne habilitée à engager la personne morale et l’identité de son</w:t>
      </w:r>
      <w:r w:rsidRPr="00840E13">
        <w:rPr>
          <w:rFonts w:ascii="Times New Roman" w:hAnsi="Times New Roman" w:cs="Times New Roman"/>
          <w:sz w:val="24"/>
          <w:szCs w:val="24"/>
        </w:rPr>
        <w:t xml:space="preserve"> </w:t>
      </w:r>
      <w:r w:rsidRPr="00840E13">
        <w:rPr>
          <w:rFonts w:ascii="Times New Roman" w:hAnsi="Times New Roman" w:cs="Times New Roman"/>
          <w:iCs/>
          <w:color w:val="000000"/>
          <w:sz w:val="24"/>
          <w:szCs w:val="24"/>
        </w:rPr>
        <w:t>mandataire si la demande est introduite par ce</w:t>
      </w:r>
      <w:r w:rsidRPr="00840E13">
        <w:rPr>
          <w:rFonts w:ascii="Times New Roman" w:hAnsi="Times New Roman" w:cs="Times New Roman"/>
          <w:sz w:val="24"/>
          <w:szCs w:val="24"/>
        </w:rPr>
        <w:t xml:space="preserve"> </w:t>
      </w:r>
      <w:r w:rsidRPr="00840E13">
        <w:rPr>
          <w:rFonts w:ascii="Times New Roman" w:hAnsi="Times New Roman" w:cs="Times New Roman"/>
          <w:iCs/>
          <w:color w:val="000000"/>
          <w:sz w:val="24"/>
          <w:szCs w:val="24"/>
        </w:rPr>
        <w:t xml:space="preserve">dernier ; </w:t>
      </w:r>
    </w:p>
    <w:p w14:paraId="7A0DCFB1" w14:textId="77777777" w:rsidR="00C579DE" w:rsidRPr="00840E13" w:rsidRDefault="00C579DE" w:rsidP="000738D3">
      <w:pPr>
        <w:pStyle w:val="Paragraphedeliste"/>
        <w:numPr>
          <w:ilvl w:val="0"/>
          <w:numId w:val="2"/>
        </w:numPr>
        <w:tabs>
          <w:tab w:val="left" w:pos="3119"/>
        </w:tabs>
        <w:autoSpaceDE w:val="0"/>
        <w:autoSpaceDN w:val="0"/>
        <w:adjustRightInd w:val="0"/>
        <w:spacing w:before="240" w:after="0"/>
        <w:ind w:left="993" w:hanging="284"/>
        <w:jc w:val="both"/>
        <w:rPr>
          <w:rFonts w:ascii="Times New Roman" w:hAnsi="Times New Roman" w:cs="Times New Roman"/>
          <w:iCs/>
          <w:color w:val="000000"/>
          <w:sz w:val="24"/>
          <w:szCs w:val="24"/>
        </w:rPr>
      </w:pPr>
      <w:r w:rsidRPr="00840E13">
        <w:rPr>
          <w:rFonts w:ascii="Times New Roman" w:hAnsi="Times New Roman" w:cs="Times New Roman"/>
          <w:iCs/>
          <w:color w:val="000000"/>
          <w:sz w:val="24"/>
          <w:szCs w:val="24"/>
        </w:rPr>
        <w:t xml:space="preserve">l’adresse du siège social de la personne morale, ainsi que tous les changements ultérieurs; </w:t>
      </w:r>
    </w:p>
    <w:p w14:paraId="7EE5B3A8" w14:textId="77777777" w:rsidR="00C579DE" w:rsidRPr="00840E13" w:rsidRDefault="00C579DE" w:rsidP="000738D3">
      <w:pPr>
        <w:pStyle w:val="Paragraphedeliste"/>
        <w:numPr>
          <w:ilvl w:val="0"/>
          <w:numId w:val="2"/>
        </w:numPr>
        <w:tabs>
          <w:tab w:val="left" w:pos="3119"/>
        </w:tabs>
        <w:autoSpaceDE w:val="0"/>
        <w:autoSpaceDN w:val="0"/>
        <w:adjustRightInd w:val="0"/>
        <w:spacing w:before="240" w:after="0"/>
        <w:ind w:left="993" w:hanging="284"/>
        <w:jc w:val="both"/>
        <w:rPr>
          <w:rFonts w:ascii="Times New Roman" w:hAnsi="Times New Roman" w:cs="Times New Roman"/>
          <w:iCs/>
          <w:color w:val="000000"/>
          <w:sz w:val="24"/>
          <w:szCs w:val="24"/>
        </w:rPr>
      </w:pPr>
      <w:r w:rsidRPr="00840E13">
        <w:rPr>
          <w:rFonts w:ascii="Times New Roman" w:hAnsi="Times New Roman" w:cs="Times New Roman"/>
          <w:iCs/>
          <w:color w:val="000000"/>
          <w:sz w:val="24"/>
          <w:szCs w:val="24"/>
        </w:rPr>
        <w:t>le type de droit minier ou de carrières demandé ;</w:t>
      </w:r>
    </w:p>
    <w:p w14:paraId="4D2A25B2" w14:textId="77777777" w:rsidR="00C579DE" w:rsidRPr="00840E13" w:rsidRDefault="00C579DE" w:rsidP="000738D3">
      <w:pPr>
        <w:pStyle w:val="Paragraphedeliste"/>
        <w:numPr>
          <w:ilvl w:val="0"/>
          <w:numId w:val="2"/>
        </w:numPr>
        <w:tabs>
          <w:tab w:val="left" w:pos="3119"/>
        </w:tabs>
        <w:autoSpaceDE w:val="0"/>
        <w:autoSpaceDN w:val="0"/>
        <w:adjustRightInd w:val="0"/>
        <w:spacing w:before="240" w:after="0"/>
        <w:ind w:left="993" w:hanging="284"/>
        <w:jc w:val="both"/>
        <w:rPr>
          <w:rFonts w:ascii="Times New Roman" w:hAnsi="Times New Roman" w:cs="Times New Roman"/>
          <w:sz w:val="24"/>
          <w:szCs w:val="24"/>
        </w:rPr>
      </w:pPr>
      <w:r w:rsidRPr="00840E13">
        <w:rPr>
          <w:rFonts w:ascii="Times New Roman" w:hAnsi="Times New Roman" w:cs="Times New Roman"/>
          <w:iCs/>
          <w:color w:val="000000"/>
          <w:sz w:val="24"/>
          <w:szCs w:val="24"/>
        </w:rPr>
        <w:t xml:space="preserve">l’indication des substances minérales pour lesquelles le droit minier et/ou de carrières est sollicité ; </w:t>
      </w:r>
    </w:p>
    <w:p w14:paraId="64F50CA2" w14:textId="77777777" w:rsidR="00C579DE" w:rsidRPr="00840E13" w:rsidRDefault="00C579DE" w:rsidP="000738D3">
      <w:pPr>
        <w:pStyle w:val="Paragraphedeliste"/>
        <w:numPr>
          <w:ilvl w:val="0"/>
          <w:numId w:val="2"/>
        </w:numPr>
        <w:tabs>
          <w:tab w:val="left" w:pos="3119"/>
        </w:tabs>
        <w:autoSpaceDE w:val="0"/>
        <w:autoSpaceDN w:val="0"/>
        <w:adjustRightInd w:val="0"/>
        <w:spacing w:before="240" w:after="0"/>
        <w:ind w:left="993" w:hanging="284"/>
        <w:jc w:val="both"/>
        <w:rPr>
          <w:rFonts w:ascii="Times New Roman" w:hAnsi="Times New Roman" w:cs="Times New Roman"/>
          <w:iCs/>
          <w:color w:val="000000"/>
          <w:sz w:val="24"/>
          <w:szCs w:val="24"/>
        </w:rPr>
      </w:pPr>
      <w:r w:rsidRPr="00840E13">
        <w:rPr>
          <w:rFonts w:ascii="Times New Roman" w:hAnsi="Times New Roman" w:cs="Times New Roman"/>
          <w:iCs/>
          <w:color w:val="000000"/>
          <w:sz w:val="24"/>
          <w:szCs w:val="24"/>
        </w:rPr>
        <w:t xml:space="preserve">l’emplacement géographique du périmètre sollicité ; </w:t>
      </w:r>
    </w:p>
    <w:p w14:paraId="27F27D11" w14:textId="77777777" w:rsidR="00C579DE" w:rsidRPr="00840E13" w:rsidRDefault="00C579DE" w:rsidP="000738D3">
      <w:pPr>
        <w:pStyle w:val="Paragraphedeliste"/>
        <w:numPr>
          <w:ilvl w:val="0"/>
          <w:numId w:val="2"/>
        </w:numPr>
        <w:tabs>
          <w:tab w:val="left" w:pos="3119"/>
        </w:tabs>
        <w:autoSpaceDE w:val="0"/>
        <w:autoSpaceDN w:val="0"/>
        <w:adjustRightInd w:val="0"/>
        <w:spacing w:before="240" w:after="0"/>
        <w:ind w:left="993" w:hanging="284"/>
        <w:jc w:val="both"/>
        <w:rPr>
          <w:rFonts w:ascii="Times New Roman" w:hAnsi="Times New Roman" w:cs="Times New Roman"/>
          <w:iCs/>
          <w:color w:val="000000"/>
          <w:sz w:val="24"/>
          <w:szCs w:val="24"/>
        </w:rPr>
      </w:pPr>
      <w:r w:rsidRPr="00840E13">
        <w:rPr>
          <w:rFonts w:ascii="Times New Roman" w:hAnsi="Times New Roman" w:cs="Times New Roman"/>
          <w:iCs/>
          <w:color w:val="000000"/>
          <w:sz w:val="24"/>
          <w:szCs w:val="24"/>
        </w:rPr>
        <w:t xml:space="preserve">le nombre de carrés constituant la superficie du périmètre requis ; </w:t>
      </w:r>
    </w:p>
    <w:p w14:paraId="1CB4C354" w14:textId="77777777" w:rsidR="00C579DE" w:rsidRPr="00840E13" w:rsidRDefault="00C579DE" w:rsidP="000738D3">
      <w:pPr>
        <w:pStyle w:val="Paragraphedeliste"/>
        <w:numPr>
          <w:ilvl w:val="0"/>
          <w:numId w:val="2"/>
        </w:numPr>
        <w:tabs>
          <w:tab w:val="left" w:pos="3119"/>
        </w:tabs>
        <w:autoSpaceDE w:val="0"/>
        <w:autoSpaceDN w:val="0"/>
        <w:adjustRightInd w:val="0"/>
        <w:spacing w:before="240" w:after="0"/>
        <w:ind w:left="993" w:hanging="284"/>
        <w:jc w:val="both"/>
        <w:rPr>
          <w:rFonts w:ascii="Times New Roman" w:hAnsi="Times New Roman" w:cs="Times New Roman"/>
          <w:iCs/>
          <w:color w:val="000000"/>
          <w:sz w:val="24"/>
          <w:szCs w:val="24"/>
        </w:rPr>
      </w:pPr>
      <w:r w:rsidRPr="00840E13">
        <w:rPr>
          <w:rFonts w:ascii="Times New Roman" w:hAnsi="Times New Roman" w:cs="Times New Roman"/>
          <w:iCs/>
          <w:color w:val="000000"/>
          <w:sz w:val="24"/>
          <w:szCs w:val="24"/>
        </w:rPr>
        <w:t xml:space="preserve">l’identité des sociétés affiliées du requérant ; </w:t>
      </w:r>
    </w:p>
    <w:p w14:paraId="5DB6324C" w14:textId="77777777" w:rsidR="00C579DE" w:rsidRPr="00840E13" w:rsidRDefault="00C579DE" w:rsidP="000738D3">
      <w:pPr>
        <w:pStyle w:val="Paragraphedeliste"/>
        <w:numPr>
          <w:ilvl w:val="0"/>
          <w:numId w:val="2"/>
        </w:numPr>
        <w:tabs>
          <w:tab w:val="left" w:pos="3119"/>
        </w:tabs>
        <w:autoSpaceDE w:val="0"/>
        <w:autoSpaceDN w:val="0"/>
        <w:adjustRightInd w:val="0"/>
        <w:spacing w:before="240" w:after="0"/>
        <w:ind w:left="993" w:hanging="284"/>
        <w:jc w:val="both"/>
        <w:rPr>
          <w:rFonts w:ascii="Times New Roman" w:hAnsi="Times New Roman" w:cs="Times New Roman"/>
          <w:sz w:val="24"/>
          <w:szCs w:val="24"/>
        </w:rPr>
      </w:pPr>
      <w:r w:rsidRPr="00840E13">
        <w:rPr>
          <w:rFonts w:ascii="Times New Roman" w:hAnsi="Times New Roman" w:cs="Times New Roman"/>
          <w:iCs/>
          <w:color w:val="000000"/>
          <w:sz w:val="24"/>
          <w:szCs w:val="24"/>
        </w:rPr>
        <w:t>la nature, le nombre et la superficie des périmètres de droit minier ou de carrières déjà</w:t>
      </w:r>
      <w:r w:rsidRPr="00840E13">
        <w:rPr>
          <w:rFonts w:ascii="Times New Roman" w:hAnsi="Times New Roman" w:cs="Times New Roman"/>
          <w:sz w:val="24"/>
          <w:szCs w:val="24"/>
        </w:rPr>
        <w:t xml:space="preserve"> </w:t>
      </w:r>
      <w:r w:rsidRPr="00840E13">
        <w:rPr>
          <w:rFonts w:ascii="Times New Roman" w:hAnsi="Times New Roman" w:cs="Times New Roman"/>
          <w:iCs/>
          <w:color w:val="000000"/>
          <w:sz w:val="24"/>
          <w:szCs w:val="24"/>
        </w:rPr>
        <w:t>détenus par le requérant et ses sociétés</w:t>
      </w:r>
      <w:r w:rsidRPr="00840E13">
        <w:rPr>
          <w:rFonts w:ascii="Times New Roman" w:hAnsi="Times New Roman" w:cs="Times New Roman"/>
          <w:sz w:val="24"/>
          <w:szCs w:val="24"/>
        </w:rPr>
        <w:t xml:space="preserve"> </w:t>
      </w:r>
      <w:r w:rsidRPr="00840E13">
        <w:rPr>
          <w:rFonts w:ascii="Times New Roman" w:hAnsi="Times New Roman" w:cs="Times New Roman"/>
          <w:iCs/>
          <w:color w:val="000000"/>
          <w:sz w:val="24"/>
          <w:szCs w:val="24"/>
        </w:rPr>
        <w:t xml:space="preserve">affiliées ; </w:t>
      </w:r>
    </w:p>
    <w:p w14:paraId="31B48412" w14:textId="77777777" w:rsidR="00C579DE" w:rsidRPr="00840E13" w:rsidRDefault="00C579DE" w:rsidP="000738D3">
      <w:pPr>
        <w:pStyle w:val="Paragraphedeliste"/>
        <w:numPr>
          <w:ilvl w:val="0"/>
          <w:numId w:val="2"/>
        </w:numPr>
        <w:tabs>
          <w:tab w:val="left" w:pos="3119"/>
        </w:tabs>
        <w:autoSpaceDE w:val="0"/>
        <w:autoSpaceDN w:val="0"/>
        <w:adjustRightInd w:val="0"/>
        <w:spacing w:before="240" w:after="0"/>
        <w:ind w:left="993" w:hanging="426"/>
        <w:jc w:val="both"/>
        <w:rPr>
          <w:rFonts w:ascii="Times New Roman" w:hAnsi="Times New Roman" w:cs="Times New Roman"/>
          <w:iCs/>
          <w:color w:val="000000"/>
          <w:sz w:val="24"/>
          <w:szCs w:val="24"/>
        </w:rPr>
      </w:pPr>
      <w:r w:rsidRPr="00840E13">
        <w:rPr>
          <w:rFonts w:ascii="Times New Roman" w:hAnsi="Times New Roman" w:cs="Times New Roman"/>
          <w:iCs/>
          <w:color w:val="000000"/>
          <w:sz w:val="24"/>
          <w:szCs w:val="24"/>
        </w:rPr>
        <w:t>la preuve de la capacité financière du requérant.</w:t>
      </w:r>
    </w:p>
    <w:p w14:paraId="753B870B" w14:textId="77777777" w:rsidR="00C579DE" w:rsidRPr="00840E13" w:rsidRDefault="00C579DE" w:rsidP="00C579DE">
      <w:pPr>
        <w:tabs>
          <w:tab w:val="left" w:pos="3119"/>
        </w:tabs>
        <w:autoSpaceDE w:val="0"/>
        <w:autoSpaceDN w:val="0"/>
        <w:adjustRightInd w:val="0"/>
        <w:spacing w:before="240" w:after="0" w:line="276" w:lineRule="auto"/>
        <w:ind w:left="284" w:hanging="284"/>
        <w:jc w:val="both"/>
        <w:rPr>
          <w:rFonts w:ascii="Times New Roman" w:hAnsi="Times New Roman"/>
          <w:iCs/>
          <w:color w:val="000000"/>
          <w:sz w:val="24"/>
          <w:szCs w:val="24"/>
        </w:rPr>
      </w:pPr>
    </w:p>
    <w:p w14:paraId="07B8AF67"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sz w:val="24"/>
          <w:szCs w:val="24"/>
        </w:rPr>
      </w:pPr>
      <w:r w:rsidRPr="00840E13">
        <w:rPr>
          <w:rFonts w:ascii="Times New Roman" w:hAnsi="Times New Roman"/>
          <w:bCs/>
          <w:iCs/>
          <w:color w:val="000000"/>
          <w:sz w:val="24"/>
          <w:szCs w:val="24"/>
        </w:rPr>
        <w:t>L’article 37 al. 1</w:t>
      </w:r>
      <w:r w:rsidRPr="00840E13">
        <w:rPr>
          <w:rFonts w:ascii="Times New Roman" w:hAnsi="Times New Roman"/>
          <w:bCs/>
          <w:iCs/>
          <w:color w:val="000000"/>
          <w:sz w:val="24"/>
          <w:szCs w:val="24"/>
          <w:vertAlign w:val="superscript"/>
        </w:rPr>
        <w:t>er</w:t>
      </w:r>
      <w:r w:rsidRPr="00840E13">
        <w:rPr>
          <w:rFonts w:ascii="Times New Roman" w:hAnsi="Times New Roman"/>
          <w:bCs/>
          <w:iCs/>
          <w:color w:val="000000"/>
          <w:sz w:val="24"/>
          <w:szCs w:val="24"/>
        </w:rPr>
        <w:t xml:space="preserve"> prévoit,</w:t>
      </w:r>
      <w:r w:rsidRPr="00840E13">
        <w:rPr>
          <w:rFonts w:ascii="Times New Roman" w:hAnsi="Times New Roman"/>
          <w:sz w:val="24"/>
          <w:szCs w:val="24"/>
        </w:rPr>
        <w:t xml:space="preserve"> </w:t>
      </w:r>
      <w:r w:rsidRPr="00840E13">
        <w:rPr>
          <w:rFonts w:ascii="Times New Roman" w:hAnsi="Times New Roman"/>
          <w:iCs/>
          <w:color w:val="000000"/>
          <w:sz w:val="24"/>
          <w:szCs w:val="24"/>
        </w:rPr>
        <w:t>en contrepartie de la prestation, au titre des frais de dépôt, un montant à l’occasion du dépôt</w:t>
      </w:r>
      <w:r w:rsidRPr="00840E13">
        <w:rPr>
          <w:rFonts w:ascii="Times New Roman" w:hAnsi="Times New Roman"/>
          <w:sz w:val="24"/>
          <w:szCs w:val="24"/>
        </w:rPr>
        <w:t xml:space="preserve"> </w:t>
      </w:r>
      <w:r w:rsidRPr="00840E13">
        <w:rPr>
          <w:rFonts w:ascii="Times New Roman" w:hAnsi="Times New Roman"/>
          <w:iCs/>
          <w:color w:val="000000"/>
          <w:sz w:val="24"/>
          <w:szCs w:val="24"/>
        </w:rPr>
        <w:t>de chaque demande d’institution, de renouvellement, d’extension, de mutation ou d’amodiation d’un droit</w:t>
      </w:r>
      <w:r w:rsidRPr="00840E13">
        <w:rPr>
          <w:rFonts w:ascii="Times New Roman" w:hAnsi="Times New Roman"/>
          <w:sz w:val="24"/>
          <w:szCs w:val="24"/>
        </w:rPr>
        <w:t xml:space="preserve"> </w:t>
      </w:r>
      <w:r w:rsidRPr="00840E13">
        <w:rPr>
          <w:rFonts w:ascii="Times New Roman" w:hAnsi="Times New Roman"/>
          <w:iCs/>
          <w:color w:val="000000"/>
          <w:sz w:val="24"/>
          <w:szCs w:val="24"/>
        </w:rPr>
        <w:t xml:space="preserve">minier ou de carrières. </w:t>
      </w:r>
    </w:p>
    <w:p w14:paraId="532DC661"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r w:rsidRPr="00840E13">
        <w:rPr>
          <w:rFonts w:ascii="Times New Roman" w:hAnsi="Times New Roman"/>
          <w:iCs/>
          <w:color w:val="000000"/>
          <w:sz w:val="24"/>
          <w:szCs w:val="24"/>
        </w:rPr>
        <w:t xml:space="preserve">Après ce paiement, l’instruction commence dans un délai de vingt jours ouvrables au maximum à compter du dépôt de la demande. </w:t>
      </w:r>
    </w:p>
    <w:p w14:paraId="1E20476A" w14:textId="77777777" w:rsidR="00C579DE" w:rsidRPr="00840E13" w:rsidRDefault="00C579DE" w:rsidP="00C579DE">
      <w:pPr>
        <w:tabs>
          <w:tab w:val="left" w:pos="8505"/>
        </w:tabs>
        <w:autoSpaceDE w:val="0"/>
        <w:autoSpaceDN w:val="0"/>
        <w:adjustRightInd w:val="0"/>
        <w:spacing w:after="0" w:line="240" w:lineRule="auto"/>
        <w:ind w:left="567"/>
        <w:jc w:val="both"/>
        <w:rPr>
          <w:rFonts w:ascii="Times New Roman" w:hAnsi="Times New Roman"/>
          <w:iCs/>
          <w:color w:val="000000"/>
          <w:sz w:val="24"/>
          <w:szCs w:val="24"/>
        </w:rPr>
      </w:pPr>
    </w:p>
    <w:p w14:paraId="57606E9F" w14:textId="77777777" w:rsidR="00C579DE" w:rsidRPr="00840E13" w:rsidRDefault="00C579DE" w:rsidP="00C579DE">
      <w:pPr>
        <w:pStyle w:val="Paragraphedeliste"/>
        <w:numPr>
          <w:ilvl w:val="0"/>
          <w:numId w:val="1"/>
        </w:numPr>
        <w:tabs>
          <w:tab w:val="left" w:pos="993"/>
        </w:tabs>
        <w:autoSpaceDE w:val="0"/>
        <w:autoSpaceDN w:val="0"/>
        <w:adjustRightInd w:val="0"/>
        <w:spacing w:after="0" w:line="240" w:lineRule="auto"/>
        <w:ind w:left="284" w:firstLine="426"/>
        <w:contextualSpacing w:val="0"/>
        <w:jc w:val="both"/>
        <w:rPr>
          <w:rFonts w:ascii="Times New Roman" w:hAnsi="Times New Roman" w:cs="Times New Roman"/>
          <w:iCs/>
          <w:color w:val="000000"/>
          <w:sz w:val="24"/>
          <w:szCs w:val="24"/>
        </w:rPr>
      </w:pPr>
      <w:r w:rsidRPr="00840E13">
        <w:rPr>
          <w:rFonts w:ascii="Times New Roman" w:hAnsi="Times New Roman" w:cs="Times New Roman"/>
          <w:b/>
          <w:iCs/>
          <w:color w:val="000000"/>
          <w:sz w:val="24"/>
          <w:szCs w:val="24"/>
        </w:rPr>
        <w:t>De l’instruction cadastrale</w:t>
      </w:r>
      <w:r w:rsidRPr="00634EF7">
        <w:rPr>
          <w:rFonts w:ascii="Times New Roman" w:hAnsi="Times New Roman" w:cs="Times New Roman"/>
          <w:b/>
          <w:iCs/>
          <w:color w:val="000000"/>
          <w:sz w:val="24"/>
          <w:szCs w:val="24"/>
        </w:rPr>
        <w:t xml:space="preserve"> (article 40 al. 1, 3 et 4 nouveau</w:t>
      </w:r>
      <w:r w:rsidRPr="00840E13">
        <w:rPr>
          <w:rFonts w:ascii="Times New Roman" w:hAnsi="Times New Roman" w:cs="Times New Roman"/>
          <w:iCs/>
          <w:color w:val="000000"/>
          <w:sz w:val="24"/>
          <w:szCs w:val="24"/>
        </w:rPr>
        <w:t>).</w:t>
      </w:r>
      <w:r w:rsidRPr="00840E13">
        <w:rPr>
          <w:rFonts w:ascii="Times New Roman" w:hAnsi="Times New Roman" w:cs="Times New Roman"/>
          <w:b/>
          <w:iCs/>
          <w:color w:val="000000"/>
          <w:sz w:val="24"/>
          <w:szCs w:val="24"/>
        </w:rPr>
        <w:t xml:space="preserve"> </w:t>
      </w:r>
    </w:p>
    <w:p w14:paraId="29809DAF" w14:textId="77777777" w:rsidR="00C579DE" w:rsidRPr="00840E13" w:rsidRDefault="00C579DE" w:rsidP="00C579DE">
      <w:pPr>
        <w:tabs>
          <w:tab w:val="left" w:pos="8505"/>
        </w:tabs>
        <w:autoSpaceDE w:val="0"/>
        <w:autoSpaceDN w:val="0"/>
        <w:adjustRightInd w:val="0"/>
        <w:spacing w:line="240" w:lineRule="auto"/>
        <w:ind w:left="284"/>
        <w:jc w:val="both"/>
        <w:rPr>
          <w:rFonts w:ascii="Times New Roman" w:hAnsi="Times New Roman"/>
          <w:iCs/>
          <w:color w:val="000000"/>
          <w:sz w:val="24"/>
          <w:szCs w:val="24"/>
        </w:rPr>
      </w:pPr>
    </w:p>
    <w:p w14:paraId="462E06D5" w14:textId="77777777" w:rsidR="00C579DE" w:rsidRPr="00840E13" w:rsidRDefault="00C579DE" w:rsidP="00C579DE">
      <w:pPr>
        <w:tabs>
          <w:tab w:val="left" w:pos="8505"/>
        </w:tabs>
        <w:autoSpaceDE w:val="0"/>
        <w:autoSpaceDN w:val="0"/>
        <w:adjustRightInd w:val="0"/>
        <w:spacing w:line="240" w:lineRule="auto"/>
        <w:jc w:val="both"/>
        <w:rPr>
          <w:rFonts w:ascii="Times New Roman" w:hAnsi="Times New Roman"/>
          <w:iCs/>
          <w:color w:val="000000"/>
          <w:sz w:val="24"/>
          <w:szCs w:val="24"/>
        </w:rPr>
      </w:pPr>
      <w:r w:rsidRPr="00840E13">
        <w:rPr>
          <w:rFonts w:ascii="Times New Roman" w:hAnsi="Times New Roman"/>
          <w:iCs/>
          <w:color w:val="000000"/>
          <w:sz w:val="24"/>
          <w:szCs w:val="24"/>
        </w:rPr>
        <w:t>Aux fins d’instruction, le Cadastre minier vérifie si :</w:t>
      </w:r>
    </w:p>
    <w:p w14:paraId="6EC9056C" w14:textId="77777777" w:rsidR="00C579DE" w:rsidRPr="00840E13" w:rsidRDefault="00C579DE" w:rsidP="00C579DE">
      <w:pPr>
        <w:tabs>
          <w:tab w:val="left" w:pos="8505"/>
        </w:tabs>
        <w:autoSpaceDE w:val="0"/>
        <w:autoSpaceDN w:val="0"/>
        <w:adjustRightInd w:val="0"/>
        <w:spacing w:after="0" w:line="240" w:lineRule="auto"/>
        <w:ind w:hanging="284"/>
        <w:jc w:val="both"/>
        <w:rPr>
          <w:rFonts w:ascii="Times New Roman" w:hAnsi="Times New Roman"/>
          <w:sz w:val="24"/>
          <w:szCs w:val="24"/>
        </w:rPr>
      </w:pPr>
      <w:r>
        <w:rPr>
          <w:rFonts w:ascii="Times New Roman" w:hAnsi="Times New Roman"/>
          <w:b/>
          <w:bCs/>
          <w:iCs/>
          <w:color w:val="000000"/>
          <w:sz w:val="24"/>
          <w:szCs w:val="24"/>
        </w:rPr>
        <w:t xml:space="preserve">    </w:t>
      </w:r>
      <w:r w:rsidRPr="00840E13">
        <w:rPr>
          <w:rFonts w:ascii="Times New Roman" w:hAnsi="Times New Roman"/>
          <w:b/>
          <w:bCs/>
          <w:iCs/>
          <w:color w:val="000000"/>
          <w:sz w:val="24"/>
          <w:szCs w:val="24"/>
        </w:rPr>
        <w:t>a.</w:t>
      </w:r>
      <w:r w:rsidRPr="00840E13">
        <w:rPr>
          <w:rFonts w:ascii="Times New Roman" w:hAnsi="Times New Roman"/>
          <w:color w:val="000000"/>
          <w:sz w:val="24"/>
          <w:szCs w:val="24"/>
        </w:rPr>
        <w:t xml:space="preserve"> </w:t>
      </w:r>
      <w:r w:rsidRPr="00840E13">
        <w:rPr>
          <w:rFonts w:ascii="Times New Roman" w:hAnsi="Times New Roman"/>
          <w:iCs/>
          <w:color w:val="000000"/>
          <w:sz w:val="24"/>
          <w:szCs w:val="24"/>
        </w:rPr>
        <w:t>le requérant est éligible pour le type de droit minier et/ou de carrières demandé;</w:t>
      </w:r>
    </w:p>
    <w:p w14:paraId="30E1FD97" w14:textId="77777777" w:rsidR="00C579DE" w:rsidRPr="00840E13" w:rsidRDefault="00C579DE" w:rsidP="00C579DE">
      <w:pPr>
        <w:tabs>
          <w:tab w:val="left" w:pos="8505"/>
        </w:tabs>
        <w:autoSpaceDE w:val="0"/>
        <w:autoSpaceDN w:val="0"/>
        <w:adjustRightInd w:val="0"/>
        <w:spacing w:after="0" w:line="240" w:lineRule="auto"/>
        <w:ind w:hanging="284"/>
        <w:jc w:val="both"/>
        <w:rPr>
          <w:rFonts w:ascii="Times New Roman" w:hAnsi="Times New Roman"/>
          <w:sz w:val="24"/>
          <w:szCs w:val="24"/>
        </w:rPr>
      </w:pPr>
      <w:r>
        <w:rPr>
          <w:rFonts w:ascii="Times New Roman" w:hAnsi="Times New Roman"/>
          <w:b/>
          <w:bCs/>
          <w:iCs/>
          <w:color w:val="000000"/>
          <w:sz w:val="24"/>
          <w:szCs w:val="24"/>
        </w:rPr>
        <w:t xml:space="preserve">    </w:t>
      </w:r>
      <w:r w:rsidRPr="00840E13">
        <w:rPr>
          <w:rFonts w:ascii="Times New Roman" w:hAnsi="Times New Roman"/>
          <w:b/>
          <w:bCs/>
          <w:iCs/>
          <w:color w:val="000000"/>
          <w:sz w:val="24"/>
          <w:szCs w:val="24"/>
        </w:rPr>
        <w:t>b.</w:t>
      </w:r>
      <w:r w:rsidRPr="00840E13">
        <w:rPr>
          <w:rFonts w:ascii="Times New Roman" w:hAnsi="Times New Roman"/>
          <w:color w:val="000000"/>
          <w:sz w:val="24"/>
          <w:szCs w:val="24"/>
        </w:rPr>
        <w:t xml:space="preserve"> </w:t>
      </w:r>
      <w:r w:rsidRPr="00840E13">
        <w:rPr>
          <w:rFonts w:ascii="Times New Roman" w:hAnsi="Times New Roman"/>
          <w:iCs/>
          <w:color w:val="000000"/>
          <w:sz w:val="24"/>
          <w:szCs w:val="24"/>
        </w:rPr>
        <w:t xml:space="preserve">les limites du nombre de droit minier et/ou de carrières, de la forme et de la superficie du Périmètre demandé ont été respectées ;  </w:t>
      </w:r>
    </w:p>
    <w:p w14:paraId="68CA5F59" w14:textId="77777777" w:rsidR="00C579DE" w:rsidRPr="00840E13" w:rsidRDefault="00C579DE" w:rsidP="00C579DE">
      <w:pPr>
        <w:tabs>
          <w:tab w:val="left" w:pos="8505"/>
        </w:tabs>
        <w:autoSpaceDE w:val="0"/>
        <w:autoSpaceDN w:val="0"/>
        <w:adjustRightInd w:val="0"/>
        <w:spacing w:after="0" w:line="240" w:lineRule="auto"/>
        <w:ind w:hanging="284"/>
        <w:jc w:val="both"/>
        <w:rPr>
          <w:rFonts w:ascii="Times New Roman" w:hAnsi="Times New Roman"/>
          <w:iCs/>
          <w:color w:val="000000"/>
          <w:sz w:val="24"/>
          <w:szCs w:val="24"/>
        </w:rPr>
      </w:pPr>
      <w:r>
        <w:rPr>
          <w:rFonts w:ascii="Times New Roman" w:hAnsi="Times New Roman"/>
          <w:b/>
          <w:bCs/>
          <w:iCs/>
          <w:color w:val="000000"/>
          <w:sz w:val="24"/>
          <w:szCs w:val="24"/>
        </w:rPr>
        <w:t xml:space="preserve">    </w:t>
      </w:r>
      <w:r w:rsidRPr="00840E13">
        <w:rPr>
          <w:rFonts w:ascii="Times New Roman" w:hAnsi="Times New Roman"/>
          <w:b/>
          <w:bCs/>
          <w:iCs/>
          <w:color w:val="000000"/>
          <w:sz w:val="24"/>
          <w:szCs w:val="24"/>
        </w:rPr>
        <w:t>c.</w:t>
      </w:r>
      <w:r w:rsidRPr="00840E13">
        <w:rPr>
          <w:rFonts w:ascii="Times New Roman" w:hAnsi="Times New Roman"/>
          <w:color w:val="000000"/>
          <w:sz w:val="24"/>
          <w:szCs w:val="24"/>
        </w:rPr>
        <w:t xml:space="preserve"> </w:t>
      </w:r>
      <w:r w:rsidRPr="00840E13">
        <w:rPr>
          <w:rFonts w:ascii="Times New Roman" w:hAnsi="Times New Roman"/>
          <w:iCs/>
          <w:color w:val="000000"/>
          <w:sz w:val="24"/>
          <w:szCs w:val="24"/>
        </w:rPr>
        <w:t xml:space="preserve">le périmètre demandé empiète sur un périmètre faisant l’objet d’un droit minier ou de carrière ou d’une demande en instance d’instruction, sauf empiétements autorisés à l’article 30 du présent Code. </w:t>
      </w:r>
    </w:p>
    <w:p w14:paraId="36B8BCD6"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p>
    <w:p w14:paraId="68313FF9" w14:textId="77777777" w:rsidR="00C579DE" w:rsidRPr="00840E13" w:rsidRDefault="00C579DE" w:rsidP="00C579DE">
      <w:pPr>
        <w:tabs>
          <w:tab w:val="left" w:pos="8505"/>
        </w:tabs>
        <w:autoSpaceDE w:val="0"/>
        <w:autoSpaceDN w:val="0"/>
        <w:adjustRightInd w:val="0"/>
        <w:spacing w:after="0" w:line="360" w:lineRule="auto"/>
        <w:jc w:val="both"/>
        <w:rPr>
          <w:rFonts w:ascii="Times New Roman" w:hAnsi="Times New Roman"/>
          <w:iCs/>
          <w:color w:val="000000"/>
          <w:sz w:val="24"/>
          <w:szCs w:val="24"/>
        </w:rPr>
      </w:pPr>
      <w:r w:rsidRPr="00840E13">
        <w:rPr>
          <w:rFonts w:ascii="Times New Roman" w:hAnsi="Times New Roman"/>
          <w:iCs/>
          <w:color w:val="000000"/>
          <w:sz w:val="24"/>
          <w:szCs w:val="24"/>
        </w:rPr>
        <w:t xml:space="preserve">Lors de l’instruction cadastrale des demandes des droits miniers et/ou  de carrières, les règles suivantes s’appliquent en cas d’empiètements autres que ceux prévus à l’article 30 du présent Code : </w:t>
      </w:r>
    </w:p>
    <w:p w14:paraId="44701251" w14:textId="77777777" w:rsidR="00C579DE" w:rsidRPr="008D146F" w:rsidRDefault="00C579DE" w:rsidP="000738D3">
      <w:pPr>
        <w:pStyle w:val="Paragraphedeliste"/>
        <w:numPr>
          <w:ilvl w:val="0"/>
          <w:numId w:val="6"/>
        </w:numPr>
        <w:tabs>
          <w:tab w:val="left" w:pos="8505"/>
        </w:tabs>
        <w:autoSpaceDE w:val="0"/>
        <w:autoSpaceDN w:val="0"/>
        <w:adjustRightInd w:val="0"/>
        <w:spacing w:after="0" w:line="240" w:lineRule="auto"/>
        <w:jc w:val="both"/>
        <w:rPr>
          <w:rFonts w:ascii="Times New Roman" w:hAnsi="Times New Roman"/>
          <w:iCs/>
          <w:color w:val="000000"/>
          <w:sz w:val="24"/>
          <w:szCs w:val="24"/>
        </w:rPr>
      </w:pPr>
      <w:r w:rsidRPr="008D146F">
        <w:rPr>
          <w:rFonts w:ascii="Times New Roman" w:hAnsi="Times New Roman"/>
          <w:iCs/>
          <w:color w:val="000000"/>
          <w:sz w:val="24"/>
          <w:szCs w:val="24"/>
        </w:rPr>
        <w:t>Lorsqu’une demande des droits miniers et/ou de carrières de recherches porte sur un périmètre dont plus de 25% empiètent sur un autre périmètre minier ou de carrières en cours de validité, ou est introduite pendant qu’une autre demande est en instruction, cette demande est rejetée.</w:t>
      </w:r>
    </w:p>
    <w:p w14:paraId="1A7B859E" w14:textId="77777777" w:rsidR="00C579DE" w:rsidRPr="00840E13" w:rsidRDefault="00C579DE" w:rsidP="00C579DE">
      <w:pPr>
        <w:tabs>
          <w:tab w:val="left" w:pos="8505"/>
        </w:tabs>
        <w:autoSpaceDE w:val="0"/>
        <w:autoSpaceDN w:val="0"/>
        <w:adjustRightInd w:val="0"/>
        <w:spacing w:after="0" w:line="240" w:lineRule="auto"/>
        <w:ind w:left="1276" w:hanging="224"/>
        <w:jc w:val="both"/>
        <w:rPr>
          <w:rFonts w:ascii="Times New Roman" w:hAnsi="Times New Roman"/>
          <w:iCs/>
          <w:color w:val="000000"/>
          <w:sz w:val="24"/>
          <w:szCs w:val="24"/>
        </w:rPr>
      </w:pPr>
    </w:p>
    <w:p w14:paraId="0FC1D039" w14:textId="77777777" w:rsidR="00C579DE" w:rsidRPr="008D146F" w:rsidRDefault="00C579DE" w:rsidP="000738D3">
      <w:pPr>
        <w:pStyle w:val="Paragraphedeliste"/>
        <w:numPr>
          <w:ilvl w:val="0"/>
          <w:numId w:val="6"/>
        </w:numPr>
        <w:tabs>
          <w:tab w:val="left" w:pos="8505"/>
        </w:tabs>
        <w:autoSpaceDE w:val="0"/>
        <w:autoSpaceDN w:val="0"/>
        <w:adjustRightInd w:val="0"/>
        <w:spacing w:after="0" w:line="240" w:lineRule="auto"/>
        <w:jc w:val="both"/>
        <w:rPr>
          <w:rFonts w:ascii="Times New Roman" w:hAnsi="Times New Roman"/>
          <w:iCs/>
          <w:color w:val="000000"/>
          <w:sz w:val="24"/>
          <w:szCs w:val="24"/>
        </w:rPr>
      </w:pPr>
      <w:r w:rsidRPr="008D146F">
        <w:rPr>
          <w:rFonts w:ascii="Times New Roman" w:hAnsi="Times New Roman"/>
          <w:iCs/>
          <w:color w:val="000000"/>
          <w:sz w:val="24"/>
          <w:szCs w:val="24"/>
        </w:rPr>
        <w:lastRenderedPageBreak/>
        <w:t xml:space="preserve">Lorsqu’une demande des droits miniers et/ou de carrières de recherches porte sur un périmètre dont 25% au maximum empiètent sur un autre périmètre minier ou de carrières en cours de validité, ou est introduite pendant qu’une demande est en instruction, la situation est corrigée de façon à éliminer les empiètements. </w:t>
      </w:r>
    </w:p>
    <w:p w14:paraId="195DDBAC" w14:textId="77777777" w:rsidR="00C579DE" w:rsidRPr="00840E13" w:rsidRDefault="00C579DE" w:rsidP="00C579DE">
      <w:pPr>
        <w:tabs>
          <w:tab w:val="left" w:pos="8505"/>
        </w:tabs>
        <w:autoSpaceDE w:val="0"/>
        <w:autoSpaceDN w:val="0"/>
        <w:adjustRightInd w:val="0"/>
        <w:spacing w:after="0" w:line="240" w:lineRule="auto"/>
        <w:ind w:left="993"/>
        <w:jc w:val="both"/>
        <w:rPr>
          <w:rFonts w:ascii="Times New Roman" w:hAnsi="Times New Roman"/>
          <w:sz w:val="24"/>
          <w:szCs w:val="24"/>
        </w:rPr>
      </w:pPr>
    </w:p>
    <w:p w14:paraId="40C11B78"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r w:rsidRPr="00840E13">
        <w:rPr>
          <w:rFonts w:ascii="Times New Roman" w:hAnsi="Times New Roman"/>
          <w:iCs/>
          <w:color w:val="000000"/>
          <w:sz w:val="24"/>
          <w:szCs w:val="24"/>
        </w:rPr>
        <w:t>Dans tous le</w:t>
      </w:r>
      <w:r>
        <w:rPr>
          <w:rFonts w:ascii="Times New Roman" w:hAnsi="Times New Roman"/>
          <w:iCs/>
          <w:color w:val="000000"/>
          <w:sz w:val="24"/>
          <w:szCs w:val="24"/>
        </w:rPr>
        <w:t>s</w:t>
      </w:r>
      <w:r w:rsidRPr="00840E13">
        <w:rPr>
          <w:rFonts w:ascii="Times New Roman" w:hAnsi="Times New Roman"/>
          <w:iCs/>
          <w:color w:val="000000"/>
          <w:sz w:val="24"/>
          <w:szCs w:val="24"/>
        </w:rPr>
        <w:t xml:space="preserve"> cas, les demandes suivantes ne peuvent être rejetées pour cause d’empiétement lors de l’instruction cadastrale : </w:t>
      </w:r>
    </w:p>
    <w:p w14:paraId="4B479718" w14:textId="77777777" w:rsidR="00C579DE" w:rsidRPr="00840E13" w:rsidRDefault="00C579DE" w:rsidP="00C579DE">
      <w:pPr>
        <w:tabs>
          <w:tab w:val="left" w:pos="8505"/>
        </w:tabs>
        <w:autoSpaceDE w:val="0"/>
        <w:autoSpaceDN w:val="0"/>
        <w:adjustRightInd w:val="0"/>
        <w:spacing w:after="0" w:line="240" w:lineRule="auto"/>
        <w:ind w:left="284"/>
        <w:jc w:val="both"/>
        <w:rPr>
          <w:rFonts w:ascii="Times New Roman" w:hAnsi="Times New Roman"/>
          <w:iCs/>
          <w:color w:val="000000"/>
          <w:sz w:val="24"/>
          <w:szCs w:val="24"/>
        </w:rPr>
      </w:pPr>
    </w:p>
    <w:p w14:paraId="147C5F05" w14:textId="77777777" w:rsidR="00C579DE" w:rsidRPr="008D146F" w:rsidRDefault="00C579DE" w:rsidP="000738D3">
      <w:pPr>
        <w:pStyle w:val="Paragraphedeliste"/>
        <w:numPr>
          <w:ilvl w:val="0"/>
          <w:numId w:val="7"/>
        </w:numPr>
        <w:tabs>
          <w:tab w:val="left" w:pos="8505"/>
        </w:tabs>
        <w:autoSpaceDE w:val="0"/>
        <w:autoSpaceDN w:val="0"/>
        <w:adjustRightInd w:val="0"/>
        <w:spacing w:after="0" w:line="240" w:lineRule="auto"/>
        <w:jc w:val="both"/>
        <w:rPr>
          <w:rFonts w:ascii="Times New Roman" w:hAnsi="Times New Roman"/>
          <w:iCs/>
          <w:color w:val="000000"/>
          <w:sz w:val="24"/>
          <w:szCs w:val="24"/>
        </w:rPr>
      </w:pPr>
      <w:r w:rsidRPr="008D146F">
        <w:rPr>
          <w:rFonts w:ascii="Times New Roman" w:hAnsi="Times New Roman"/>
          <w:iCs/>
          <w:color w:val="000000"/>
          <w:sz w:val="24"/>
          <w:szCs w:val="24"/>
        </w:rPr>
        <w:t xml:space="preserve">La demande de droits miniers ou de carrières d’exploitation du titulaire de droit minier ou de carrières de recherches sur le même périmètre ;  </w:t>
      </w:r>
    </w:p>
    <w:p w14:paraId="0255FA7E" w14:textId="77777777" w:rsidR="00C579DE" w:rsidRPr="008D146F" w:rsidRDefault="00C579DE" w:rsidP="000738D3">
      <w:pPr>
        <w:pStyle w:val="Paragraphedeliste"/>
        <w:numPr>
          <w:ilvl w:val="0"/>
          <w:numId w:val="7"/>
        </w:numPr>
        <w:tabs>
          <w:tab w:val="left" w:pos="8505"/>
        </w:tabs>
        <w:autoSpaceDE w:val="0"/>
        <w:autoSpaceDN w:val="0"/>
        <w:adjustRightInd w:val="0"/>
        <w:spacing w:after="0" w:line="240" w:lineRule="auto"/>
        <w:jc w:val="both"/>
        <w:rPr>
          <w:rFonts w:ascii="Times New Roman" w:hAnsi="Times New Roman"/>
          <w:iCs/>
          <w:color w:val="000000"/>
          <w:sz w:val="24"/>
          <w:szCs w:val="24"/>
        </w:rPr>
      </w:pPr>
      <w:r w:rsidRPr="008D146F">
        <w:rPr>
          <w:rFonts w:ascii="Times New Roman" w:hAnsi="Times New Roman"/>
        </w:rPr>
        <w:t xml:space="preserve">La demande de transformation des droits miniers ou de carrières de recherches ou d’exploitation en plusieurs droits miniers ou de carrières de recherches ou d’exploitation sur le même périmètre ; </w:t>
      </w:r>
    </w:p>
    <w:p w14:paraId="377765AD" w14:textId="77777777" w:rsidR="00C579DE" w:rsidRPr="008D146F" w:rsidRDefault="00C579DE" w:rsidP="000738D3">
      <w:pPr>
        <w:pStyle w:val="Paragraphedeliste"/>
        <w:numPr>
          <w:ilvl w:val="0"/>
          <w:numId w:val="7"/>
        </w:numPr>
        <w:tabs>
          <w:tab w:val="left" w:pos="8505"/>
        </w:tabs>
        <w:autoSpaceDE w:val="0"/>
        <w:autoSpaceDN w:val="0"/>
        <w:adjustRightInd w:val="0"/>
        <w:spacing w:after="0" w:line="240" w:lineRule="auto"/>
        <w:jc w:val="both"/>
        <w:rPr>
          <w:rFonts w:ascii="Times New Roman" w:hAnsi="Times New Roman"/>
          <w:iCs/>
          <w:color w:val="000000"/>
          <w:sz w:val="24"/>
          <w:szCs w:val="24"/>
        </w:rPr>
      </w:pPr>
      <w:r w:rsidRPr="008D146F">
        <w:rPr>
          <w:rFonts w:ascii="Times New Roman" w:hAnsi="Times New Roman"/>
          <w:iCs/>
          <w:color w:val="000000"/>
          <w:sz w:val="24"/>
          <w:szCs w:val="24"/>
        </w:rPr>
        <w:t>La demande du permis d’exploitation des rejets du titulaire du droit minier couvrant le périmètre sur lequel sont entreposés les rejets.</w:t>
      </w:r>
    </w:p>
    <w:p w14:paraId="7A8476A3" w14:textId="77777777" w:rsidR="00C579DE" w:rsidRPr="00840E13" w:rsidRDefault="00C579DE" w:rsidP="00C579DE">
      <w:pPr>
        <w:tabs>
          <w:tab w:val="left" w:pos="8505"/>
        </w:tabs>
        <w:autoSpaceDE w:val="0"/>
        <w:autoSpaceDN w:val="0"/>
        <w:adjustRightInd w:val="0"/>
        <w:spacing w:after="0" w:line="240" w:lineRule="auto"/>
        <w:ind w:left="284"/>
        <w:jc w:val="both"/>
        <w:rPr>
          <w:rFonts w:ascii="Times New Roman" w:hAnsi="Times New Roman"/>
          <w:iCs/>
          <w:color w:val="000000"/>
          <w:sz w:val="24"/>
          <w:szCs w:val="24"/>
        </w:rPr>
      </w:pPr>
    </w:p>
    <w:p w14:paraId="46C8456C" w14:textId="77777777" w:rsidR="00C579DE" w:rsidRPr="00840E13" w:rsidRDefault="00C579DE" w:rsidP="00C579DE">
      <w:pPr>
        <w:pStyle w:val="Paragraphedeliste"/>
        <w:numPr>
          <w:ilvl w:val="0"/>
          <w:numId w:val="1"/>
        </w:numPr>
        <w:tabs>
          <w:tab w:val="left" w:pos="851"/>
          <w:tab w:val="left" w:pos="993"/>
        </w:tabs>
        <w:autoSpaceDE w:val="0"/>
        <w:autoSpaceDN w:val="0"/>
        <w:adjustRightInd w:val="0"/>
        <w:spacing w:after="0" w:line="360" w:lineRule="auto"/>
        <w:ind w:left="284" w:firstLine="426"/>
        <w:contextualSpacing w:val="0"/>
        <w:jc w:val="both"/>
        <w:rPr>
          <w:rFonts w:ascii="Times New Roman" w:hAnsi="Times New Roman" w:cs="Times New Roman"/>
          <w:b/>
          <w:iCs/>
          <w:color w:val="000000"/>
          <w:sz w:val="24"/>
          <w:szCs w:val="24"/>
        </w:rPr>
      </w:pPr>
      <w:r w:rsidRPr="00840E13">
        <w:rPr>
          <w:rFonts w:ascii="Times New Roman" w:hAnsi="Times New Roman" w:cs="Times New Roman"/>
          <w:b/>
          <w:iCs/>
          <w:color w:val="000000"/>
          <w:sz w:val="24"/>
          <w:szCs w:val="24"/>
        </w:rPr>
        <w:t>De l’instruction technique (art.  41)</w:t>
      </w:r>
    </w:p>
    <w:p w14:paraId="0C1C23F8" w14:textId="77777777" w:rsidR="00C579DE" w:rsidRPr="00840E13" w:rsidRDefault="00C579DE" w:rsidP="00C579DE">
      <w:pPr>
        <w:autoSpaceDE w:val="0"/>
        <w:autoSpaceDN w:val="0"/>
        <w:adjustRightInd w:val="0"/>
        <w:spacing w:after="0" w:line="240" w:lineRule="auto"/>
        <w:jc w:val="both"/>
        <w:rPr>
          <w:rFonts w:ascii="Times New Roman" w:hAnsi="Times New Roman"/>
          <w:color w:val="000000"/>
          <w:sz w:val="24"/>
          <w:szCs w:val="24"/>
        </w:rPr>
      </w:pPr>
      <w:r w:rsidRPr="00840E13">
        <w:rPr>
          <w:rFonts w:ascii="Times New Roman" w:hAnsi="Times New Roman"/>
          <w:color w:val="000000"/>
          <w:sz w:val="24"/>
          <w:szCs w:val="24"/>
        </w:rPr>
        <w:t>La Direction des Mines détermine si les conditions techniques d’octroi du droit minier ou de carrière sollicité sont satisfaites. Elle transmet son avis technique au Cadastre Minier dans le délai d’instruction prescrit à chaque type de demande prévu dans le présent Code.</w:t>
      </w:r>
    </w:p>
    <w:p w14:paraId="2E9C8B81" w14:textId="77777777" w:rsidR="00C579DE" w:rsidRPr="00840E13" w:rsidRDefault="00C579DE" w:rsidP="00C579DE">
      <w:pPr>
        <w:autoSpaceDE w:val="0"/>
        <w:autoSpaceDN w:val="0"/>
        <w:adjustRightInd w:val="0"/>
        <w:spacing w:after="0" w:line="240" w:lineRule="auto"/>
        <w:jc w:val="both"/>
        <w:rPr>
          <w:rFonts w:ascii="Times New Roman" w:hAnsi="Times New Roman"/>
          <w:sz w:val="24"/>
          <w:szCs w:val="24"/>
        </w:rPr>
      </w:pPr>
      <w:r w:rsidRPr="00840E13">
        <w:rPr>
          <w:rFonts w:ascii="Times New Roman" w:hAnsi="Times New Roman"/>
          <w:color w:val="000000"/>
          <w:sz w:val="24"/>
          <w:szCs w:val="24"/>
        </w:rPr>
        <w:t xml:space="preserve"> </w:t>
      </w:r>
    </w:p>
    <w:p w14:paraId="46A0A65C" w14:textId="77777777" w:rsidR="00C579DE" w:rsidRPr="00840E13" w:rsidRDefault="00C579DE" w:rsidP="00C579DE">
      <w:pPr>
        <w:autoSpaceDE w:val="0"/>
        <w:autoSpaceDN w:val="0"/>
        <w:adjustRightInd w:val="0"/>
        <w:spacing w:after="0" w:line="240" w:lineRule="auto"/>
        <w:jc w:val="both"/>
        <w:rPr>
          <w:rFonts w:ascii="Times New Roman" w:hAnsi="Times New Roman"/>
          <w:color w:val="000000"/>
          <w:sz w:val="24"/>
          <w:szCs w:val="24"/>
        </w:rPr>
      </w:pPr>
      <w:r w:rsidRPr="00840E13">
        <w:rPr>
          <w:rFonts w:ascii="Times New Roman" w:hAnsi="Times New Roman"/>
          <w:color w:val="000000"/>
          <w:sz w:val="24"/>
          <w:szCs w:val="24"/>
        </w:rPr>
        <w:t>Dans un délai maximum de cinq jours ouvrables à dater de la réception de l’avis technique, le Cadastre Minier procède à :</w:t>
      </w:r>
    </w:p>
    <w:p w14:paraId="1C1AF0BD" w14:textId="77777777" w:rsidR="00C579DE" w:rsidRPr="00F821E5" w:rsidRDefault="00C579DE" w:rsidP="000738D3">
      <w:pPr>
        <w:pStyle w:val="Paragraphedeliste"/>
        <w:numPr>
          <w:ilvl w:val="0"/>
          <w:numId w:val="8"/>
        </w:numPr>
        <w:autoSpaceDE w:val="0"/>
        <w:autoSpaceDN w:val="0"/>
        <w:adjustRightInd w:val="0"/>
        <w:spacing w:after="0" w:line="240" w:lineRule="auto"/>
        <w:jc w:val="both"/>
        <w:rPr>
          <w:rFonts w:ascii="Times New Roman" w:hAnsi="Times New Roman"/>
          <w:sz w:val="24"/>
          <w:szCs w:val="24"/>
        </w:rPr>
      </w:pPr>
      <w:r w:rsidRPr="00F821E5">
        <w:rPr>
          <w:rFonts w:ascii="Times New Roman" w:hAnsi="Times New Roman"/>
          <w:color w:val="000000"/>
          <w:sz w:val="24"/>
          <w:szCs w:val="24"/>
        </w:rPr>
        <w:t>l’affichage du résultat de l’avis technique dans la salle de consultation</w:t>
      </w:r>
      <w:r w:rsidRPr="00F821E5">
        <w:rPr>
          <w:rFonts w:ascii="Times New Roman" w:hAnsi="Times New Roman"/>
          <w:sz w:val="24"/>
          <w:szCs w:val="24"/>
        </w:rPr>
        <w:t xml:space="preserve"> </w:t>
      </w:r>
      <w:r w:rsidRPr="00F821E5">
        <w:rPr>
          <w:rFonts w:ascii="Times New Roman" w:hAnsi="Times New Roman"/>
          <w:color w:val="000000"/>
          <w:sz w:val="24"/>
          <w:szCs w:val="24"/>
        </w:rPr>
        <w:t>de ses locaux.  Une copie dudit avis</w:t>
      </w:r>
      <w:r w:rsidRPr="00F821E5">
        <w:rPr>
          <w:rFonts w:ascii="Times New Roman" w:hAnsi="Times New Roman"/>
          <w:sz w:val="24"/>
          <w:szCs w:val="24"/>
        </w:rPr>
        <w:t xml:space="preserve"> </w:t>
      </w:r>
      <w:r w:rsidRPr="00F821E5">
        <w:rPr>
          <w:rFonts w:ascii="Times New Roman" w:hAnsi="Times New Roman"/>
          <w:color w:val="000000"/>
          <w:sz w:val="24"/>
          <w:szCs w:val="24"/>
        </w:rPr>
        <w:t xml:space="preserve">est communiquée au requérant ; </w:t>
      </w:r>
    </w:p>
    <w:p w14:paraId="509249EB" w14:textId="77777777" w:rsidR="00C579DE" w:rsidRPr="00F821E5" w:rsidRDefault="00C579DE" w:rsidP="000738D3">
      <w:pPr>
        <w:pStyle w:val="Paragraphedeliste"/>
        <w:numPr>
          <w:ilvl w:val="0"/>
          <w:numId w:val="9"/>
        </w:numPr>
        <w:autoSpaceDE w:val="0"/>
        <w:autoSpaceDN w:val="0"/>
        <w:adjustRightInd w:val="0"/>
        <w:spacing w:after="0" w:line="240" w:lineRule="auto"/>
        <w:jc w:val="both"/>
        <w:rPr>
          <w:rFonts w:ascii="Times New Roman" w:hAnsi="Times New Roman"/>
          <w:color w:val="000000"/>
          <w:sz w:val="24"/>
          <w:szCs w:val="24"/>
        </w:rPr>
      </w:pPr>
      <w:r w:rsidRPr="00F821E5">
        <w:rPr>
          <w:rFonts w:ascii="Times New Roman" w:hAnsi="Times New Roman"/>
          <w:color w:val="000000"/>
          <w:sz w:val="24"/>
          <w:szCs w:val="24"/>
        </w:rPr>
        <w:t>la transmission du dossier de demande, avec l’avis cadastral et l’avis technique, à l’autorité compétente pour décision.</w:t>
      </w:r>
      <w:r w:rsidRPr="00F821E5">
        <w:rPr>
          <w:rFonts w:ascii="Times New Roman" w:hAnsi="Times New Roman"/>
          <w:iCs/>
          <w:color w:val="000000"/>
          <w:sz w:val="24"/>
          <w:szCs w:val="24"/>
        </w:rPr>
        <w:t xml:space="preserve"> </w:t>
      </w:r>
    </w:p>
    <w:p w14:paraId="172A8C3F"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p>
    <w:p w14:paraId="5653187D" w14:textId="77777777" w:rsidR="00C579DE" w:rsidRPr="00840E13" w:rsidRDefault="00C579DE" w:rsidP="00C579DE">
      <w:pPr>
        <w:pStyle w:val="Paragraphedeliste"/>
        <w:numPr>
          <w:ilvl w:val="0"/>
          <w:numId w:val="1"/>
        </w:numPr>
        <w:tabs>
          <w:tab w:val="left" w:pos="2977"/>
        </w:tabs>
        <w:autoSpaceDE w:val="0"/>
        <w:autoSpaceDN w:val="0"/>
        <w:adjustRightInd w:val="0"/>
        <w:spacing w:after="0" w:line="360" w:lineRule="auto"/>
        <w:ind w:left="993" w:hanging="283"/>
        <w:contextualSpacing w:val="0"/>
        <w:jc w:val="both"/>
        <w:rPr>
          <w:rFonts w:ascii="Times New Roman" w:hAnsi="Times New Roman" w:cs="Times New Roman"/>
          <w:b/>
          <w:iCs/>
          <w:color w:val="000000"/>
          <w:sz w:val="24"/>
          <w:szCs w:val="24"/>
        </w:rPr>
      </w:pPr>
      <w:r w:rsidRPr="00840E13">
        <w:rPr>
          <w:rFonts w:ascii="Times New Roman" w:hAnsi="Times New Roman" w:cs="Times New Roman"/>
          <w:b/>
          <w:iCs/>
          <w:color w:val="000000"/>
          <w:sz w:val="24"/>
          <w:szCs w:val="24"/>
        </w:rPr>
        <w:t>De l’instruction environnementale et sociale (art. 42)</w:t>
      </w:r>
    </w:p>
    <w:p w14:paraId="4CDF57D0" w14:textId="77777777" w:rsidR="00C579DE" w:rsidRPr="00840E13" w:rsidRDefault="00C579DE" w:rsidP="00C579DE">
      <w:pPr>
        <w:shd w:val="clear" w:color="auto" w:fill="FFFFFF"/>
        <w:spacing w:line="240" w:lineRule="auto"/>
        <w:jc w:val="both"/>
        <w:rPr>
          <w:rFonts w:ascii="Times New Roman" w:hAnsi="Times New Roman"/>
          <w:iCs/>
          <w:color w:val="000000"/>
          <w:sz w:val="24"/>
          <w:szCs w:val="24"/>
        </w:rPr>
      </w:pPr>
      <w:r w:rsidRPr="00840E13">
        <w:rPr>
          <w:rFonts w:ascii="Times New Roman" w:hAnsi="Times New Roman"/>
          <w:bCs/>
          <w:iCs/>
          <w:color w:val="000000"/>
          <w:sz w:val="24"/>
          <w:szCs w:val="24"/>
        </w:rPr>
        <w:t xml:space="preserve">Au cours de cette instruction, </w:t>
      </w:r>
      <w:r w:rsidRPr="00840E13">
        <w:rPr>
          <w:rFonts w:ascii="Times New Roman" w:hAnsi="Times New Roman"/>
          <w:iCs/>
          <w:color w:val="000000"/>
          <w:sz w:val="24"/>
          <w:szCs w:val="24"/>
        </w:rPr>
        <w:t>l’Agence Congolaise de l’Environnement, le Fonds national de</w:t>
      </w:r>
      <w:r w:rsidRPr="00840E13">
        <w:rPr>
          <w:rFonts w:ascii="Times New Roman" w:hAnsi="Times New Roman"/>
          <w:b/>
          <w:bCs/>
          <w:iCs/>
          <w:color w:val="000000"/>
          <w:sz w:val="24"/>
          <w:szCs w:val="24"/>
        </w:rPr>
        <w:t xml:space="preserve"> </w:t>
      </w:r>
      <w:r w:rsidRPr="00840E13">
        <w:rPr>
          <w:rFonts w:ascii="Times New Roman" w:hAnsi="Times New Roman"/>
          <w:iCs/>
          <w:color w:val="000000"/>
          <w:sz w:val="24"/>
          <w:szCs w:val="24"/>
        </w:rPr>
        <w:t xml:space="preserve">promotion et de service social, en collaboration avec la Direction chargée de la protection de l’environnement minier et, le cas échéant, tout autre organisme de l’Etat concerné, instruisent : </w:t>
      </w:r>
    </w:p>
    <w:p w14:paraId="2F38AFB0" w14:textId="77777777" w:rsidR="00C579DE" w:rsidRPr="00F821E5" w:rsidRDefault="00C579DE" w:rsidP="000738D3">
      <w:pPr>
        <w:pStyle w:val="Paragraphedeliste"/>
        <w:numPr>
          <w:ilvl w:val="0"/>
          <w:numId w:val="8"/>
        </w:numPr>
        <w:autoSpaceDE w:val="0"/>
        <w:autoSpaceDN w:val="0"/>
        <w:adjustRightInd w:val="0"/>
        <w:spacing w:after="0" w:line="240" w:lineRule="auto"/>
        <w:jc w:val="both"/>
        <w:rPr>
          <w:rFonts w:ascii="Times New Roman" w:hAnsi="Times New Roman"/>
          <w:color w:val="000000"/>
          <w:sz w:val="24"/>
          <w:szCs w:val="24"/>
        </w:rPr>
      </w:pPr>
      <w:r w:rsidRPr="00F821E5">
        <w:rPr>
          <w:rFonts w:ascii="Times New Roman" w:hAnsi="Times New Roman"/>
          <w:color w:val="000000"/>
          <w:sz w:val="24"/>
          <w:szCs w:val="24"/>
        </w:rPr>
        <w:t xml:space="preserve">l’EIES et le PGES relatifs à la demande de droit minier d’exploitation ou de l’autorisation d’exploitation de carrière permanente ; </w:t>
      </w:r>
    </w:p>
    <w:p w14:paraId="2CB8C6B5" w14:textId="77777777" w:rsidR="00C579DE" w:rsidRPr="00F821E5" w:rsidRDefault="00C579DE" w:rsidP="000738D3">
      <w:pPr>
        <w:pStyle w:val="Paragraphedeliste"/>
        <w:numPr>
          <w:ilvl w:val="0"/>
          <w:numId w:val="8"/>
        </w:numPr>
        <w:autoSpaceDE w:val="0"/>
        <w:autoSpaceDN w:val="0"/>
        <w:adjustRightInd w:val="0"/>
        <w:spacing w:after="0" w:line="240" w:lineRule="auto"/>
        <w:jc w:val="both"/>
        <w:rPr>
          <w:rFonts w:ascii="Times New Roman" w:hAnsi="Times New Roman"/>
          <w:color w:val="000000"/>
          <w:sz w:val="24"/>
          <w:szCs w:val="24"/>
        </w:rPr>
      </w:pPr>
      <w:r w:rsidRPr="00F821E5">
        <w:rPr>
          <w:rFonts w:ascii="Times New Roman" w:hAnsi="Times New Roman"/>
          <w:color w:val="000000"/>
          <w:sz w:val="24"/>
          <w:szCs w:val="24"/>
        </w:rPr>
        <w:t xml:space="preserve">le PAR relatif à une demande d’autorisation d’exploitation de carrière temporaire ; </w:t>
      </w:r>
    </w:p>
    <w:p w14:paraId="47ABEA71" w14:textId="77777777" w:rsidR="00C579DE" w:rsidRPr="00F821E5" w:rsidRDefault="00C579DE" w:rsidP="000738D3">
      <w:pPr>
        <w:pStyle w:val="Paragraphedeliste"/>
        <w:numPr>
          <w:ilvl w:val="0"/>
          <w:numId w:val="8"/>
        </w:numPr>
        <w:autoSpaceDE w:val="0"/>
        <w:autoSpaceDN w:val="0"/>
        <w:adjustRightInd w:val="0"/>
        <w:spacing w:after="0" w:line="240" w:lineRule="auto"/>
        <w:jc w:val="both"/>
        <w:rPr>
          <w:rFonts w:ascii="Times New Roman" w:hAnsi="Times New Roman"/>
          <w:color w:val="000000"/>
          <w:sz w:val="24"/>
          <w:szCs w:val="24"/>
        </w:rPr>
      </w:pPr>
      <w:r w:rsidRPr="00F821E5">
        <w:rPr>
          <w:rFonts w:ascii="Times New Roman" w:hAnsi="Times New Roman"/>
          <w:color w:val="000000"/>
          <w:sz w:val="24"/>
          <w:szCs w:val="24"/>
        </w:rPr>
        <w:t xml:space="preserve">le dossier de la demande de transfert du droit minier ou de l’autorisation d’exploitation de carrières permanente ; </w:t>
      </w:r>
    </w:p>
    <w:p w14:paraId="294DBEFA" w14:textId="77777777" w:rsidR="00C579DE" w:rsidRDefault="00C579DE" w:rsidP="000738D3">
      <w:pPr>
        <w:pStyle w:val="Paragraphedeliste"/>
        <w:numPr>
          <w:ilvl w:val="0"/>
          <w:numId w:val="8"/>
        </w:numPr>
        <w:autoSpaceDE w:val="0"/>
        <w:autoSpaceDN w:val="0"/>
        <w:adjustRightInd w:val="0"/>
        <w:spacing w:after="0" w:line="240" w:lineRule="auto"/>
        <w:jc w:val="both"/>
        <w:rPr>
          <w:rFonts w:ascii="Times New Roman" w:hAnsi="Times New Roman"/>
          <w:color w:val="000000"/>
          <w:sz w:val="24"/>
          <w:szCs w:val="24"/>
        </w:rPr>
      </w:pPr>
      <w:r w:rsidRPr="00F821E5">
        <w:rPr>
          <w:rFonts w:ascii="Times New Roman" w:hAnsi="Times New Roman"/>
          <w:color w:val="000000"/>
          <w:sz w:val="24"/>
          <w:szCs w:val="24"/>
        </w:rPr>
        <w:t>ainsi que le plan pour la contribution du projet au développement des communautés environnantes.</w:t>
      </w:r>
    </w:p>
    <w:p w14:paraId="26A45311" w14:textId="77777777" w:rsidR="00C579DE" w:rsidRPr="00F821E5" w:rsidRDefault="00C579DE" w:rsidP="00C579DE">
      <w:pPr>
        <w:pStyle w:val="Paragraphedeliste"/>
        <w:autoSpaceDE w:val="0"/>
        <w:autoSpaceDN w:val="0"/>
        <w:adjustRightInd w:val="0"/>
        <w:spacing w:after="0" w:line="240" w:lineRule="auto"/>
        <w:ind w:left="735"/>
        <w:jc w:val="both"/>
        <w:rPr>
          <w:rFonts w:ascii="Times New Roman" w:hAnsi="Times New Roman"/>
          <w:color w:val="000000"/>
          <w:sz w:val="24"/>
          <w:szCs w:val="24"/>
        </w:rPr>
      </w:pPr>
    </w:p>
    <w:p w14:paraId="09136947"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r w:rsidRPr="00840E13">
        <w:rPr>
          <w:rFonts w:ascii="Times New Roman" w:hAnsi="Times New Roman"/>
          <w:iCs/>
          <w:color w:val="000000"/>
          <w:sz w:val="24"/>
          <w:szCs w:val="24"/>
        </w:rPr>
        <w:t xml:space="preserve">L’Agence Congolaise de l’Environnement transmet, à la conclusion de l’instruction environnementale réalisée, son certificat environnemental, le cas échéant, au Cadastre minier dans le délai prescrit pour chaque type des droits miniers et/ou de carrières. Une copie du certificat environnemental est communiquée au requérant. </w:t>
      </w:r>
    </w:p>
    <w:p w14:paraId="48BA81D0"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color w:val="000000"/>
          <w:sz w:val="24"/>
          <w:szCs w:val="24"/>
        </w:rPr>
      </w:pPr>
    </w:p>
    <w:p w14:paraId="3612EB2B"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r w:rsidRPr="00840E13">
        <w:rPr>
          <w:rFonts w:ascii="Times New Roman" w:hAnsi="Times New Roman"/>
          <w:iCs/>
          <w:color w:val="000000"/>
          <w:sz w:val="24"/>
          <w:szCs w:val="24"/>
        </w:rPr>
        <w:t xml:space="preserve">Dans un délai maximum de cinq jours ouvrables à compter de la réception du certificat environnemental, le Cadastre minier procède à : </w:t>
      </w:r>
    </w:p>
    <w:p w14:paraId="0ED4ABF6" w14:textId="77777777" w:rsidR="00C579DE" w:rsidRDefault="00C579DE" w:rsidP="00C579DE">
      <w:pPr>
        <w:tabs>
          <w:tab w:val="left" w:pos="8505"/>
        </w:tabs>
        <w:autoSpaceDE w:val="0"/>
        <w:autoSpaceDN w:val="0"/>
        <w:adjustRightInd w:val="0"/>
        <w:spacing w:after="0" w:line="240" w:lineRule="auto"/>
        <w:jc w:val="both"/>
        <w:rPr>
          <w:rFonts w:ascii="Times New Roman" w:hAnsi="Times New Roman"/>
          <w:sz w:val="24"/>
          <w:szCs w:val="24"/>
        </w:rPr>
      </w:pPr>
    </w:p>
    <w:p w14:paraId="0FD5BFF5" w14:textId="77777777" w:rsidR="00C579DE" w:rsidRPr="00F821E5" w:rsidRDefault="00C579DE" w:rsidP="000738D3">
      <w:pPr>
        <w:pStyle w:val="Paragraphedeliste"/>
        <w:numPr>
          <w:ilvl w:val="0"/>
          <w:numId w:val="10"/>
        </w:numPr>
        <w:tabs>
          <w:tab w:val="left" w:pos="8505"/>
        </w:tabs>
        <w:autoSpaceDE w:val="0"/>
        <w:autoSpaceDN w:val="0"/>
        <w:adjustRightInd w:val="0"/>
        <w:spacing w:after="0" w:line="240" w:lineRule="auto"/>
        <w:jc w:val="both"/>
        <w:rPr>
          <w:rFonts w:ascii="Times New Roman" w:hAnsi="Times New Roman"/>
          <w:iCs/>
          <w:color w:val="000000"/>
          <w:sz w:val="24"/>
          <w:szCs w:val="24"/>
        </w:rPr>
      </w:pPr>
      <w:r w:rsidRPr="00F821E5">
        <w:rPr>
          <w:rFonts w:ascii="Times New Roman" w:hAnsi="Times New Roman"/>
          <w:iCs/>
          <w:color w:val="000000"/>
          <w:sz w:val="24"/>
          <w:szCs w:val="24"/>
        </w:rPr>
        <w:lastRenderedPageBreak/>
        <w:t xml:space="preserve">L’affichage du certificat environnemental de l’Agence Congolaise de l’Environnement dans la salle déterminée par le Règlement minier. Une copie du certificat environnemental est communiquée au requérant ; </w:t>
      </w:r>
    </w:p>
    <w:p w14:paraId="1631C757" w14:textId="77777777" w:rsidR="00C579DE" w:rsidRPr="00840E13" w:rsidRDefault="00C579DE" w:rsidP="00C579DE">
      <w:pPr>
        <w:tabs>
          <w:tab w:val="left" w:pos="8505"/>
        </w:tabs>
        <w:autoSpaceDE w:val="0"/>
        <w:autoSpaceDN w:val="0"/>
        <w:adjustRightInd w:val="0"/>
        <w:spacing w:after="0" w:line="240" w:lineRule="auto"/>
        <w:ind w:left="1418" w:hanging="284"/>
        <w:jc w:val="both"/>
        <w:rPr>
          <w:rFonts w:ascii="Times New Roman" w:hAnsi="Times New Roman"/>
          <w:b/>
          <w:bCs/>
          <w:iCs/>
          <w:color w:val="000000"/>
          <w:sz w:val="24"/>
          <w:szCs w:val="24"/>
        </w:rPr>
      </w:pPr>
    </w:p>
    <w:p w14:paraId="0EB903F7" w14:textId="77777777" w:rsidR="00C579DE" w:rsidRPr="00F821E5" w:rsidRDefault="00C579DE" w:rsidP="000738D3">
      <w:pPr>
        <w:pStyle w:val="Paragraphedeliste"/>
        <w:numPr>
          <w:ilvl w:val="0"/>
          <w:numId w:val="10"/>
        </w:numPr>
        <w:tabs>
          <w:tab w:val="left" w:pos="8505"/>
        </w:tabs>
        <w:autoSpaceDE w:val="0"/>
        <w:autoSpaceDN w:val="0"/>
        <w:adjustRightInd w:val="0"/>
        <w:spacing w:after="0" w:line="240" w:lineRule="auto"/>
        <w:jc w:val="both"/>
        <w:rPr>
          <w:rFonts w:ascii="Times New Roman" w:hAnsi="Times New Roman"/>
          <w:iCs/>
          <w:color w:val="000000"/>
          <w:sz w:val="24"/>
          <w:szCs w:val="24"/>
        </w:rPr>
      </w:pPr>
      <w:r w:rsidRPr="00F821E5">
        <w:rPr>
          <w:rFonts w:ascii="Times New Roman" w:hAnsi="Times New Roman"/>
          <w:iCs/>
          <w:color w:val="000000"/>
          <w:sz w:val="24"/>
          <w:szCs w:val="24"/>
        </w:rPr>
        <w:t xml:space="preserve">La transmission du dossier de demande, avec l’avis cadastral, l’avis technique et le certificat environnemental, le cas échéant, à l’autorité compétente pour décision. </w:t>
      </w:r>
    </w:p>
    <w:p w14:paraId="6AD9C669" w14:textId="77777777" w:rsidR="00C579DE" w:rsidRPr="00840E13" w:rsidRDefault="00C579DE" w:rsidP="00C579DE">
      <w:pPr>
        <w:tabs>
          <w:tab w:val="left" w:pos="8505"/>
        </w:tabs>
        <w:autoSpaceDE w:val="0"/>
        <w:autoSpaceDN w:val="0"/>
        <w:adjustRightInd w:val="0"/>
        <w:spacing w:after="0" w:line="240" w:lineRule="auto"/>
        <w:ind w:left="1418"/>
        <w:jc w:val="both"/>
        <w:rPr>
          <w:rFonts w:ascii="Times New Roman" w:hAnsi="Times New Roman"/>
          <w:iCs/>
          <w:color w:val="000000"/>
          <w:sz w:val="24"/>
          <w:szCs w:val="24"/>
        </w:rPr>
      </w:pPr>
    </w:p>
    <w:p w14:paraId="3F9DA660"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r w:rsidRPr="00840E13">
        <w:rPr>
          <w:rFonts w:ascii="Times New Roman" w:hAnsi="Times New Roman"/>
          <w:bCs/>
          <w:iCs/>
          <w:color w:val="000000"/>
          <w:sz w:val="24"/>
          <w:szCs w:val="24"/>
        </w:rPr>
        <w:t>L’Article 43 al. 1</w:t>
      </w:r>
      <w:r w:rsidRPr="00840E13">
        <w:rPr>
          <w:rFonts w:ascii="Times New Roman" w:hAnsi="Times New Roman"/>
          <w:bCs/>
          <w:iCs/>
          <w:color w:val="000000"/>
          <w:sz w:val="24"/>
          <w:szCs w:val="24"/>
          <w:vertAlign w:val="superscript"/>
        </w:rPr>
        <w:t>er</w:t>
      </w:r>
      <w:r w:rsidRPr="00840E13">
        <w:rPr>
          <w:rFonts w:ascii="Times New Roman" w:hAnsi="Times New Roman"/>
          <w:bCs/>
          <w:iCs/>
          <w:color w:val="000000"/>
          <w:sz w:val="24"/>
          <w:szCs w:val="24"/>
        </w:rPr>
        <w:t xml:space="preserve"> et 4 prévoit qu’à</w:t>
      </w:r>
      <w:r w:rsidRPr="00840E13">
        <w:rPr>
          <w:rFonts w:ascii="Times New Roman" w:hAnsi="Times New Roman"/>
          <w:iCs/>
          <w:color w:val="000000"/>
          <w:sz w:val="24"/>
          <w:szCs w:val="24"/>
        </w:rPr>
        <w:t xml:space="preserve"> la réception du dossier de demande avec avis cadastral et, le cas échéant, technique,</w:t>
      </w:r>
      <w:r w:rsidRPr="00840E13">
        <w:rPr>
          <w:rFonts w:ascii="Times New Roman" w:hAnsi="Times New Roman"/>
          <w:sz w:val="24"/>
          <w:szCs w:val="24"/>
        </w:rPr>
        <w:t xml:space="preserve"> </w:t>
      </w:r>
      <w:r w:rsidRPr="00840E13">
        <w:rPr>
          <w:rFonts w:ascii="Times New Roman" w:hAnsi="Times New Roman"/>
          <w:iCs/>
          <w:color w:val="000000"/>
          <w:sz w:val="24"/>
          <w:szCs w:val="24"/>
        </w:rPr>
        <w:t xml:space="preserve">environnemental et social favorables, l’autorité compétente prend et transmet sa décision d’octroi au Cadastre minier dans le délai de décision prescrit pour chaque type de demande de droit minier ou de carrières. </w:t>
      </w:r>
    </w:p>
    <w:p w14:paraId="1E049103"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p>
    <w:p w14:paraId="303BD54A" w14:textId="77777777" w:rsidR="00C579DE" w:rsidRDefault="00C579DE" w:rsidP="00C579DE">
      <w:pPr>
        <w:autoSpaceDE w:val="0"/>
        <w:autoSpaceDN w:val="0"/>
        <w:adjustRightInd w:val="0"/>
        <w:spacing w:after="0" w:line="240" w:lineRule="auto"/>
        <w:jc w:val="both"/>
        <w:rPr>
          <w:rFonts w:ascii="Times New Roman" w:hAnsi="Times New Roman"/>
          <w:color w:val="000000"/>
          <w:sz w:val="24"/>
          <w:szCs w:val="24"/>
        </w:rPr>
      </w:pPr>
      <w:r w:rsidRPr="00840E13">
        <w:rPr>
          <w:rFonts w:ascii="Times New Roman" w:hAnsi="Times New Roman"/>
          <w:color w:val="000000"/>
          <w:sz w:val="24"/>
          <w:szCs w:val="24"/>
        </w:rPr>
        <w:t>Dans ce cas</w:t>
      </w:r>
      <w:r>
        <w:rPr>
          <w:rFonts w:ascii="Times New Roman" w:hAnsi="Times New Roman"/>
          <w:color w:val="000000"/>
          <w:sz w:val="24"/>
          <w:szCs w:val="24"/>
        </w:rPr>
        <w:t xml:space="preserve"> (où </w:t>
      </w:r>
      <w:r w:rsidRPr="00840E13">
        <w:rPr>
          <w:rFonts w:ascii="Times New Roman" w:hAnsi="Times New Roman"/>
          <w:color w:val="000000"/>
          <w:sz w:val="24"/>
          <w:szCs w:val="24"/>
        </w:rPr>
        <w:t>l’autorité compétente transmet sa décision</w:t>
      </w:r>
      <w:r>
        <w:rPr>
          <w:rFonts w:ascii="Times New Roman" w:hAnsi="Times New Roman"/>
          <w:color w:val="000000"/>
          <w:sz w:val="24"/>
          <w:szCs w:val="24"/>
        </w:rPr>
        <w:t xml:space="preserve"> d’octroi dans le délai),</w:t>
      </w:r>
      <w:r w:rsidRPr="00840E13">
        <w:rPr>
          <w:rFonts w:ascii="Times New Roman" w:hAnsi="Times New Roman"/>
          <w:color w:val="000000"/>
          <w:sz w:val="24"/>
          <w:szCs w:val="24"/>
        </w:rPr>
        <w:t xml:space="preserve"> le Cadastre Minier procède à l’inscription du droit accordé, à</w:t>
      </w:r>
      <w:r w:rsidRPr="00840E13">
        <w:rPr>
          <w:rFonts w:ascii="Times New Roman" w:hAnsi="Times New Roman"/>
          <w:sz w:val="24"/>
          <w:szCs w:val="24"/>
        </w:rPr>
        <w:t xml:space="preserve"> </w:t>
      </w:r>
      <w:r w:rsidRPr="00840E13">
        <w:rPr>
          <w:rFonts w:ascii="Times New Roman" w:hAnsi="Times New Roman"/>
          <w:color w:val="000000"/>
          <w:sz w:val="24"/>
          <w:szCs w:val="24"/>
        </w:rPr>
        <w:t>la notification du</w:t>
      </w:r>
      <w:r w:rsidRPr="00840E13">
        <w:rPr>
          <w:rFonts w:ascii="Times New Roman" w:hAnsi="Times New Roman"/>
          <w:sz w:val="24"/>
          <w:szCs w:val="24"/>
        </w:rPr>
        <w:t xml:space="preserve"> </w:t>
      </w:r>
      <w:r w:rsidRPr="00840E13">
        <w:rPr>
          <w:rFonts w:ascii="Times New Roman" w:hAnsi="Times New Roman"/>
          <w:color w:val="000000"/>
          <w:sz w:val="24"/>
          <w:szCs w:val="24"/>
        </w:rPr>
        <w:t>requérant et à son affichage dans la salle</w:t>
      </w:r>
      <w:r w:rsidRPr="00840E13">
        <w:rPr>
          <w:rFonts w:ascii="Times New Roman" w:hAnsi="Times New Roman"/>
          <w:sz w:val="24"/>
          <w:szCs w:val="24"/>
        </w:rPr>
        <w:t xml:space="preserve"> </w:t>
      </w:r>
      <w:r w:rsidRPr="00840E13">
        <w:rPr>
          <w:rFonts w:ascii="Times New Roman" w:hAnsi="Times New Roman"/>
          <w:color w:val="000000"/>
          <w:sz w:val="24"/>
          <w:szCs w:val="24"/>
        </w:rPr>
        <w:t>déterminée par le Règlement Minier.</w:t>
      </w:r>
      <w:r>
        <w:rPr>
          <w:rFonts w:ascii="Times New Roman" w:hAnsi="Times New Roman"/>
          <w:color w:val="000000"/>
          <w:sz w:val="24"/>
          <w:szCs w:val="24"/>
        </w:rPr>
        <w:t xml:space="preserve"> Et le </w:t>
      </w:r>
      <w:r w:rsidRPr="00840E13">
        <w:rPr>
          <w:rFonts w:ascii="Times New Roman" w:hAnsi="Times New Roman"/>
          <w:color w:val="000000"/>
          <w:sz w:val="24"/>
          <w:szCs w:val="24"/>
        </w:rPr>
        <w:t>requérant</w:t>
      </w:r>
      <w:r>
        <w:rPr>
          <w:rFonts w:ascii="Times New Roman" w:hAnsi="Times New Roman"/>
          <w:color w:val="000000"/>
          <w:sz w:val="24"/>
          <w:szCs w:val="24"/>
        </w:rPr>
        <w:t xml:space="preserve"> entre en jouissance de son droit.</w:t>
      </w:r>
    </w:p>
    <w:p w14:paraId="02725061" w14:textId="77777777" w:rsidR="00C579DE" w:rsidRPr="00840E13" w:rsidRDefault="00C579DE" w:rsidP="00C579DE">
      <w:pPr>
        <w:autoSpaceDE w:val="0"/>
        <w:autoSpaceDN w:val="0"/>
        <w:adjustRightInd w:val="0"/>
        <w:spacing w:after="0" w:line="240" w:lineRule="auto"/>
        <w:ind w:left="1418"/>
        <w:jc w:val="both"/>
        <w:rPr>
          <w:rFonts w:ascii="Times New Roman" w:hAnsi="Times New Roman"/>
          <w:sz w:val="24"/>
          <w:szCs w:val="24"/>
        </w:rPr>
      </w:pPr>
    </w:p>
    <w:p w14:paraId="76823A34"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sz w:val="24"/>
          <w:szCs w:val="24"/>
        </w:rPr>
        <w:t>Dans le</w:t>
      </w:r>
      <w:r w:rsidRPr="00840E13">
        <w:rPr>
          <w:rFonts w:ascii="Times New Roman" w:hAnsi="Times New Roman"/>
          <w:color w:val="000000"/>
          <w:sz w:val="24"/>
          <w:szCs w:val="24"/>
        </w:rPr>
        <w:t xml:space="preserve"> cas où l’autorité compétente ne transmet pas sa décision</w:t>
      </w:r>
      <w:r>
        <w:rPr>
          <w:rFonts w:ascii="Times New Roman" w:hAnsi="Times New Roman"/>
          <w:color w:val="000000"/>
          <w:sz w:val="24"/>
          <w:szCs w:val="24"/>
        </w:rPr>
        <w:t xml:space="preserve"> dans le délai,</w:t>
      </w:r>
      <w:r w:rsidRPr="00840E13">
        <w:rPr>
          <w:rFonts w:ascii="Times New Roman" w:hAnsi="Times New Roman"/>
          <w:color w:val="000000"/>
          <w:sz w:val="24"/>
          <w:szCs w:val="24"/>
        </w:rPr>
        <w:t xml:space="preserve"> conformément à l’alinéa 1er ci-dessus, la décision d’octroi du droit minier ou de carrières est réputée accordée.</w:t>
      </w:r>
      <w:r>
        <w:rPr>
          <w:rFonts w:ascii="Times New Roman" w:hAnsi="Times New Roman"/>
          <w:color w:val="000000"/>
          <w:sz w:val="24"/>
          <w:szCs w:val="24"/>
        </w:rPr>
        <w:t xml:space="preserve"> Mais, pour entrer en jouissance d’un droit réputé octroyé,</w:t>
      </w:r>
      <w:r>
        <w:rPr>
          <w:rFonts w:ascii="Times New Roman" w:hAnsi="Times New Roman"/>
          <w:iCs/>
          <w:color w:val="000000"/>
          <w:sz w:val="24"/>
          <w:szCs w:val="24"/>
        </w:rPr>
        <w:t xml:space="preserve"> le</w:t>
      </w:r>
      <w:r w:rsidR="000B5866">
        <w:rPr>
          <w:rFonts w:ascii="Times New Roman" w:hAnsi="Times New Roman"/>
          <w:iCs/>
          <w:color w:val="000000"/>
          <w:sz w:val="24"/>
          <w:szCs w:val="24"/>
        </w:rPr>
        <w:t xml:space="preserve"> </w:t>
      </w:r>
      <w:r w:rsidRPr="00840E13">
        <w:rPr>
          <w:rFonts w:ascii="Times New Roman" w:hAnsi="Times New Roman"/>
          <w:iCs/>
          <w:color w:val="000000"/>
          <w:sz w:val="24"/>
          <w:szCs w:val="24"/>
        </w:rPr>
        <w:t>requérant demande au Cadastre minier, dans les soixante jours de l’expiration du délai imparti à</w:t>
      </w:r>
      <w:r w:rsidRPr="00840E13">
        <w:rPr>
          <w:rFonts w:ascii="Times New Roman" w:hAnsi="Times New Roman"/>
          <w:sz w:val="24"/>
          <w:szCs w:val="24"/>
        </w:rPr>
        <w:t xml:space="preserve"> </w:t>
      </w:r>
      <w:r w:rsidRPr="00840E13">
        <w:rPr>
          <w:rFonts w:ascii="Times New Roman" w:hAnsi="Times New Roman"/>
          <w:iCs/>
          <w:color w:val="000000"/>
          <w:sz w:val="24"/>
          <w:szCs w:val="24"/>
        </w:rPr>
        <w:t>l’autorité compétente, de procéder à l’inscription de son droit et à la délivrance du titre y afférent. Passé</w:t>
      </w:r>
      <w:r w:rsidRPr="00840E13">
        <w:rPr>
          <w:rFonts w:ascii="Times New Roman" w:hAnsi="Times New Roman"/>
          <w:sz w:val="24"/>
          <w:szCs w:val="24"/>
        </w:rPr>
        <w:t xml:space="preserve"> </w:t>
      </w:r>
      <w:r w:rsidRPr="00840E13">
        <w:rPr>
          <w:rFonts w:ascii="Times New Roman" w:hAnsi="Times New Roman"/>
          <w:iCs/>
          <w:color w:val="000000"/>
          <w:sz w:val="24"/>
          <w:szCs w:val="24"/>
        </w:rPr>
        <w:t>ce délai</w:t>
      </w:r>
      <w:r>
        <w:rPr>
          <w:rFonts w:ascii="Times New Roman" w:hAnsi="Times New Roman"/>
          <w:iCs/>
          <w:color w:val="000000"/>
          <w:sz w:val="24"/>
          <w:szCs w:val="24"/>
        </w:rPr>
        <w:t xml:space="preserve"> de soixante jours</w:t>
      </w:r>
      <w:r w:rsidRPr="00840E13">
        <w:rPr>
          <w:rFonts w:ascii="Times New Roman" w:hAnsi="Times New Roman"/>
          <w:iCs/>
          <w:color w:val="000000"/>
          <w:sz w:val="24"/>
          <w:szCs w:val="24"/>
        </w:rPr>
        <w:t xml:space="preserve">, le droit est d’office renoncé. </w:t>
      </w:r>
    </w:p>
    <w:p w14:paraId="7CFFDA18" w14:textId="77777777" w:rsidR="00C579DE" w:rsidRPr="00840E13" w:rsidRDefault="00C579DE" w:rsidP="00C579DE">
      <w:pPr>
        <w:tabs>
          <w:tab w:val="left" w:pos="8505"/>
        </w:tabs>
        <w:autoSpaceDE w:val="0"/>
        <w:autoSpaceDN w:val="0"/>
        <w:adjustRightInd w:val="0"/>
        <w:spacing w:after="0" w:line="240" w:lineRule="auto"/>
        <w:ind w:left="1418"/>
        <w:jc w:val="both"/>
        <w:rPr>
          <w:rFonts w:ascii="Times New Roman" w:hAnsi="Times New Roman"/>
          <w:iCs/>
          <w:color w:val="000000"/>
          <w:sz w:val="24"/>
          <w:szCs w:val="24"/>
        </w:rPr>
      </w:pPr>
    </w:p>
    <w:p w14:paraId="7E5ECF90"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r w:rsidRPr="00840E13">
        <w:rPr>
          <w:rFonts w:ascii="Times New Roman" w:hAnsi="Times New Roman"/>
          <w:bCs/>
          <w:iCs/>
          <w:color w:val="000000"/>
          <w:sz w:val="24"/>
          <w:szCs w:val="24"/>
        </w:rPr>
        <w:t>A ce propos, l’article 47</w:t>
      </w:r>
      <w:r w:rsidRPr="00840E13">
        <w:rPr>
          <w:rFonts w:ascii="Times New Roman" w:hAnsi="Times New Roman"/>
          <w:iCs/>
          <w:color w:val="000000"/>
          <w:sz w:val="24"/>
          <w:szCs w:val="24"/>
        </w:rPr>
        <w:t xml:space="preserve"> stipule qu’en cas de décision d’octroi ou en cas de décision d’inscription par voie judiciaire prévue à l’article 46 du Code, le Cadastre minier délivre au requérant les titres miniers et/ou de carrières constatant les droits miniers ou des carrières octroyés, moyennant paiement des droits </w:t>
      </w:r>
      <w:proofErr w:type="spellStart"/>
      <w:r w:rsidRPr="00840E13">
        <w:rPr>
          <w:rFonts w:ascii="Times New Roman" w:hAnsi="Times New Roman"/>
          <w:iCs/>
          <w:color w:val="000000"/>
          <w:sz w:val="24"/>
          <w:szCs w:val="24"/>
        </w:rPr>
        <w:t>superficiaires</w:t>
      </w:r>
      <w:proofErr w:type="spellEnd"/>
      <w:r w:rsidRPr="00840E13">
        <w:rPr>
          <w:rFonts w:ascii="Times New Roman" w:hAnsi="Times New Roman"/>
          <w:iCs/>
          <w:color w:val="000000"/>
          <w:sz w:val="24"/>
          <w:szCs w:val="24"/>
        </w:rPr>
        <w:t xml:space="preserve"> annuels par carrés y afférents. </w:t>
      </w:r>
    </w:p>
    <w:p w14:paraId="164DC977"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p>
    <w:p w14:paraId="4136A156" w14:textId="77777777" w:rsidR="00C579DE"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r w:rsidRPr="00840E13">
        <w:rPr>
          <w:rFonts w:ascii="Times New Roman" w:hAnsi="Times New Roman"/>
          <w:iCs/>
          <w:color w:val="000000"/>
          <w:sz w:val="24"/>
          <w:szCs w:val="24"/>
        </w:rPr>
        <w:t xml:space="preserve">Sans préjudice des dispositions de l’article 198 du Code, ces droits sont payés, pour la première année, au plus tard trente jours ouvrables à compter de la notification de l’octroi du droit sollicité et des notes de débit y afférentes. Passé ce délai, le droit accordé devient d’office caduc.  </w:t>
      </w:r>
    </w:p>
    <w:p w14:paraId="67D8488A" w14:textId="77777777" w:rsidR="000B5866" w:rsidRDefault="000B5866">
      <w:pPr>
        <w:rPr>
          <w:rFonts w:ascii="Times New Roman" w:hAnsi="Times New Roman"/>
          <w:iCs/>
          <w:color w:val="000000"/>
          <w:sz w:val="24"/>
          <w:szCs w:val="24"/>
        </w:rPr>
      </w:pPr>
      <w:r>
        <w:rPr>
          <w:rFonts w:ascii="Times New Roman" w:hAnsi="Times New Roman"/>
          <w:iCs/>
          <w:color w:val="000000"/>
          <w:sz w:val="24"/>
          <w:szCs w:val="24"/>
        </w:rPr>
        <w:br w:type="page"/>
      </w:r>
    </w:p>
    <w:p w14:paraId="6F63D057" w14:textId="77777777" w:rsidR="00C579DE" w:rsidRPr="00A12860" w:rsidRDefault="00C579DE" w:rsidP="00A12860">
      <w:pPr>
        <w:pStyle w:val="Paragraphedeliste"/>
        <w:numPr>
          <w:ilvl w:val="0"/>
          <w:numId w:val="65"/>
        </w:numPr>
        <w:rPr>
          <w:rFonts w:ascii="Times New Roman" w:hAnsi="Times New Roman"/>
          <w:b/>
          <w:i/>
          <w:sz w:val="24"/>
          <w:szCs w:val="24"/>
        </w:rPr>
      </w:pPr>
      <w:r w:rsidRPr="00A12860">
        <w:rPr>
          <w:rFonts w:ascii="Times New Roman" w:hAnsi="Times New Roman"/>
          <w:b/>
          <w:i/>
          <w:sz w:val="24"/>
          <w:szCs w:val="24"/>
        </w:rPr>
        <w:lastRenderedPageBreak/>
        <w:t xml:space="preserve">Procédure de renonciation au permis </w:t>
      </w:r>
    </w:p>
    <w:p w14:paraId="633C7D42" w14:textId="77777777" w:rsidR="00C579DE" w:rsidRPr="00584826" w:rsidRDefault="00C579DE" w:rsidP="00C579DE">
      <w:pPr>
        <w:tabs>
          <w:tab w:val="left" w:pos="0"/>
        </w:tabs>
        <w:autoSpaceDE w:val="0"/>
        <w:autoSpaceDN w:val="0"/>
        <w:adjustRightInd w:val="0"/>
        <w:spacing w:after="0" w:line="240" w:lineRule="auto"/>
        <w:jc w:val="both"/>
        <w:rPr>
          <w:rFonts w:ascii="Times New Roman" w:hAnsi="Times New Roman"/>
          <w:bCs/>
          <w:color w:val="000000"/>
          <w:sz w:val="24"/>
          <w:szCs w:val="24"/>
        </w:rPr>
      </w:pPr>
      <w:r w:rsidRPr="00584826">
        <w:rPr>
          <w:rFonts w:ascii="Times New Roman" w:hAnsi="Times New Roman"/>
          <w:bCs/>
          <w:iCs/>
          <w:color w:val="000000"/>
          <w:sz w:val="24"/>
          <w:szCs w:val="24"/>
        </w:rPr>
        <w:t>La procédure de renonciation au Permis est la même, mutatis mutandis, pour le PR (art. 60 du Code), le PE (art. 79 du Code) et le PER (art. 96 du Code)</w:t>
      </w:r>
    </w:p>
    <w:p w14:paraId="229E3D4C" w14:textId="77777777" w:rsidR="00C579DE" w:rsidRPr="00584826" w:rsidRDefault="00C579DE" w:rsidP="00C579DE">
      <w:pPr>
        <w:autoSpaceDE w:val="0"/>
        <w:autoSpaceDN w:val="0"/>
        <w:adjustRightInd w:val="0"/>
        <w:spacing w:after="0" w:line="240" w:lineRule="auto"/>
        <w:jc w:val="both"/>
        <w:rPr>
          <w:rFonts w:ascii="Times New Roman" w:hAnsi="Times New Roman"/>
          <w:sz w:val="24"/>
          <w:szCs w:val="24"/>
        </w:rPr>
      </w:pPr>
    </w:p>
    <w:p w14:paraId="2BA24ACD" w14:textId="77777777" w:rsidR="00C579DE" w:rsidRPr="00584826" w:rsidRDefault="00C579DE" w:rsidP="00C579DE">
      <w:pPr>
        <w:tabs>
          <w:tab w:val="left" w:pos="0"/>
        </w:tabs>
        <w:autoSpaceDE w:val="0"/>
        <w:autoSpaceDN w:val="0"/>
        <w:adjustRightInd w:val="0"/>
        <w:spacing w:after="0" w:line="240" w:lineRule="auto"/>
        <w:jc w:val="both"/>
        <w:rPr>
          <w:rFonts w:ascii="Times New Roman" w:hAnsi="Times New Roman"/>
          <w:sz w:val="24"/>
          <w:szCs w:val="24"/>
        </w:rPr>
      </w:pPr>
      <w:r w:rsidRPr="00584826">
        <w:rPr>
          <w:rFonts w:ascii="Times New Roman" w:hAnsi="Times New Roman"/>
          <w:color w:val="000000"/>
          <w:sz w:val="24"/>
          <w:szCs w:val="24"/>
        </w:rPr>
        <w:t>Le titulaire d’un Permis peut renoncer à tout moment</w:t>
      </w:r>
      <w:r w:rsidRPr="00584826">
        <w:rPr>
          <w:rFonts w:ascii="Times New Roman" w:hAnsi="Times New Roman"/>
          <w:sz w:val="24"/>
          <w:szCs w:val="24"/>
        </w:rPr>
        <w:t xml:space="preserve"> </w:t>
      </w:r>
      <w:r w:rsidRPr="00584826">
        <w:rPr>
          <w:rFonts w:ascii="Times New Roman" w:hAnsi="Times New Roman"/>
          <w:color w:val="000000"/>
          <w:sz w:val="24"/>
          <w:szCs w:val="24"/>
        </w:rPr>
        <w:t>en tout ou en partie au droit couvrant son</w:t>
      </w:r>
      <w:r w:rsidRPr="00584826">
        <w:rPr>
          <w:rFonts w:ascii="Times New Roman" w:hAnsi="Times New Roman"/>
          <w:sz w:val="24"/>
          <w:szCs w:val="24"/>
        </w:rPr>
        <w:t xml:space="preserve"> </w:t>
      </w:r>
      <w:r w:rsidRPr="00584826">
        <w:rPr>
          <w:rFonts w:ascii="Times New Roman" w:hAnsi="Times New Roman"/>
          <w:color w:val="000000"/>
          <w:sz w:val="24"/>
          <w:szCs w:val="24"/>
        </w:rPr>
        <w:t>Périmètre.  La déclaration de la renonciation partielle ou totale adressée au Ministre précise les coordonnées du tout ou de la partie du Périmètre renoncée et celle retenue. Elle prend effet au jour du donner acte du Ministre ou dans tous les cas, dans les trois mois à dater du dépôt de la déclaration.</w:t>
      </w:r>
      <w:r w:rsidRPr="00584826">
        <w:rPr>
          <w:rFonts w:ascii="Times New Roman" w:hAnsi="Times New Roman"/>
          <w:sz w:val="24"/>
          <w:szCs w:val="24"/>
        </w:rPr>
        <w:t xml:space="preserve"> </w:t>
      </w:r>
      <w:r w:rsidRPr="00584826">
        <w:rPr>
          <w:rFonts w:ascii="Times New Roman" w:hAnsi="Times New Roman"/>
          <w:color w:val="000000"/>
          <w:sz w:val="24"/>
          <w:szCs w:val="24"/>
        </w:rPr>
        <w:t xml:space="preserve">La partie du Périmètre faisant l’objet de renonciation doit être </w:t>
      </w:r>
      <w:proofErr w:type="gramStart"/>
      <w:r w:rsidRPr="00584826">
        <w:rPr>
          <w:rFonts w:ascii="Times New Roman" w:hAnsi="Times New Roman"/>
          <w:color w:val="000000"/>
          <w:sz w:val="24"/>
          <w:szCs w:val="24"/>
        </w:rPr>
        <w:t>composée</w:t>
      </w:r>
      <w:proofErr w:type="gramEnd"/>
      <w:r w:rsidRPr="00584826">
        <w:rPr>
          <w:rFonts w:ascii="Times New Roman" w:hAnsi="Times New Roman"/>
          <w:color w:val="000000"/>
          <w:sz w:val="24"/>
          <w:szCs w:val="24"/>
        </w:rPr>
        <w:t xml:space="preserve"> de carrés entiers. Tandis que, la partie du Périmètre restant doit </w:t>
      </w:r>
      <w:r w:rsidRPr="00584826">
        <w:rPr>
          <w:rFonts w:ascii="Times New Roman" w:hAnsi="Times New Roman"/>
          <w:sz w:val="24"/>
          <w:szCs w:val="24"/>
        </w:rPr>
        <w:t xml:space="preserve"> </w:t>
      </w:r>
      <w:r w:rsidRPr="00584826">
        <w:rPr>
          <w:rFonts w:ascii="Times New Roman" w:hAnsi="Times New Roman"/>
          <w:color w:val="000000"/>
          <w:sz w:val="24"/>
          <w:szCs w:val="24"/>
        </w:rPr>
        <w:t xml:space="preserve">respecter la forme d’un Périmètre minier </w:t>
      </w:r>
      <w:r w:rsidRPr="00584826">
        <w:rPr>
          <w:rFonts w:ascii="Times New Roman" w:hAnsi="Times New Roman"/>
          <w:sz w:val="24"/>
          <w:szCs w:val="24"/>
        </w:rPr>
        <w:t xml:space="preserve"> </w:t>
      </w:r>
      <w:r w:rsidRPr="00584826">
        <w:rPr>
          <w:rFonts w:ascii="Times New Roman" w:hAnsi="Times New Roman"/>
          <w:color w:val="000000"/>
          <w:sz w:val="24"/>
          <w:szCs w:val="24"/>
        </w:rPr>
        <w:t>prévue à l’article 28 du Code.</w:t>
      </w:r>
    </w:p>
    <w:p w14:paraId="0C1C6B2D" w14:textId="77777777" w:rsidR="00C579DE" w:rsidRPr="00584826" w:rsidRDefault="00C579DE" w:rsidP="00C579DE">
      <w:pPr>
        <w:autoSpaceDE w:val="0"/>
        <w:autoSpaceDN w:val="0"/>
        <w:adjustRightInd w:val="0"/>
        <w:spacing w:after="0" w:line="240" w:lineRule="auto"/>
        <w:jc w:val="both"/>
        <w:rPr>
          <w:rFonts w:ascii="Times New Roman" w:hAnsi="Times New Roman"/>
          <w:color w:val="000000"/>
          <w:sz w:val="24"/>
          <w:szCs w:val="24"/>
        </w:rPr>
      </w:pPr>
    </w:p>
    <w:p w14:paraId="39484283" w14:textId="77777777" w:rsidR="00C579DE" w:rsidRPr="00584826" w:rsidRDefault="00C579DE" w:rsidP="00C579DE">
      <w:pPr>
        <w:tabs>
          <w:tab w:val="left" w:pos="0"/>
        </w:tabs>
        <w:autoSpaceDE w:val="0"/>
        <w:autoSpaceDN w:val="0"/>
        <w:adjustRightInd w:val="0"/>
        <w:spacing w:after="0" w:line="240" w:lineRule="auto"/>
        <w:jc w:val="both"/>
        <w:rPr>
          <w:rFonts w:ascii="Times New Roman" w:hAnsi="Times New Roman"/>
          <w:color w:val="000000"/>
          <w:sz w:val="24"/>
          <w:szCs w:val="24"/>
        </w:rPr>
      </w:pPr>
      <w:r w:rsidRPr="00584826">
        <w:rPr>
          <w:rFonts w:ascii="Times New Roman" w:hAnsi="Times New Roman"/>
          <w:color w:val="000000"/>
          <w:sz w:val="24"/>
          <w:szCs w:val="24"/>
        </w:rPr>
        <w:t xml:space="preserve">Le Périmètre couvert par le Permis </w:t>
      </w:r>
      <w:r w:rsidRPr="00584826">
        <w:rPr>
          <w:rFonts w:ascii="Times New Roman" w:hAnsi="Times New Roman"/>
          <w:sz w:val="24"/>
          <w:szCs w:val="24"/>
        </w:rPr>
        <w:t xml:space="preserve"> </w:t>
      </w:r>
      <w:r w:rsidRPr="00584826">
        <w:rPr>
          <w:rFonts w:ascii="Times New Roman" w:hAnsi="Times New Roman"/>
          <w:color w:val="000000"/>
          <w:sz w:val="24"/>
          <w:szCs w:val="24"/>
        </w:rPr>
        <w:t>est libre en tout ou en partie</w:t>
      </w:r>
      <w:r w:rsidRPr="00584826">
        <w:rPr>
          <w:rFonts w:ascii="Times New Roman" w:hAnsi="Times New Roman"/>
          <w:sz w:val="24"/>
          <w:szCs w:val="24"/>
        </w:rPr>
        <w:t xml:space="preserve"> </w:t>
      </w:r>
      <w:r w:rsidRPr="00584826">
        <w:rPr>
          <w:rFonts w:ascii="Times New Roman" w:hAnsi="Times New Roman"/>
          <w:color w:val="000000"/>
          <w:sz w:val="24"/>
          <w:szCs w:val="24"/>
        </w:rPr>
        <w:t>selon le cas, de tout droit à compter du</w:t>
      </w:r>
      <w:r w:rsidRPr="00584826">
        <w:rPr>
          <w:rFonts w:ascii="Times New Roman" w:hAnsi="Times New Roman"/>
          <w:sz w:val="24"/>
          <w:szCs w:val="24"/>
        </w:rPr>
        <w:t xml:space="preserve"> </w:t>
      </w:r>
      <w:r w:rsidRPr="00584826">
        <w:rPr>
          <w:rFonts w:ascii="Times New Roman" w:hAnsi="Times New Roman"/>
          <w:color w:val="000000"/>
          <w:sz w:val="24"/>
          <w:szCs w:val="24"/>
        </w:rPr>
        <w:t>donner acte du Ministre. La renonciation totale ou partielle n’ouvre droit à aucun remboursement des droits et frais payés à l’Etat pour l’octroi</w:t>
      </w:r>
      <w:r w:rsidRPr="00584826">
        <w:rPr>
          <w:rFonts w:ascii="Times New Roman" w:hAnsi="Times New Roman"/>
          <w:sz w:val="24"/>
          <w:szCs w:val="24"/>
        </w:rPr>
        <w:t xml:space="preserve"> </w:t>
      </w:r>
      <w:r w:rsidRPr="00584826">
        <w:rPr>
          <w:rFonts w:ascii="Times New Roman" w:hAnsi="Times New Roman"/>
          <w:color w:val="000000"/>
          <w:sz w:val="24"/>
          <w:szCs w:val="24"/>
        </w:rPr>
        <w:t>ou le maintien du permis.  Elle ne dégage</w:t>
      </w:r>
      <w:r w:rsidRPr="00584826">
        <w:rPr>
          <w:rFonts w:ascii="Times New Roman" w:hAnsi="Times New Roman"/>
          <w:sz w:val="24"/>
          <w:szCs w:val="24"/>
        </w:rPr>
        <w:t xml:space="preserve"> </w:t>
      </w:r>
      <w:r w:rsidRPr="00584826">
        <w:rPr>
          <w:rFonts w:ascii="Times New Roman" w:hAnsi="Times New Roman"/>
          <w:color w:val="000000"/>
          <w:sz w:val="24"/>
          <w:szCs w:val="24"/>
        </w:rPr>
        <w:t>pas le titulaire de sa responsabilité relative</w:t>
      </w:r>
      <w:r w:rsidRPr="00584826">
        <w:rPr>
          <w:rFonts w:ascii="Times New Roman" w:hAnsi="Times New Roman"/>
          <w:sz w:val="24"/>
          <w:szCs w:val="24"/>
        </w:rPr>
        <w:t xml:space="preserve"> </w:t>
      </w:r>
      <w:r w:rsidRPr="00584826">
        <w:rPr>
          <w:rFonts w:ascii="Times New Roman" w:hAnsi="Times New Roman"/>
          <w:color w:val="000000"/>
          <w:sz w:val="24"/>
          <w:szCs w:val="24"/>
        </w:rPr>
        <w:t>à la protection de l’environnement.</w:t>
      </w:r>
    </w:p>
    <w:p w14:paraId="242C7907" w14:textId="77777777" w:rsidR="00C579DE" w:rsidRPr="00584826" w:rsidRDefault="00C579DE" w:rsidP="00C579DE">
      <w:pPr>
        <w:autoSpaceDE w:val="0"/>
        <w:autoSpaceDN w:val="0"/>
        <w:adjustRightInd w:val="0"/>
        <w:spacing w:after="0" w:line="240" w:lineRule="auto"/>
        <w:jc w:val="both"/>
        <w:rPr>
          <w:rFonts w:ascii="Times New Roman" w:hAnsi="Times New Roman"/>
          <w:color w:val="000000"/>
          <w:sz w:val="24"/>
          <w:szCs w:val="24"/>
        </w:rPr>
      </w:pPr>
    </w:p>
    <w:p w14:paraId="592BC86D" w14:textId="77777777" w:rsidR="00C579DE" w:rsidRPr="00584826" w:rsidRDefault="00C579DE" w:rsidP="00C579DE">
      <w:pPr>
        <w:tabs>
          <w:tab w:val="left" w:pos="0"/>
        </w:tabs>
        <w:autoSpaceDE w:val="0"/>
        <w:autoSpaceDN w:val="0"/>
        <w:adjustRightInd w:val="0"/>
        <w:spacing w:after="0" w:line="240" w:lineRule="auto"/>
        <w:jc w:val="both"/>
        <w:rPr>
          <w:rFonts w:ascii="Times New Roman" w:hAnsi="Times New Roman"/>
          <w:color w:val="000000"/>
          <w:sz w:val="24"/>
          <w:szCs w:val="24"/>
        </w:rPr>
      </w:pPr>
      <w:r w:rsidRPr="00584826">
        <w:rPr>
          <w:rFonts w:ascii="Times New Roman" w:hAnsi="Times New Roman"/>
          <w:b/>
          <w:color w:val="000000"/>
          <w:sz w:val="24"/>
          <w:szCs w:val="24"/>
        </w:rPr>
        <w:t xml:space="preserve">Procédure </w:t>
      </w:r>
      <w:r w:rsidRPr="00584826">
        <w:rPr>
          <w:rFonts w:ascii="Times New Roman" w:hAnsi="Times New Roman"/>
          <w:color w:val="000000"/>
          <w:sz w:val="24"/>
          <w:szCs w:val="24"/>
        </w:rPr>
        <w:t xml:space="preserve">(Règlement minier : art. 119-123 pour le PR, art. 173-179 pour le PE et art. 200-201 pour le PER) </w:t>
      </w:r>
    </w:p>
    <w:p w14:paraId="7FB4D0FD" w14:textId="77777777" w:rsidR="00C579DE" w:rsidRPr="00584826" w:rsidRDefault="00C579DE" w:rsidP="00C579DE">
      <w:pPr>
        <w:autoSpaceDE w:val="0"/>
        <w:autoSpaceDN w:val="0"/>
        <w:adjustRightInd w:val="0"/>
        <w:spacing w:after="0" w:line="240" w:lineRule="auto"/>
        <w:jc w:val="both"/>
        <w:rPr>
          <w:rFonts w:ascii="Times New Roman" w:hAnsi="Times New Roman"/>
          <w:color w:val="000000"/>
          <w:sz w:val="24"/>
          <w:szCs w:val="24"/>
        </w:rPr>
      </w:pPr>
    </w:p>
    <w:p w14:paraId="56C2807B" w14:textId="77777777" w:rsidR="00C579DE" w:rsidRPr="00584826" w:rsidRDefault="00C579DE" w:rsidP="00C579DE">
      <w:pPr>
        <w:tabs>
          <w:tab w:val="left" w:pos="0"/>
        </w:tabs>
        <w:autoSpaceDE w:val="0"/>
        <w:autoSpaceDN w:val="0"/>
        <w:adjustRightInd w:val="0"/>
        <w:spacing w:after="0" w:line="240" w:lineRule="auto"/>
        <w:jc w:val="both"/>
        <w:rPr>
          <w:rFonts w:ascii="Times New Roman" w:hAnsi="Times New Roman"/>
          <w:color w:val="000000"/>
          <w:sz w:val="24"/>
          <w:szCs w:val="24"/>
        </w:rPr>
      </w:pPr>
      <w:r w:rsidRPr="00584826">
        <w:rPr>
          <w:rFonts w:ascii="Times New Roman" w:hAnsi="Times New Roman"/>
          <w:color w:val="000000"/>
          <w:sz w:val="24"/>
          <w:szCs w:val="24"/>
        </w:rPr>
        <w:t>Dès réception de la déclaration de renonciation, le CAMI vérifie si elle est recevable. En cas de recevabilité, il délivre au Titulaire un récépissé et procède à l’instruction de la déclaration  dans les dix jours ouvrables. Après instruction et si toutes les conditions sont respectées, le CAMI transmet la déclaration au Ministre dans le délai ci-dessus.</w:t>
      </w:r>
    </w:p>
    <w:p w14:paraId="7EC7D136" w14:textId="77777777" w:rsidR="00C579DE" w:rsidRPr="00584826" w:rsidRDefault="00C579DE" w:rsidP="00C579DE">
      <w:pPr>
        <w:autoSpaceDE w:val="0"/>
        <w:autoSpaceDN w:val="0"/>
        <w:adjustRightInd w:val="0"/>
        <w:spacing w:after="0" w:line="240" w:lineRule="auto"/>
        <w:jc w:val="both"/>
        <w:rPr>
          <w:rFonts w:ascii="Times New Roman" w:hAnsi="Times New Roman"/>
          <w:color w:val="000000"/>
          <w:sz w:val="24"/>
          <w:szCs w:val="24"/>
        </w:rPr>
      </w:pPr>
    </w:p>
    <w:p w14:paraId="52B1FF59" w14:textId="77777777" w:rsidR="00C579DE" w:rsidRPr="00584826" w:rsidRDefault="00C579DE" w:rsidP="00C579DE">
      <w:pPr>
        <w:tabs>
          <w:tab w:val="left" w:pos="0"/>
        </w:tabs>
        <w:autoSpaceDE w:val="0"/>
        <w:autoSpaceDN w:val="0"/>
        <w:adjustRightInd w:val="0"/>
        <w:spacing w:after="0" w:line="240" w:lineRule="auto"/>
        <w:jc w:val="both"/>
        <w:rPr>
          <w:rFonts w:ascii="Times New Roman" w:hAnsi="Times New Roman"/>
          <w:color w:val="000000"/>
          <w:sz w:val="24"/>
          <w:szCs w:val="24"/>
        </w:rPr>
      </w:pPr>
      <w:r w:rsidRPr="00584826">
        <w:rPr>
          <w:rFonts w:ascii="Times New Roman" w:hAnsi="Times New Roman"/>
          <w:color w:val="000000"/>
          <w:sz w:val="24"/>
          <w:szCs w:val="24"/>
        </w:rPr>
        <w:t xml:space="preserve">Le Ministre en prend acte par un arrêté qu’il transmet au CAMI. Sous réserve des dispositions des articles 119 et 120, à défaut pour le Ministre de donner acte à une déclaration de renonciation dans le délai de trois mois à compter de la date de son dépôt,  la déclaration  est réputée acceptée. </w:t>
      </w:r>
    </w:p>
    <w:p w14:paraId="119DE78E" w14:textId="77777777" w:rsidR="00C579DE" w:rsidRPr="00584826" w:rsidRDefault="00C579DE" w:rsidP="00C579DE">
      <w:pPr>
        <w:autoSpaceDE w:val="0"/>
        <w:autoSpaceDN w:val="0"/>
        <w:adjustRightInd w:val="0"/>
        <w:spacing w:after="0" w:line="240" w:lineRule="auto"/>
        <w:jc w:val="both"/>
        <w:rPr>
          <w:rFonts w:ascii="Times New Roman" w:hAnsi="Times New Roman"/>
          <w:color w:val="000000"/>
          <w:sz w:val="24"/>
          <w:szCs w:val="24"/>
        </w:rPr>
      </w:pPr>
    </w:p>
    <w:p w14:paraId="71C8ED7A" w14:textId="77777777" w:rsidR="00C579DE" w:rsidRPr="00584826" w:rsidRDefault="00C579DE" w:rsidP="00C579DE">
      <w:pPr>
        <w:tabs>
          <w:tab w:val="left" w:pos="0"/>
        </w:tabs>
        <w:autoSpaceDE w:val="0"/>
        <w:autoSpaceDN w:val="0"/>
        <w:adjustRightInd w:val="0"/>
        <w:spacing w:after="0" w:line="240" w:lineRule="auto"/>
        <w:jc w:val="both"/>
        <w:rPr>
          <w:rFonts w:ascii="Times New Roman" w:hAnsi="Times New Roman"/>
          <w:color w:val="000000"/>
          <w:sz w:val="24"/>
          <w:szCs w:val="24"/>
        </w:rPr>
      </w:pPr>
      <w:r w:rsidRPr="00584826">
        <w:rPr>
          <w:rFonts w:ascii="Times New Roman" w:hAnsi="Times New Roman"/>
          <w:color w:val="000000"/>
          <w:sz w:val="24"/>
          <w:szCs w:val="24"/>
        </w:rPr>
        <w:t>Dans les deux cas, le CAMI procède à l’affichage de l’Arrêté ou de la déclaration de renonciation réputée acceptée et à la notification au Titulaire, sans frais, par le moyen le plus rapide et fiable.</w:t>
      </w:r>
    </w:p>
    <w:p w14:paraId="444B58AE" w14:textId="77777777" w:rsidR="00C579DE" w:rsidRPr="00584826" w:rsidRDefault="00C579DE" w:rsidP="00C579DE">
      <w:pPr>
        <w:autoSpaceDE w:val="0"/>
        <w:autoSpaceDN w:val="0"/>
        <w:adjustRightInd w:val="0"/>
        <w:spacing w:after="0" w:line="240" w:lineRule="auto"/>
        <w:jc w:val="both"/>
        <w:rPr>
          <w:rFonts w:ascii="Times New Roman" w:hAnsi="Times New Roman"/>
          <w:color w:val="000000"/>
          <w:sz w:val="24"/>
          <w:szCs w:val="24"/>
        </w:rPr>
      </w:pPr>
    </w:p>
    <w:p w14:paraId="1995F2B1" w14:textId="77777777" w:rsidR="00C579DE" w:rsidRPr="00584826" w:rsidRDefault="00C579DE" w:rsidP="00C579DE">
      <w:pPr>
        <w:tabs>
          <w:tab w:val="left" w:pos="0"/>
          <w:tab w:val="left" w:pos="851"/>
        </w:tabs>
        <w:autoSpaceDE w:val="0"/>
        <w:autoSpaceDN w:val="0"/>
        <w:adjustRightInd w:val="0"/>
        <w:spacing w:after="0" w:line="240" w:lineRule="auto"/>
        <w:jc w:val="both"/>
        <w:rPr>
          <w:rFonts w:ascii="Times New Roman" w:hAnsi="Times New Roman"/>
          <w:sz w:val="24"/>
          <w:szCs w:val="24"/>
        </w:rPr>
      </w:pPr>
      <w:r w:rsidRPr="00584826">
        <w:rPr>
          <w:rFonts w:ascii="Times New Roman" w:hAnsi="Times New Roman"/>
          <w:color w:val="000000"/>
          <w:sz w:val="24"/>
          <w:szCs w:val="24"/>
        </w:rPr>
        <w:t>En fin, le CAMI procède à la modification de l’inscription du Permis au registre des droits octroyés du report du Périmètre sur la carte de retombes minières et du Certificat.</w:t>
      </w:r>
    </w:p>
    <w:p w14:paraId="288C1DDC" w14:textId="77777777" w:rsidR="00C579DE" w:rsidRPr="00584826" w:rsidRDefault="00C579DE" w:rsidP="00C579DE">
      <w:pPr>
        <w:autoSpaceDE w:val="0"/>
        <w:autoSpaceDN w:val="0"/>
        <w:adjustRightInd w:val="0"/>
        <w:spacing w:after="0" w:line="240" w:lineRule="auto"/>
        <w:rPr>
          <w:rFonts w:ascii="Times New Roman" w:hAnsi="Times New Roman"/>
          <w:b/>
          <w:bCs/>
          <w:color w:val="000000"/>
          <w:sz w:val="24"/>
          <w:szCs w:val="24"/>
        </w:rPr>
      </w:pPr>
      <w:r w:rsidRPr="00584826">
        <w:rPr>
          <w:rFonts w:ascii="Times New Roman" w:hAnsi="Times New Roman"/>
          <w:b/>
          <w:bCs/>
          <w:color w:val="000000"/>
          <w:sz w:val="24"/>
          <w:szCs w:val="24"/>
        </w:rPr>
        <w:t xml:space="preserve"> </w:t>
      </w:r>
    </w:p>
    <w:p w14:paraId="2262452F" w14:textId="77777777" w:rsidR="00C579DE" w:rsidRPr="00584826" w:rsidRDefault="00C579DE" w:rsidP="00C579DE">
      <w:pPr>
        <w:tabs>
          <w:tab w:val="left" w:pos="0"/>
        </w:tabs>
        <w:autoSpaceDE w:val="0"/>
        <w:autoSpaceDN w:val="0"/>
        <w:adjustRightInd w:val="0"/>
        <w:spacing w:after="0" w:line="240" w:lineRule="auto"/>
        <w:jc w:val="both"/>
        <w:rPr>
          <w:rFonts w:ascii="Times New Roman" w:hAnsi="Times New Roman"/>
          <w:sz w:val="24"/>
          <w:szCs w:val="24"/>
        </w:rPr>
      </w:pPr>
      <w:r w:rsidRPr="00584826">
        <w:rPr>
          <w:rFonts w:ascii="Times New Roman" w:hAnsi="Times New Roman"/>
          <w:color w:val="000000"/>
          <w:sz w:val="24"/>
          <w:szCs w:val="24"/>
        </w:rPr>
        <w:t>En cas de renonciation partielle, le CAMI modifie l’inscription du Permis au registre des droits octroyés ainsi que le report du périmètre sur la carte de retombes minières.  Il procède à la modification du Certificat en y</w:t>
      </w:r>
      <w:r w:rsidRPr="00584826">
        <w:rPr>
          <w:rFonts w:ascii="Times New Roman" w:hAnsi="Times New Roman"/>
          <w:sz w:val="24"/>
          <w:szCs w:val="24"/>
        </w:rPr>
        <w:t xml:space="preserve"> </w:t>
      </w:r>
      <w:r w:rsidRPr="00584826">
        <w:rPr>
          <w:rFonts w:ascii="Times New Roman" w:hAnsi="Times New Roman"/>
          <w:color w:val="000000"/>
          <w:sz w:val="24"/>
          <w:szCs w:val="24"/>
        </w:rPr>
        <w:t>inscrivant la renonciation partielle et le retourne au Titulaire dans un délai de cinq jours à compter de</w:t>
      </w:r>
      <w:r w:rsidRPr="00584826">
        <w:rPr>
          <w:rFonts w:ascii="Times New Roman" w:hAnsi="Times New Roman"/>
          <w:sz w:val="24"/>
          <w:szCs w:val="24"/>
        </w:rPr>
        <w:t xml:space="preserve"> </w:t>
      </w:r>
      <w:r w:rsidRPr="00584826">
        <w:rPr>
          <w:rFonts w:ascii="Times New Roman" w:hAnsi="Times New Roman"/>
          <w:color w:val="000000"/>
          <w:sz w:val="24"/>
          <w:szCs w:val="24"/>
        </w:rPr>
        <w:t>l’inscription.</w:t>
      </w:r>
    </w:p>
    <w:p w14:paraId="2F04E1C2" w14:textId="77777777" w:rsidR="000B5866" w:rsidRDefault="000B5866">
      <w:pPr>
        <w:rPr>
          <w:sz w:val="24"/>
          <w:szCs w:val="24"/>
        </w:rPr>
      </w:pPr>
      <w:r>
        <w:rPr>
          <w:sz w:val="24"/>
          <w:szCs w:val="24"/>
        </w:rPr>
        <w:br w:type="page"/>
      </w:r>
    </w:p>
    <w:p w14:paraId="6955A677" w14:textId="77777777" w:rsidR="00C579DE" w:rsidRPr="00840E13" w:rsidRDefault="00C579DE" w:rsidP="000B5866">
      <w:pPr>
        <w:pStyle w:val="Titre2"/>
        <w:ind w:left="142"/>
        <w:jc w:val="both"/>
        <w:rPr>
          <w:rFonts w:ascii="Times New Roman" w:hAnsi="Times New Roman" w:cs="Times New Roman"/>
          <w:sz w:val="24"/>
          <w:szCs w:val="24"/>
        </w:rPr>
      </w:pPr>
      <w:bookmarkStart w:id="118" w:name="_Toc516047987"/>
      <w:bookmarkStart w:id="119" w:name="_Toc518468069"/>
      <w:r>
        <w:rPr>
          <w:rFonts w:ascii="Times New Roman" w:hAnsi="Times New Roman" w:cs="Times New Roman"/>
          <w:sz w:val="24"/>
          <w:szCs w:val="24"/>
        </w:rPr>
        <w:lastRenderedPageBreak/>
        <w:t>II</w:t>
      </w:r>
      <w:r w:rsidRPr="00840E13">
        <w:rPr>
          <w:rFonts w:ascii="Times New Roman" w:hAnsi="Times New Roman" w:cs="Times New Roman"/>
          <w:sz w:val="24"/>
          <w:szCs w:val="24"/>
        </w:rPr>
        <w:t>.</w:t>
      </w:r>
      <w:r>
        <w:rPr>
          <w:rFonts w:ascii="Times New Roman" w:hAnsi="Times New Roman" w:cs="Times New Roman"/>
          <w:sz w:val="24"/>
          <w:szCs w:val="24"/>
        </w:rPr>
        <w:t>3.</w:t>
      </w:r>
      <w:r w:rsidRPr="00840E13">
        <w:rPr>
          <w:rFonts w:ascii="Times New Roman" w:hAnsi="Times New Roman" w:cs="Times New Roman"/>
          <w:sz w:val="24"/>
          <w:szCs w:val="24"/>
        </w:rPr>
        <w:t xml:space="preserve"> Transactions sur les droits miniers</w:t>
      </w:r>
      <w:bookmarkEnd w:id="118"/>
      <w:bookmarkEnd w:id="119"/>
    </w:p>
    <w:p w14:paraId="15E01F04" w14:textId="77777777" w:rsidR="00C579DE" w:rsidRPr="00840E13" w:rsidRDefault="00C579DE" w:rsidP="000B5866">
      <w:pPr>
        <w:pStyle w:val="Titre3"/>
        <w:ind w:left="426"/>
        <w:rPr>
          <w:rFonts w:ascii="Times New Roman" w:hAnsi="Times New Roman" w:cs="Times New Roman"/>
          <w:sz w:val="24"/>
          <w:szCs w:val="24"/>
        </w:rPr>
      </w:pPr>
      <w:bookmarkStart w:id="120" w:name="_Toc516047988"/>
      <w:bookmarkStart w:id="121" w:name="_Toc518468070"/>
      <w:r>
        <w:rPr>
          <w:rFonts w:ascii="Times New Roman" w:hAnsi="Times New Roman" w:cs="Times New Roman"/>
          <w:sz w:val="24"/>
          <w:szCs w:val="24"/>
        </w:rPr>
        <w:t>3</w:t>
      </w:r>
      <w:r w:rsidRPr="00840E13">
        <w:rPr>
          <w:rFonts w:ascii="Times New Roman" w:hAnsi="Times New Roman" w:cs="Times New Roman"/>
          <w:sz w:val="24"/>
          <w:szCs w:val="24"/>
        </w:rPr>
        <w:t>.1 L’amodiation</w:t>
      </w:r>
      <w:bookmarkEnd w:id="120"/>
      <w:bookmarkEnd w:id="121"/>
    </w:p>
    <w:p w14:paraId="521292A0" w14:textId="77777777" w:rsidR="00C579DE" w:rsidRPr="00324867" w:rsidRDefault="00C579DE" w:rsidP="00C579DE">
      <w:pPr>
        <w:tabs>
          <w:tab w:val="left" w:pos="8505"/>
        </w:tabs>
        <w:autoSpaceDE w:val="0"/>
        <w:autoSpaceDN w:val="0"/>
        <w:adjustRightInd w:val="0"/>
        <w:spacing w:after="0" w:line="240" w:lineRule="auto"/>
        <w:jc w:val="both"/>
        <w:rPr>
          <w:rFonts w:ascii="Times New Roman" w:hAnsi="Times New Roman"/>
          <w:bCs/>
          <w:iCs/>
          <w:color w:val="000000"/>
          <w:sz w:val="24"/>
          <w:szCs w:val="24"/>
        </w:rPr>
      </w:pPr>
      <w:r w:rsidRPr="00324867">
        <w:rPr>
          <w:rFonts w:ascii="Times New Roman" w:hAnsi="Times New Roman"/>
          <w:bCs/>
          <w:iCs/>
          <w:color w:val="000000"/>
          <w:sz w:val="24"/>
          <w:szCs w:val="24"/>
        </w:rPr>
        <w:t>L’amodiation consiste en un louage pour une durée fixe ou indéterminée, sans faculté de sous louage, de tout ou partie d’un droit minier d’exploitation ou d’Autorisation d’exploitation de carrières permanente, moyennant une rémunération fixée par accord entre l’amodiant et l’amodiataire (art. 177 al. 1er)</w:t>
      </w:r>
    </w:p>
    <w:p w14:paraId="2D8FEA7A" w14:textId="77777777" w:rsidR="00C579DE" w:rsidRPr="00324867" w:rsidRDefault="00C579DE" w:rsidP="00C579DE">
      <w:pPr>
        <w:tabs>
          <w:tab w:val="left" w:pos="8505"/>
        </w:tabs>
        <w:autoSpaceDE w:val="0"/>
        <w:autoSpaceDN w:val="0"/>
        <w:adjustRightInd w:val="0"/>
        <w:spacing w:after="0" w:line="240" w:lineRule="auto"/>
        <w:jc w:val="both"/>
        <w:rPr>
          <w:rFonts w:ascii="Times New Roman" w:hAnsi="Times New Roman"/>
          <w:bCs/>
          <w:iCs/>
          <w:color w:val="000000"/>
          <w:sz w:val="24"/>
          <w:szCs w:val="24"/>
        </w:rPr>
      </w:pPr>
      <w:r w:rsidRPr="00324867">
        <w:rPr>
          <w:rFonts w:ascii="Times New Roman" w:hAnsi="Times New Roman"/>
          <w:bCs/>
          <w:iCs/>
          <w:color w:val="000000"/>
          <w:sz w:val="24"/>
          <w:szCs w:val="24"/>
        </w:rPr>
        <w:t>L’instruction des demandes d’amodiation est effectuée selon la même procédure que l’attribution initiale (voir ci-dessus : octroi par demande des droits).</w:t>
      </w:r>
    </w:p>
    <w:p w14:paraId="052328CF" w14:textId="77777777" w:rsidR="00C579DE" w:rsidRPr="00324867" w:rsidRDefault="00C579DE" w:rsidP="00C579DE">
      <w:pPr>
        <w:tabs>
          <w:tab w:val="left" w:pos="8505"/>
        </w:tabs>
        <w:autoSpaceDE w:val="0"/>
        <w:autoSpaceDN w:val="0"/>
        <w:adjustRightInd w:val="0"/>
        <w:spacing w:line="240" w:lineRule="auto"/>
        <w:jc w:val="both"/>
        <w:rPr>
          <w:rFonts w:ascii="Times New Roman" w:hAnsi="Times New Roman"/>
          <w:bCs/>
          <w:iCs/>
          <w:color w:val="000000"/>
          <w:sz w:val="24"/>
          <w:szCs w:val="24"/>
        </w:rPr>
      </w:pPr>
      <w:r w:rsidRPr="00324867">
        <w:rPr>
          <w:rFonts w:ascii="Times New Roman" w:hAnsi="Times New Roman"/>
          <w:bCs/>
          <w:iCs/>
          <w:color w:val="000000"/>
          <w:sz w:val="24"/>
          <w:szCs w:val="24"/>
        </w:rPr>
        <w:t>Le permis concerné par l’amodiation est inscrit provisoirement par le Cadastre Minier sur la carte Cadastrale pendant la durée de l’instruction.</w:t>
      </w:r>
    </w:p>
    <w:p w14:paraId="30E1428D" w14:textId="77777777" w:rsidR="00C579DE" w:rsidRPr="00324867" w:rsidRDefault="00C579DE" w:rsidP="00C579DE">
      <w:pPr>
        <w:tabs>
          <w:tab w:val="left" w:pos="8505"/>
        </w:tabs>
        <w:autoSpaceDE w:val="0"/>
        <w:autoSpaceDN w:val="0"/>
        <w:adjustRightInd w:val="0"/>
        <w:spacing w:after="0" w:line="240" w:lineRule="auto"/>
        <w:jc w:val="both"/>
        <w:rPr>
          <w:rFonts w:ascii="Times New Roman" w:hAnsi="Times New Roman"/>
          <w:bCs/>
          <w:iCs/>
          <w:color w:val="000000"/>
          <w:sz w:val="24"/>
          <w:szCs w:val="24"/>
        </w:rPr>
      </w:pPr>
      <w:r w:rsidRPr="00324867">
        <w:rPr>
          <w:rFonts w:ascii="Times New Roman" w:hAnsi="Times New Roman"/>
          <w:bCs/>
          <w:iCs/>
          <w:color w:val="000000"/>
          <w:sz w:val="24"/>
          <w:szCs w:val="24"/>
        </w:rPr>
        <w:t>A la conclusion de l’instruction cadastrale, le Cadastre Minier procède à l’affichage de l’instruction et à la remise d’une copie de l’avis au requérant.</w:t>
      </w:r>
    </w:p>
    <w:p w14:paraId="4CC2DB49" w14:textId="77777777" w:rsidR="00C579DE" w:rsidRPr="00324867" w:rsidRDefault="00C579DE" w:rsidP="00C579DE">
      <w:pPr>
        <w:tabs>
          <w:tab w:val="left" w:pos="8505"/>
        </w:tabs>
        <w:autoSpaceDE w:val="0"/>
        <w:autoSpaceDN w:val="0"/>
        <w:adjustRightInd w:val="0"/>
        <w:spacing w:after="0" w:line="240" w:lineRule="auto"/>
        <w:jc w:val="both"/>
        <w:rPr>
          <w:rFonts w:ascii="Times New Roman" w:hAnsi="Times New Roman"/>
          <w:bCs/>
          <w:iCs/>
          <w:color w:val="000000"/>
          <w:sz w:val="24"/>
          <w:szCs w:val="24"/>
        </w:rPr>
      </w:pPr>
      <w:r w:rsidRPr="00324867">
        <w:rPr>
          <w:rFonts w:ascii="Times New Roman" w:hAnsi="Times New Roman"/>
          <w:bCs/>
          <w:iCs/>
          <w:color w:val="000000"/>
          <w:sz w:val="24"/>
          <w:szCs w:val="24"/>
        </w:rPr>
        <w:t>En cas d’avis favorable, le Cadastre Minier procède à l’enregistrement du contrat d’amodiation dans un délai de cinq jours. La validité de ce contrat correspond à la période de validité non échue du titre de l’amodiant (art. 178).</w:t>
      </w:r>
    </w:p>
    <w:p w14:paraId="6A6364F8" w14:textId="77777777" w:rsidR="00C579DE" w:rsidRPr="00324867" w:rsidRDefault="00C579DE" w:rsidP="00C579DE">
      <w:pPr>
        <w:tabs>
          <w:tab w:val="left" w:pos="8505"/>
        </w:tabs>
        <w:autoSpaceDE w:val="0"/>
        <w:autoSpaceDN w:val="0"/>
        <w:adjustRightInd w:val="0"/>
        <w:spacing w:line="240" w:lineRule="auto"/>
        <w:jc w:val="both"/>
        <w:rPr>
          <w:rFonts w:ascii="Times New Roman" w:hAnsi="Times New Roman"/>
          <w:bCs/>
          <w:iCs/>
          <w:color w:val="000000"/>
          <w:sz w:val="24"/>
          <w:szCs w:val="24"/>
        </w:rPr>
      </w:pPr>
      <w:r w:rsidRPr="00324867">
        <w:rPr>
          <w:rFonts w:ascii="Times New Roman" w:hAnsi="Times New Roman"/>
          <w:bCs/>
          <w:iCs/>
          <w:color w:val="000000"/>
          <w:sz w:val="24"/>
          <w:szCs w:val="24"/>
        </w:rPr>
        <w:t>Le contrat d’amodiation est enregistré par le Cadastre Minier moyennant paiement, au profit du Trésor public, d’une taxe pour enregistrement dont le montant est déterminé par voie réglementaire (art. 179 al. 4).</w:t>
      </w:r>
    </w:p>
    <w:p w14:paraId="02257C0D" w14:textId="77777777" w:rsidR="00C579DE" w:rsidRPr="00840E13" w:rsidRDefault="00C579DE" w:rsidP="000B5866">
      <w:pPr>
        <w:pStyle w:val="Titre3"/>
        <w:ind w:left="426"/>
        <w:rPr>
          <w:rFonts w:ascii="Times New Roman" w:hAnsi="Times New Roman" w:cs="Times New Roman"/>
          <w:sz w:val="24"/>
          <w:szCs w:val="24"/>
        </w:rPr>
      </w:pPr>
      <w:bookmarkStart w:id="122" w:name="_Toc516047989"/>
      <w:bookmarkStart w:id="123" w:name="_Toc518468071"/>
      <w:r>
        <w:rPr>
          <w:rFonts w:ascii="Times New Roman" w:hAnsi="Times New Roman" w:cs="Times New Roman"/>
          <w:sz w:val="24"/>
          <w:szCs w:val="24"/>
        </w:rPr>
        <w:t>3</w:t>
      </w:r>
      <w:r w:rsidRPr="00840E13">
        <w:rPr>
          <w:rFonts w:ascii="Times New Roman" w:hAnsi="Times New Roman" w:cs="Times New Roman"/>
          <w:sz w:val="24"/>
          <w:szCs w:val="24"/>
        </w:rPr>
        <w:t>.2 La mutation</w:t>
      </w:r>
      <w:bookmarkEnd w:id="122"/>
      <w:bookmarkEnd w:id="123"/>
    </w:p>
    <w:p w14:paraId="7314BF28" w14:textId="77777777" w:rsidR="00C579DE" w:rsidRPr="00982D9C" w:rsidRDefault="00C579DE" w:rsidP="00C579DE">
      <w:pPr>
        <w:tabs>
          <w:tab w:val="left" w:pos="8505"/>
        </w:tabs>
        <w:spacing w:after="120"/>
        <w:jc w:val="both"/>
        <w:rPr>
          <w:rFonts w:ascii="Times New Roman" w:hAnsi="Times New Roman"/>
          <w:sz w:val="24"/>
          <w:szCs w:val="24"/>
        </w:rPr>
      </w:pPr>
      <w:r w:rsidRPr="00982D9C">
        <w:rPr>
          <w:rFonts w:ascii="Times New Roman" w:hAnsi="Times New Roman"/>
          <w:sz w:val="24"/>
          <w:szCs w:val="24"/>
        </w:rPr>
        <w:t>Les mutations peuvent avoir lieu par voie de cession (art. 182), transmission (art. 187) ou par contrat d’option (art. 193). Les transmissions peuvent avoir lieu en cas de fusion ou de décès. Le cessionnaire ou la personne en faveur de laquelle la transmission est faite doit préalablement être une personne éligible à requérir et à détenir les droits miniers ou les Autorisations d’Exploitation de Carrière Permanente.</w:t>
      </w:r>
    </w:p>
    <w:p w14:paraId="7DF669D3" w14:textId="77777777" w:rsidR="00C579DE" w:rsidRPr="00982D9C" w:rsidRDefault="00C579DE" w:rsidP="00C579DE">
      <w:pPr>
        <w:tabs>
          <w:tab w:val="left" w:pos="8505"/>
        </w:tabs>
        <w:spacing w:after="120"/>
        <w:jc w:val="both"/>
        <w:rPr>
          <w:rFonts w:ascii="Times New Roman" w:hAnsi="Times New Roman"/>
          <w:sz w:val="24"/>
          <w:szCs w:val="24"/>
        </w:rPr>
      </w:pPr>
      <w:r w:rsidRPr="00982D9C">
        <w:rPr>
          <w:rFonts w:ascii="Times New Roman" w:hAnsi="Times New Roman"/>
          <w:sz w:val="24"/>
          <w:szCs w:val="24"/>
        </w:rPr>
        <w:t>L’instruction des demandes de mutation est effectuée selon la même procédure que l’attribution initiale (voir ci-dessus : octroi par demande des droits).</w:t>
      </w:r>
    </w:p>
    <w:p w14:paraId="7146C400" w14:textId="77777777" w:rsidR="000B5866" w:rsidRDefault="00C579DE" w:rsidP="00C579DE">
      <w:pPr>
        <w:tabs>
          <w:tab w:val="left" w:pos="8505"/>
        </w:tabs>
        <w:spacing w:after="120"/>
        <w:jc w:val="both"/>
        <w:rPr>
          <w:rFonts w:ascii="Times New Roman" w:hAnsi="Times New Roman"/>
          <w:sz w:val="24"/>
          <w:szCs w:val="24"/>
        </w:rPr>
      </w:pPr>
      <w:r w:rsidRPr="00982D9C">
        <w:rPr>
          <w:rFonts w:ascii="Times New Roman" w:hAnsi="Times New Roman"/>
          <w:sz w:val="24"/>
          <w:szCs w:val="24"/>
        </w:rPr>
        <w:t>Les mutations doivent être inscrites par le Cadastre Minier dans les mêmes conditions que l’inscription initiale.</w:t>
      </w:r>
    </w:p>
    <w:p w14:paraId="42DA3A0C" w14:textId="77777777" w:rsidR="000B5866" w:rsidRDefault="000B5866">
      <w:pPr>
        <w:rPr>
          <w:rFonts w:ascii="Times New Roman" w:hAnsi="Times New Roman"/>
          <w:sz w:val="24"/>
          <w:szCs w:val="24"/>
        </w:rPr>
      </w:pPr>
      <w:r>
        <w:rPr>
          <w:rFonts w:ascii="Times New Roman" w:hAnsi="Times New Roman"/>
          <w:sz w:val="24"/>
          <w:szCs w:val="24"/>
        </w:rPr>
        <w:br w:type="page"/>
      </w:r>
    </w:p>
    <w:p w14:paraId="48F1B68D" w14:textId="77777777" w:rsidR="00C579DE" w:rsidRPr="00840E13" w:rsidRDefault="00C579DE" w:rsidP="000B5866">
      <w:pPr>
        <w:pStyle w:val="Titre2"/>
        <w:ind w:left="142"/>
        <w:jc w:val="both"/>
        <w:rPr>
          <w:rFonts w:ascii="Times New Roman" w:hAnsi="Times New Roman" w:cs="Times New Roman"/>
          <w:sz w:val="24"/>
          <w:szCs w:val="24"/>
        </w:rPr>
      </w:pPr>
      <w:bookmarkStart w:id="124" w:name="_Toc516047990"/>
      <w:bookmarkStart w:id="125" w:name="_Toc518468072"/>
      <w:r>
        <w:rPr>
          <w:rFonts w:ascii="Times New Roman" w:hAnsi="Times New Roman" w:cs="Times New Roman"/>
          <w:sz w:val="24"/>
          <w:szCs w:val="24"/>
        </w:rPr>
        <w:lastRenderedPageBreak/>
        <w:t>II.4</w:t>
      </w:r>
      <w:r w:rsidRPr="00840E13">
        <w:rPr>
          <w:rFonts w:ascii="Times New Roman" w:hAnsi="Times New Roman" w:cs="Times New Roman"/>
          <w:sz w:val="24"/>
          <w:szCs w:val="24"/>
        </w:rPr>
        <w:t>. Types de titres miniers octroyés</w:t>
      </w:r>
      <w:bookmarkEnd w:id="124"/>
      <w:bookmarkEnd w:id="125"/>
    </w:p>
    <w:p w14:paraId="7BF5110B" w14:textId="77777777" w:rsidR="00C579DE" w:rsidRPr="00840E13" w:rsidRDefault="00C579DE" w:rsidP="000B5866">
      <w:pPr>
        <w:pStyle w:val="Citation"/>
        <w:spacing w:after="0" w:line="240" w:lineRule="auto"/>
        <w:ind w:left="426"/>
        <w:rPr>
          <w:rFonts w:ascii="Times New Roman" w:hAnsi="Times New Roman"/>
          <w:sz w:val="24"/>
          <w:szCs w:val="24"/>
        </w:rPr>
      </w:pPr>
      <w:r>
        <w:rPr>
          <w:rFonts w:ascii="Times New Roman" w:hAnsi="Times New Roman"/>
          <w:sz w:val="24"/>
          <w:szCs w:val="24"/>
        </w:rPr>
        <w:t xml:space="preserve">4.1. </w:t>
      </w:r>
      <w:r w:rsidRPr="00840E13">
        <w:rPr>
          <w:rFonts w:ascii="Times New Roman" w:hAnsi="Times New Roman"/>
          <w:sz w:val="24"/>
          <w:szCs w:val="24"/>
        </w:rPr>
        <w:t xml:space="preserve">Les droits miniers </w:t>
      </w:r>
    </w:p>
    <w:p w14:paraId="039BBA54" w14:textId="77777777" w:rsidR="00C579DE" w:rsidRPr="00840E13" w:rsidRDefault="00C579DE" w:rsidP="00C579DE">
      <w:pPr>
        <w:rPr>
          <w:rFonts w:ascii="Times New Roman" w:hAnsi="Times New Roman"/>
        </w:rPr>
      </w:pPr>
    </w:p>
    <w:tbl>
      <w:tblPr>
        <w:tblStyle w:val="TableauGrille1Clair1"/>
        <w:tblW w:w="9482" w:type="dxa"/>
        <w:tblLayout w:type="fixed"/>
        <w:tblLook w:val="04A0" w:firstRow="1" w:lastRow="0" w:firstColumn="1" w:lastColumn="0" w:noHBand="0" w:noVBand="1"/>
      </w:tblPr>
      <w:tblGrid>
        <w:gridCol w:w="1388"/>
        <w:gridCol w:w="4724"/>
        <w:gridCol w:w="3370"/>
      </w:tblGrid>
      <w:tr w:rsidR="0027285F" w:rsidRPr="0027285F" w14:paraId="771A4207" w14:textId="77777777" w:rsidTr="0027285F">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88" w:type="dxa"/>
            <w:hideMark/>
          </w:tcPr>
          <w:p w14:paraId="0847C837" w14:textId="77777777" w:rsidR="00C579DE" w:rsidRPr="0027285F" w:rsidRDefault="00C579DE" w:rsidP="00E4464E">
            <w:pPr>
              <w:tabs>
                <w:tab w:val="left" w:pos="8505"/>
              </w:tabs>
              <w:jc w:val="both"/>
              <w:rPr>
                <w:rFonts w:ascii="Times New Roman" w:hAnsi="Times New Roman"/>
                <w:b w:val="0"/>
                <w:color w:val="404040" w:themeColor="text1" w:themeTint="BF"/>
                <w:sz w:val="18"/>
                <w:szCs w:val="18"/>
                <w:lang w:eastAsia="fr-FR"/>
              </w:rPr>
            </w:pPr>
            <w:r w:rsidRPr="0027285F">
              <w:rPr>
                <w:rFonts w:ascii="Times New Roman" w:hAnsi="Times New Roman"/>
                <w:color w:val="404040" w:themeColor="text1" w:themeTint="BF"/>
                <w:sz w:val="18"/>
                <w:szCs w:val="18"/>
                <w:lang w:eastAsia="fr-FR"/>
              </w:rPr>
              <w:t>Type</w:t>
            </w:r>
          </w:p>
        </w:tc>
        <w:tc>
          <w:tcPr>
            <w:tcW w:w="4724" w:type="dxa"/>
            <w:hideMark/>
          </w:tcPr>
          <w:p w14:paraId="44D89316" w14:textId="77777777" w:rsidR="00C579DE" w:rsidRPr="0027285F" w:rsidRDefault="00C579DE" w:rsidP="00E4464E">
            <w:pPr>
              <w:tabs>
                <w:tab w:val="left" w:pos="8505"/>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404040" w:themeColor="text1" w:themeTint="BF"/>
                <w:sz w:val="18"/>
                <w:szCs w:val="18"/>
                <w:lang w:eastAsia="fr-FR"/>
              </w:rPr>
            </w:pPr>
            <w:r w:rsidRPr="0027285F">
              <w:rPr>
                <w:rFonts w:ascii="Times New Roman" w:hAnsi="Times New Roman"/>
                <w:color w:val="404040" w:themeColor="text1" w:themeTint="BF"/>
                <w:sz w:val="18"/>
                <w:szCs w:val="18"/>
                <w:lang w:eastAsia="fr-FR"/>
              </w:rPr>
              <w:t>Portée</w:t>
            </w:r>
          </w:p>
        </w:tc>
        <w:tc>
          <w:tcPr>
            <w:tcW w:w="3370" w:type="dxa"/>
            <w:hideMark/>
          </w:tcPr>
          <w:p w14:paraId="438F9A2B" w14:textId="77777777" w:rsidR="00C579DE" w:rsidRPr="0027285F" w:rsidRDefault="00C579DE" w:rsidP="00E4464E">
            <w:pPr>
              <w:tabs>
                <w:tab w:val="left" w:pos="8505"/>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404040" w:themeColor="text1" w:themeTint="BF"/>
                <w:sz w:val="18"/>
                <w:szCs w:val="18"/>
                <w:lang w:eastAsia="fr-FR"/>
              </w:rPr>
            </w:pPr>
            <w:r w:rsidRPr="0027285F">
              <w:rPr>
                <w:rFonts w:ascii="Times New Roman" w:hAnsi="Times New Roman"/>
                <w:color w:val="404040" w:themeColor="text1" w:themeTint="BF"/>
                <w:sz w:val="18"/>
                <w:szCs w:val="18"/>
                <w:lang w:eastAsia="fr-FR"/>
              </w:rPr>
              <w:t>Durée</w:t>
            </w:r>
          </w:p>
        </w:tc>
      </w:tr>
      <w:tr w:rsidR="00C579DE" w:rsidRPr="00840E13" w14:paraId="67D4B16E" w14:textId="77777777" w:rsidTr="0027285F">
        <w:trPr>
          <w:trHeight w:val="1583"/>
        </w:trPr>
        <w:tc>
          <w:tcPr>
            <w:cnfStyle w:val="001000000000" w:firstRow="0" w:lastRow="0" w:firstColumn="1" w:lastColumn="0" w:oddVBand="0" w:evenVBand="0" w:oddHBand="0" w:evenHBand="0" w:firstRowFirstColumn="0" w:firstRowLastColumn="0" w:lastRowFirstColumn="0" w:lastRowLastColumn="0"/>
            <w:tcW w:w="1388" w:type="dxa"/>
            <w:noWrap/>
            <w:hideMark/>
          </w:tcPr>
          <w:p w14:paraId="456401A6" w14:textId="77777777" w:rsidR="00C579DE" w:rsidRPr="00840E13" w:rsidRDefault="00C579DE" w:rsidP="00E4464E">
            <w:pPr>
              <w:tabs>
                <w:tab w:val="left" w:pos="8505"/>
              </w:tabs>
              <w:rPr>
                <w:rFonts w:ascii="Times New Roman" w:hAnsi="Times New Roman"/>
                <w:b w:val="0"/>
                <w:color w:val="000000"/>
                <w:sz w:val="18"/>
                <w:szCs w:val="18"/>
                <w:lang w:eastAsia="fr-FR"/>
              </w:rPr>
            </w:pPr>
            <w:r w:rsidRPr="00840E13">
              <w:rPr>
                <w:rFonts w:ascii="Times New Roman" w:hAnsi="Times New Roman"/>
                <w:color w:val="000000"/>
                <w:sz w:val="18"/>
                <w:szCs w:val="18"/>
                <w:lang w:eastAsia="fr-FR"/>
              </w:rPr>
              <w:t>Permis de Recherche (PR)</w:t>
            </w:r>
          </w:p>
        </w:tc>
        <w:tc>
          <w:tcPr>
            <w:tcW w:w="4724" w:type="dxa"/>
            <w:hideMark/>
          </w:tcPr>
          <w:p w14:paraId="28A027EE" w14:textId="77777777" w:rsidR="00C579DE" w:rsidRPr="00840E13" w:rsidRDefault="00C579DE" w:rsidP="00E4464E">
            <w:pPr>
              <w:tabs>
                <w:tab w:val="left" w:pos="850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8"/>
                <w:szCs w:val="18"/>
                <w:lang w:eastAsia="fr-FR"/>
              </w:rPr>
            </w:pPr>
            <w:r w:rsidRPr="00840E13">
              <w:rPr>
                <w:rFonts w:ascii="Times New Roman" w:hAnsi="Times New Roman"/>
                <w:color w:val="000000"/>
                <w:sz w:val="18"/>
                <w:szCs w:val="18"/>
                <w:lang w:eastAsia="fr-FR"/>
              </w:rPr>
              <w:t>Le Permis de Recherches confère à son titulaire le droit exclusif d’effectuer, à l’intérieur du périmètre sur lequel il est établi et pendant la durée de sa validité, les travaux de recherches des substances minérales classées en mines pour lesquelles le permis est accordé et les substances associées si le titulaire demande l’extension du permis à ces substances (art. 50)</w:t>
            </w:r>
          </w:p>
        </w:tc>
        <w:tc>
          <w:tcPr>
            <w:tcW w:w="3370" w:type="dxa"/>
            <w:hideMark/>
          </w:tcPr>
          <w:p w14:paraId="23289B25" w14:textId="77777777" w:rsidR="00C579DE" w:rsidRPr="00840E13" w:rsidRDefault="00C579DE" w:rsidP="00E4464E">
            <w:pPr>
              <w:tabs>
                <w:tab w:val="left" w:pos="850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fr-FR"/>
              </w:rPr>
            </w:pPr>
            <w:r w:rsidRPr="00840E13">
              <w:rPr>
                <w:rFonts w:ascii="Times New Roman" w:hAnsi="Times New Roman"/>
                <w:color w:val="000000"/>
                <w:sz w:val="18"/>
                <w:szCs w:val="18"/>
                <w:lang w:eastAsia="fr-FR"/>
              </w:rPr>
              <w:t>La durée du Permis de recherches est de cinq ans renouvelable une fois pour la même durée pour toutes les substances minérales (art. 52)</w:t>
            </w:r>
          </w:p>
        </w:tc>
      </w:tr>
      <w:tr w:rsidR="00C579DE" w:rsidRPr="00840E13" w14:paraId="43738CF5" w14:textId="77777777" w:rsidTr="0027285F">
        <w:trPr>
          <w:trHeight w:val="1357"/>
        </w:trPr>
        <w:tc>
          <w:tcPr>
            <w:cnfStyle w:val="001000000000" w:firstRow="0" w:lastRow="0" w:firstColumn="1" w:lastColumn="0" w:oddVBand="0" w:evenVBand="0" w:oddHBand="0" w:evenHBand="0" w:firstRowFirstColumn="0" w:firstRowLastColumn="0" w:lastRowFirstColumn="0" w:lastRowLastColumn="0"/>
            <w:tcW w:w="1388" w:type="dxa"/>
            <w:noWrap/>
            <w:hideMark/>
          </w:tcPr>
          <w:p w14:paraId="65A7C4BE" w14:textId="77777777" w:rsidR="00C579DE" w:rsidRPr="00840E13" w:rsidRDefault="00C579DE" w:rsidP="00E4464E">
            <w:pPr>
              <w:tabs>
                <w:tab w:val="left" w:pos="8505"/>
              </w:tabs>
              <w:jc w:val="both"/>
              <w:rPr>
                <w:rFonts w:ascii="Times New Roman" w:hAnsi="Times New Roman"/>
                <w:b w:val="0"/>
                <w:color w:val="000000"/>
                <w:sz w:val="18"/>
                <w:szCs w:val="18"/>
                <w:lang w:eastAsia="fr-FR"/>
              </w:rPr>
            </w:pPr>
            <w:r w:rsidRPr="00840E13">
              <w:rPr>
                <w:rFonts w:ascii="Times New Roman" w:hAnsi="Times New Roman"/>
                <w:color w:val="000000"/>
                <w:sz w:val="18"/>
                <w:szCs w:val="18"/>
                <w:lang w:eastAsia="fr-FR"/>
              </w:rPr>
              <w:t>Permis d'Exploitation (PE)</w:t>
            </w:r>
          </w:p>
        </w:tc>
        <w:tc>
          <w:tcPr>
            <w:tcW w:w="4724" w:type="dxa"/>
            <w:hideMark/>
          </w:tcPr>
          <w:p w14:paraId="7033898F" w14:textId="77777777" w:rsidR="00C579DE" w:rsidRPr="00840E13" w:rsidRDefault="00C579DE" w:rsidP="00E4464E">
            <w:pPr>
              <w:shd w:val="clear" w:color="auto" w:fill="FFFFFF"/>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83838"/>
                <w:sz w:val="18"/>
                <w:szCs w:val="18"/>
                <w:lang w:eastAsia="fr-FR"/>
              </w:rPr>
            </w:pPr>
            <w:r w:rsidRPr="00840E13">
              <w:rPr>
                <w:rFonts w:ascii="Times New Roman" w:eastAsia="Times New Roman" w:hAnsi="Times New Roman"/>
                <w:iCs/>
                <w:color w:val="000000"/>
                <w:sz w:val="18"/>
                <w:szCs w:val="18"/>
                <w:lang w:eastAsia="fr-FR"/>
              </w:rPr>
              <w:t>Le Permis d’exploitation autorise son titulaire d’exploiter, à l’intérieur du périmètre qu’il couvre, les substances minérales pour lesquelles il est spécifiquement établi. Ces substances minérales sont celles que le titulaire a identifiées et dont il a démontré l’existence d’un gisement économiquement exploitable. Le Permis d’exploitation peut s’étendre aux substances associées ou non-associées conformément aux dispositions de l’article 77 du présent Code (art. 64).</w:t>
            </w:r>
          </w:p>
        </w:tc>
        <w:tc>
          <w:tcPr>
            <w:tcW w:w="3370" w:type="dxa"/>
            <w:hideMark/>
          </w:tcPr>
          <w:p w14:paraId="0431194E" w14:textId="77777777" w:rsidR="00C579DE" w:rsidRPr="00840E13" w:rsidRDefault="00C579DE" w:rsidP="00E4464E">
            <w:pPr>
              <w:shd w:val="clear" w:color="auto" w:fill="FFFFFF"/>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83838"/>
                <w:sz w:val="18"/>
                <w:szCs w:val="18"/>
                <w:lang w:eastAsia="fr-FR"/>
              </w:rPr>
            </w:pPr>
            <w:r w:rsidRPr="00840E13">
              <w:rPr>
                <w:rFonts w:ascii="Times New Roman" w:eastAsia="Times New Roman" w:hAnsi="Times New Roman"/>
                <w:iCs/>
                <w:color w:val="000000"/>
                <w:sz w:val="18"/>
                <w:szCs w:val="18"/>
                <w:lang w:eastAsia="fr-FR"/>
              </w:rPr>
              <w:t>La durée de validité du Permis d’exploitation ne peut excéder vingt-cinq ans.</w:t>
            </w:r>
          </w:p>
          <w:p w14:paraId="6AA47D9B" w14:textId="77777777" w:rsidR="00C579DE" w:rsidRPr="00840E13" w:rsidRDefault="00C579DE" w:rsidP="00E4464E">
            <w:pPr>
              <w:shd w:val="clear" w:color="auto" w:fill="FFFFFF"/>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8"/>
                <w:szCs w:val="18"/>
                <w:lang w:eastAsia="fr-FR"/>
              </w:rPr>
            </w:pPr>
            <w:r w:rsidRPr="00840E13">
              <w:rPr>
                <w:rFonts w:ascii="Times New Roman" w:eastAsia="Times New Roman" w:hAnsi="Times New Roman"/>
                <w:iCs/>
                <w:color w:val="000000"/>
                <w:sz w:val="18"/>
                <w:szCs w:val="18"/>
                <w:lang w:eastAsia="fr-FR"/>
              </w:rPr>
              <w:t>Il est renouvelable sur demande de son titulaire pour des périodes n’excédant pas quinze ans chacune (art. 67).</w:t>
            </w:r>
          </w:p>
        </w:tc>
      </w:tr>
      <w:tr w:rsidR="00C579DE" w:rsidRPr="00840E13" w14:paraId="56A1818C" w14:textId="77777777" w:rsidTr="0027285F">
        <w:trPr>
          <w:trHeight w:val="2940"/>
        </w:trPr>
        <w:tc>
          <w:tcPr>
            <w:cnfStyle w:val="001000000000" w:firstRow="0" w:lastRow="0" w:firstColumn="1" w:lastColumn="0" w:oddVBand="0" w:evenVBand="0" w:oddHBand="0" w:evenHBand="0" w:firstRowFirstColumn="0" w:firstRowLastColumn="0" w:lastRowFirstColumn="0" w:lastRowLastColumn="0"/>
            <w:tcW w:w="1388" w:type="dxa"/>
            <w:hideMark/>
          </w:tcPr>
          <w:p w14:paraId="42F37130" w14:textId="77777777" w:rsidR="00C579DE" w:rsidRPr="00840E13" w:rsidRDefault="00C579DE" w:rsidP="00E4464E">
            <w:pPr>
              <w:tabs>
                <w:tab w:val="left" w:pos="8505"/>
              </w:tabs>
              <w:rPr>
                <w:rFonts w:ascii="Times New Roman" w:hAnsi="Times New Roman"/>
                <w:b w:val="0"/>
                <w:color w:val="000000"/>
                <w:sz w:val="18"/>
                <w:szCs w:val="18"/>
                <w:lang w:eastAsia="fr-FR"/>
              </w:rPr>
            </w:pPr>
            <w:r w:rsidRPr="00840E13">
              <w:rPr>
                <w:rFonts w:ascii="Times New Roman" w:hAnsi="Times New Roman"/>
                <w:color w:val="000000"/>
                <w:sz w:val="18"/>
                <w:szCs w:val="18"/>
                <w:lang w:eastAsia="fr-FR"/>
              </w:rPr>
              <w:t>Permis d’Exploitation des Rejets (PER)</w:t>
            </w:r>
          </w:p>
        </w:tc>
        <w:tc>
          <w:tcPr>
            <w:tcW w:w="4724" w:type="dxa"/>
          </w:tcPr>
          <w:p w14:paraId="104A24A5" w14:textId="77777777" w:rsidR="00C579DE" w:rsidRPr="00840E13" w:rsidRDefault="00C579DE" w:rsidP="00E4464E">
            <w:pPr>
              <w:tabs>
                <w:tab w:val="left" w:pos="850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fr-FR"/>
              </w:rPr>
            </w:pPr>
            <w:r w:rsidRPr="00840E13">
              <w:rPr>
                <w:rFonts w:ascii="Times New Roman" w:hAnsi="Times New Roman"/>
                <w:color w:val="000000"/>
                <w:sz w:val="18"/>
                <w:szCs w:val="18"/>
                <w:lang w:eastAsia="fr-FR"/>
              </w:rPr>
              <w:t>Le Permis d’exploitation des rejets porte sur les substances minérales pour lesquelles il est spécifiquement établi. Le Permis d’exploitation des rejets peut s’étendre à d’autres substances minérales conformément aux dispositions de l’article 77 du présent Code (art. 88).</w:t>
            </w:r>
          </w:p>
          <w:p w14:paraId="076C7821" w14:textId="77777777" w:rsidR="00C579DE" w:rsidRPr="00840E13" w:rsidRDefault="00C579DE" w:rsidP="00E4464E">
            <w:pPr>
              <w:tabs>
                <w:tab w:val="left" w:pos="850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fr-FR"/>
              </w:rPr>
            </w:pPr>
            <w:r w:rsidRPr="00840E13">
              <w:rPr>
                <w:rFonts w:ascii="Times New Roman" w:hAnsi="Times New Roman"/>
                <w:color w:val="000000"/>
                <w:sz w:val="18"/>
                <w:szCs w:val="18"/>
                <w:lang w:eastAsia="fr-FR"/>
              </w:rPr>
              <w:t>Sans préjudice des dispositions de l’alinéa précédent, le requérant cessionnaire partiel d’un Permis d’exploitation présente l’acte de cession partielle au Cadastre minier pour enregistrement auquel est jointe sa demande de Permis d’exploitation des rejets (art. 91 al.2)</w:t>
            </w:r>
          </w:p>
        </w:tc>
        <w:tc>
          <w:tcPr>
            <w:tcW w:w="3370" w:type="dxa"/>
            <w:hideMark/>
          </w:tcPr>
          <w:p w14:paraId="67494794" w14:textId="77777777" w:rsidR="00C579DE" w:rsidRPr="00840E13" w:rsidRDefault="00C579DE" w:rsidP="00E4464E">
            <w:pPr>
              <w:tabs>
                <w:tab w:val="left" w:pos="850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fr-FR"/>
              </w:rPr>
            </w:pPr>
            <w:r w:rsidRPr="00840E13">
              <w:rPr>
                <w:rFonts w:ascii="Times New Roman" w:hAnsi="Times New Roman"/>
                <w:color w:val="000000"/>
                <w:sz w:val="18"/>
                <w:szCs w:val="18"/>
                <w:lang w:eastAsia="fr-FR"/>
              </w:rPr>
              <w:t>Les dispositions de l’article 80 du s’appliquent au dépôt, à l’instruction de la demande ainsi qu’à l’octroi ou au refus du renouvellement du Permis d’exploitation des rejets (art. 95).</w:t>
            </w:r>
          </w:p>
          <w:p w14:paraId="014BDE73" w14:textId="77777777" w:rsidR="00C579DE" w:rsidRPr="00840E13" w:rsidRDefault="00C579DE" w:rsidP="00E4464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fr-FR"/>
              </w:rPr>
            </w:pPr>
            <w:r w:rsidRPr="00840E13">
              <w:rPr>
                <w:rFonts w:ascii="Times New Roman" w:hAnsi="Times New Roman"/>
                <w:color w:val="000000"/>
                <w:sz w:val="18"/>
                <w:szCs w:val="18"/>
              </w:rPr>
              <w:t>La durée du Permis d’Exploitation des Rejets est de cinq ans renouvelable plusieurs fois pour la même durée art. 90).</w:t>
            </w:r>
          </w:p>
        </w:tc>
      </w:tr>
      <w:tr w:rsidR="00C579DE" w:rsidRPr="00840E13" w14:paraId="22036E15" w14:textId="77777777" w:rsidTr="0027285F">
        <w:trPr>
          <w:trHeight w:val="2262"/>
        </w:trPr>
        <w:tc>
          <w:tcPr>
            <w:cnfStyle w:val="001000000000" w:firstRow="0" w:lastRow="0" w:firstColumn="1" w:lastColumn="0" w:oddVBand="0" w:evenVBand="0" w:oddHBand="0" w:evenHBand="0" w:firstRowFirstColumn="0" w:firstRowLastColumn="0" w:lastRowFirstColumn="0" w:lastRowLastColumn="0"/>
            <w:tcW w:w="1388" w:type="dxa"/>
            <w:hideMark/>
          </w:tcPr>
          <w:p w14:paraId="0CF3B24D" w14:textId="77777777" w:rsidR="00C579DE" w:rsidRPr="00840E13" w:rsidRDefault="00C579DE" w:rsidP="00E4464E">
            <w:pPr>
              <w:tabs>
                <w:tab w:val="left" w:pos="8505"/>
              </w:tabs>
              <w:jc w:val="both"/>
              <w:rPr>
                <w:rFonts w:ascii="Times New Roman" w:hAnsi="Times New Roman"/>
                <w:b w:val="0"/>
                <w:color w:val="000000"/>
                <w:sz w:val="18"/>
                <w:szCs w:val="18"/>
                <w:lang w:eastAsia="fr-FR"/>
              </w:rPr>
            </w:pPr>
            <w:r w:rsidRPr="00840E13">
              <w:rPr>
                <w:rFonts w:ascii="Times New Roman" w:hAnsi="Times New Roman"/>
                <w:color w:val="000000"/>
                <w:sz w:val="18"/>
                <w:szCs w:val="18"/>
                <w:lang w:eastAsia="fr-FR"/>
              </w:rPr>
              <w:t>Permis d’Exploitation de Petite Mine (PEPM)</w:t>
            </w:r>
          </w:p>
        </w:tc>
        <w:tc>
          <w:tcPr>
            <w:tcW w:w="4724" w:type="dxa"/>
          </w:tcPr>
          <w:p w14:paraId="7C0BFC20" w14:textId="77777777" w:rsidR="00C579DE" w:rsidRPr="00840E13" w:rsidRDefault="00C579DE" w:rsidP="00E4464E">
            <w:pPr>
              <w:shd w:val="clear" w:color="auto" w:fill="FFFFFF"/>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83838"/>
                <w:sz w:val="18"/>
                <w:szCs w:val="18"/>
                <w:lang w:eastAsia="fr-FR"/>
              </w:rPr>
            </w:pPr>
            <w:r w:rsidRPr="00840E13">
              <w:rPr>
                <w:rFonts w:ascii="Times New Roman" w:eastAsia="Times New Roman" w:hAnsi="Times New Roman"/>
                <w:iCs/>
                <w:color w:val="000000"/>
                <w:sz w:val="18"/>
                <w:szCs w:val="18"/>
                <w:lang w:eastAsia="fr-FR"/>
              </w:rPr>
              <w:t>Les dispositions de l’article 64 ci-dessus (voir PE) s’appliquent au Permis d’exploitation de petite mine (art. 99).</w:t>
            </w:r>
          </w:p>
          <w:p w14:paraId="72D454C1" w14:textId="77777777" w:rsidR="00C579DE" w:rsidRPr="00840E13" w:rsidRDefault="00C579DE" w:rsidP="00E4464E">
            <w:pPr>
              <w:tabs>
                <w:tab w:val="left" w:pos="850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8"/>
                <w:szCs w:val="18"/>
                <w:lang w:eastAsia="fr-FR"/>
              </w:rPr>
            </w:pPr>
          </w:p>
        </w:tc>
        <w:tc>
          <w:tcPr>
            <w:tcW w:w="3370" w:type="dxa"/>
          </w:tcPr>
          <w:p w14:paraId="56C45723" w14:textId="77777777" w:rsidR="00C579DE" w:rsidRPr="00840E13" w:rsidRDefault="00C579DE" w:rsidP="00E4464E">
            <w:pPr>
              <w:shd w:val="clear" w:color="auto" w:fill="FFFFFF"/>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83838"/>
                <w:sz w:val="18"/>
                <w:szCs w:val="18"/>
                <w:lang w:eastAsia="fr-FR"/>
              </w:rPr>
            </w:pPr>
            <w:r w:rsidRPr="00840E13">
              <w:rPr>
                <w:rFonts w:ascii="Times New Roman" w:eastAsia="Times New Roman" w:hAnsi="Times New Roman"/>
                <w:iCs/>
                <w:color w:val="000000"/>
                <w:sz w:val="18"/>
                <w:szCs w:val="18"/>
                <w:lang w:eastAsia="fr-FR"/>
              </w:rPr>
              <w:t>La durée de validité du Permis d’exploitation de petite mine est de cinq ans renouvelable une fois pour la même durée.</w:t>
            </w:r>
          </w:p>
          <w:p w14:paraId="454FD0A0" w14:textId="77777777" w:rsidR="00C579DE" w:rsidRPr="00840E13" w:rsidRDefault="00C579DE" w:rsidP="00E4464E">
            <w:pPr>
              <w:shd w:val="clear" w:color="auto" w:fill="FFFFFF"/>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83838"/>
                <w:sz w:val="18"/>
                <w:szCs w:val="18"/>
                <w:lang w:eastAsia="fr-FR"/>
              </w:rPr>
            </w:pPr>
            <w:r w:rsidRPr="00840E13">
              <w:rPr>
                <w:rFonts w:ascii="Times New Roman" w:eastAsia="Times New Roman" w:hAnsi="Times New Roman"/>
                <w:iCs/>
                <w:color w:val="000000"/>
                <w:sz w:val="18"/>
                <w:szCs w:val="18"/>
                <w:lang w:eastAsia="fr-FR"/>
              </w:rPr>
              <w:t>Toutefois, à la demande du titulaire et après avis favorable de la Direction des mines, le ministre peut proroger la durée d’un Permis d’exploitation de petite mine au-delà de dix ans, suivant le cas et pour les substances dont l’exploitation dépasse dix ans (art. 101).</w:t>
            </w:r>
          </w:p>
        </w:tc>
      </w:tr>
    </w:tbl>
    <w:p w14:paraId="78A2DAF1" w14:textId="77777777" w:rsidR="000B5866" w:rsidRDefault="000B5866" w:rsidP="000B5866">
      <w:pPr>
        <w:pStyle w:val="Citation"/>
        <w:spacing w:after="0" w:line="240" w:lineRule="auto"/>
        <w:ind w:left="426"/>
        <w:rPr>
          <w:rFonts w:ascii="Times New Roman" w:hAnsi="Times New Roman"/>
          <w:sz w:val="24"/>
          <w:szCs w:val="24"/>
        </w:rPr>
      </w:pPr>
    </w:p>
    <w:p w14:paraId="1AB63C0D" w14:textId="77777777" w:rsidR="000B5866" w:rsidRDefault="000B5866">
      <w:pPr>
        <w:rPr>
          <w:rFonts w:ascii="Times New Roman" w:hAnsi="Times New Roman"/>
          <w:i/>
          <w:iCs/>
          <w:color w:val="5B9BD5" w:themeColor="accent1"/>
          <w:sz w:val="24"/>
          <w:szCs w:val="24"/>
        </w:rPr>
      </w:pPr>
      <w:r>
        <w:rPr>
          <w:rFonts w:ascii="Times New Roman" w:hAnsi="Times New Roman"/>
          <w:sz w:val="24"/>
          <w:szCs w:val="24"/>
        </w:rPr>
        <w:br w:type="page"/>
      </w:r>
    </w:p>
    <w:p w14:paraId="5C2A72CC" w14:textId="77777777" w:rsidR="00C579DE" w:rsidRPr="00840E13" w:rsidRDefault="00C579DE" w:rsidP="000B5866">
      <w:pPr>
        <w:pStyle w:val="Citation"/>
        <w:spacing w:after="0" w:line="240" w:lineRule="auto"/>
        <w:ind w:left="426"/>
        <w:rPr>
          <w:rFonts w:ascii="Times New Roman" w:hAnsi="Times New Roman"/>
          <w:sz w:val="24"/>
          <w:szCs w:val="24"/>
        </w:rPr>
      </w:pPr>
      <w:r>
        <w:rPr>
          <w:rFonts w:ascii="Times New Roman" w:hAnsi="Times New Roman"/>
          <w:sz w:val="24"/>
          <w:szCs w:val="24"/>
        </w:rPr>
        <w:lastRenderedPageBreak/>
        <w:t xml:space="preserve">4.2. </w:t>
      </w:r>
      <w:r w:rsidRPr="00840E13">
        <w:rPr>
          <w:rFonts w:ascii="Times New Roman" w:hAnsi="Times New Roman"/>
          <w:sz w:val="24"/>
          <w:szCs w:val="24"/>
        </w:rPr>
        <w:t>Les droits de carrières</w:t>
      </w:r>
    </w:p>
    <w:p w14:paraId="6382DF2A" w14:textId="77777777" w:rsidR="00C579DE" w:rsidRPr="00840E13" w:rsidRDefault="00C579DE" w:rsidP="00C579DE">
      <w:pPr>
        <w:tabs>
          <w:tab w:val="left" w:pos="8505"/>
        </w:tabs>
        <w:spacing w:after="0"/>
        <w:jc w:val="both"/>
        <w:rPr>
          <w:rFonts w:ascii="Times New Roman" w:eastAsia="+mn-ea" w:hAnsi="Times New Roman"/>
        </w:rPr>
      </w:pPr>
    </w:p>
    <w:tbl>
      <w:tblPr>
        <w:tblStyle w:val="TableauGrille1Clair1"/>
        <w:tblW w:w="4949" w:type="pct"/>
        <w:tblLook w:val="04A0" w:firstRow="1" w:lastRow="0" w:firstColumn="1" w:lastColumn="0" w:noHBand="0" w:noVBand="1"/>
      </w:tblPr>
      <w:tblGrid>
        <w:gridCol w:w="2206"/>
        <w:gridCol w:w="4287"/>
        <w:gridCol w:w="3039"/>
      </w:tblGrid>
      <w:tr w:rsidR="0027285F" w:rsidRPr="0027285F" w14:paraId="31613979" w14:textId="77777777" w:rsidTr="0027285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57" w:type="pct"/>
            <w:hideMark/>
          </w:tcPr>
          <w:p w14:paraId="2EB82D0B" w14:textId="77777777" w:rsidR="00C579DE" w:rsidRPr="0027285F" w:rsidRDefault="00C579DE" w:rsidP="00E4464E">
            <w:pPr>
              <w:tabs>
                <w:tab w:val="left" w:pos="8505"/>
              </w:tabs>
              <w:rPr>
                <w:rFonts w:ascii="Times New Roman" w:hAnsi="Times New Roman"/>
                <w:color w:val="404040" w:themeColor="text1" w:themeTint="BF"/>
                <w:sz w:val="20"/>
                <w:szCs w:val="20"/>
                <w:lang w:eastAsia="fr-FR"/>
              </w:rPr>
            </w:pPr>
            <w:r w:rsidRPr="0027285F">
              <w:rPr>
                <w:rFonts w:ascii="Times New Roman" w:hAnsi="Times New Roman"/>
                <w:color w:val="404040" w:themeColor="text1" w:themeTint="BF"/>
                <w:sz w:val="20"/>
                <w:szCs w:val="20"/>
                <w:lang w:eastAsia="fr-FR"/>
              </w:rPr>
              <w:t>Type</w:t>
            </w:r>
          </w:p>
        </w:tc>
        <w:tc>
          <w:tcPr>
            <w:tcW w:w="2249" w:type="pct"/>
            <w:hideMark/>
          </w:tcPr>
          <w:p w14:paraId="6AA4D037" w14:textId="77777777" w:rsidR="00C579DE" w:rsidRPr="0027285F" w:rsidRDefault="00C579DE" w:rsidP="00E4464E">
            <w:pPr>
              <w:tabs>
                <w:tab w:val="left" w:pos="8505"/>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404040" w:themeColor="text1" w:themeTint="BF"/>
                <w:sz w:val="20"/>
                <w:szCs w:val="20"/>
                <w:lang w:eastAsia="fr-FR"/>
              </w:rPr>
            </w:pPr>
            <w:r w:rsidRPr="0027285F">
              <w:rPr>
                <w:rFonts w:ascii="Times New Roman" w:hAnsi="Times New Roman"/>
                <w:color w:val="404040" w:themeColor="text1" w:themeTint="BF"/>
                <w:sz w:val="20"/>
                <w:szCs w:val="20"/>
                <w:lang w:eastAsia="fr-FR"/>
              </w:rPr>
              <w:t>Portée</w:t>
            </w:r>
          </w:p>
        </w:tc>
        <w:tc>
          <w:tcPr>
            <w:tcW w:w="1594" w:type="pct"/>
            <w:hideMark/>
          </w:tcPr>
          <w:p w14:paraId="4FD4CA49" w14:textId="77777777" w:rsidR="00C579DE" w:rsidRPr="0027285F" w:rsidRDefault="00C579DE" w:rsidP="00E4464E">
            <w:pPr>
              <w:tabs>
                <w:tab w:val="left" w:pos="8505"/>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404040" w:themeColor="text1" w:themeTint="BF"/>
                <w:sz w:val="20"/>
                <w:szCs w:val="20"/>
                <w:lang w:eastAsia="fr-FR"/>
              </w:rPr>
            </w:pPr>
            <w:r w:rsidRPr="0027285F">
              <w:rPr>
                <w:rFonts w:ascii="Times New Roman" w:hAnsi="Times New Roman"/>
                <w:color w:val="404040" w:themeColor="text1" w:themeTint="BF"/>
                <w:sz w:val="20"/>
                <w:szCs w:val="20"/>
                <w:lang w:eastAsia="fr-FR"/>
              </w:rPr>
              <w:t>Durée</w:t>
            </w:r>
          </w:p>
        </w:tc>
      </w:tr>
      <w:tr w:rsidR="00C579DE" w:rsidRPr="00840E13" w14:paraId="6AF5C361" w14:textId="77777777" w:rsidTr="0027285F">
        <w:trPr>
          <w:trHeight w:val="675"/>
        </w:trPr>
        <w:tc>
          <w:tcPr>
            <w:cnfStyle w:val="001000000000" w:firstRow="0" w:lastRow="0" w:firstColumn="1" w:lastColumn="0" w:oddVBand="0" w:evenVBand="0" w:oddHBand="0" w:evenHBand="0" w:firstRowFirstColumn="0" w:firstRowLastColumn="0" w:lastRowFirstColumn="0" w:lastRowLastColumn="0"/>
            <w:tcW w:w="1157" w:type="pct"/>
            <w:hideMark/>
          </w:tcPr>
          <w:p w14:paraId="79E6A075" w14:textId="77777777" w:rsidR="00C579DE" w:rsidRPr="00840E13" w:rsidRDefault="00C579DE" w:rsidP="00E4464E">
            <w:pPr>
              <w:tabs>
                <w:tab w:val="left" w:pos="8505"/>
              </w:tabs>
              <w:rPr>
                <w:rFonts w:ascii="Times New Roman" w:hAnsi="Times New Roman"/>
                <w:b w:val="0"/>
                <w:color w:val="000000"/>
                <w:sz w:val="20"/>
                <w:szCs w:val="20"/>
                <w:lang w:eastAsia="fr-FR"/>
              </w:rPr>
            </w:pPr>
            <w:r w:rsidRPr="00840E13">
              <w:rPr>
                <w:rFonts w:ascii="Times New Roman" w:hAnsi="Times New Roman"/>
                <w:color w:val="000000"/>
                <w:sz w:val="20"/>
                <w:szCs w:val="20"/>
                <w:lang w:eastAsia="fr-FR"/>
              </w:rPr>
              <w:t>Autorisation de recherche des produits de carrière (ARPC)</w:t>
            </w:r>
          </w:p>
        </w:tc>
        <w:tc>
          <w:tcPr>
            <w:tcW w:w="2249" w:type="pct"/>
            <w:hideMark/>
          </w:tcPr>
          <w:p w14:paraId="1FA6AFFA" w14:textId="77777777" w:rsidR="00C579DE" w:rsidRPr="00840E13" w:rsidRDefault="00C579DE" w:rsidP="00E4464E">
            <w:pPr>
              <w:tabs>
                <w:tab w:val="left" w:pos="850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fr-FR"/>
              </w:rPr>
            </w:pPr>
            <w:r w:rsidRPr="00840E13">
              <w:rPr>
                <w:rFonts w:ascii="Times New Roman" w:eastAsia="Times New Roman" w:hAnsi="Times New Roman"/>
                <w:iCs/>
                <w:color w:val="000000"/>
                <w:sz w:val="20"/>
                <w:szCs w:val="20"/>
                <w:lang w:eastAsia="fr-FR"/>
              </w:rPr>
              <w:t>L’Autorisation de recherches des produits de carrières porte sur les substances minérales classées en carrières pour lesquelles elle a été accordée (art. 136)</w:t>
            </w:r>
            <w:r w:rsidRPr="00840E13">
              <w:rPr>
                <w:rFonts w:ascii="Times New Roman" w:hAnsi="Times New Roman"/>
                <w:color w:val="000000"/>
                <w:sz w:val="20"/>
                <w:szCs w:val="20"/>
                <w:lang w:eastAsia="fr-FR"/>
              </w:rPr>
              <w:t>.</w:t>
            </w:r>
          </w:p>
        </w:tc>
        <w:tc>
          <w:tcPr>
            <w:tcW w:w="1594" w:type="pct"/>
            <w:hideMark/>
          </w:tcPr>
          <w:p w14:paraId="58B9CCE1" w14:textId="77777777" w:rsidR="00C579DE" w:rsidRPr="00840E13" w:rsidRDefault="00C579DE" w:rsidP="00E4464E">
            <w:pPr>
              <w:tabs>
                <w:tab w:val="left" w:pos="850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eastAsia="fr-FR"/>
              </w:rPr>
            </w:pPr>
            <w:r w:rsidRPr="00840E13">
              <w:rPr>
                <w:rFonts w:ascii="Times New Roman" w:hAnsi="Times New Roman"/>
                <w:sz w:val="20"/>
                <w:szCs w:val="20"/>
                <w:lang w:eastAsia="fr-FR"/>
              </w:rPr>
              <w:t>Un an, renouvelable une fois pour la même durée (art. 138).</w:t>
            </w:r>
          </w:p>
        </w:tc>
      </w:tr>
      <w:tr w:rsidR="00C579DE" w:rsidRPr="00840E13" w14:paraId="1F5BAABE" w14:textId="77777777" w:rsidTr="0027285F">
        <w:trPr>
          <w:trHeight w:val="1318"/>
        </w:trPr>
        <w:tc>
          <w:tcPr>
            <w:cnfStyle w:val="001000000000" w:firstRow="0" w:lastRow="0" w:firstColumn="1" w:lastColumn="0" w:oddVBand="0" w:evenVBand="0" w:oddHBand="0" w:evenHBand="0" w:firstRowFirstColumn="0" w:firstRowLastColumn="0" w:lastRowFirstColumn="0" w:lastRowLastColumn="0"/>
            <w:tcW w:w="1157" w:type="pct"/>
            <w:hideMark/>
          </w:tcPr>
          <w:p w14:paraId="715552CD" w14:textId="77777777" w:rsidR="00C579DE" w:rsidRPr="00840E13" w:rsidRDefault="00C579DE" w:rsidP="00E4464E">
            <w:pPr>
              <w:tabs>
                <w:tab w:val="left" w:pos="8505"/>
              </w:tabs>
              <w:rPr>
                <w:rFonts w:ascii="Times New Roman" w:hAnsi="Times New Roman"/>
                <w:b w:val="0"/>
                <w:color w:val="000000"/>
                <w:sz w:val="20"/>
                <w:szCs w:val="20"/>
                <w:lang w:eastAsia="fr-FR"/>
              </w:rPr>
            </w:pPr>
            <w:r w:rsidRPr="00840E13">
              <w:rPr>
                <w:rFonts w:ascii="Times New Roman" w:hAnsi="Times New Roman"/>
                <w:color w:val="000000"/>
                <w:sz w:val="20"/>
                <w:szCs w:val="20"/>
                <w:lang w:eastAsia="fr-FR"/>
              </w:rPr>
              <w:t>Autorisation d’Exploitation de Carrières Permanente (AECP)</w:t>
            </w:r>
          </w:p>
        </w:tc>
        <w:tc>
          <w:tcPr>
            <w:tcW w:w="2249" w:type="pct"/>
            <w:hideMark/>
          </w:tcPr>
          <w:p w14:paraId="71567855" w14:textId="77777777" w:rsidR="00C579DE" w:rsidRPr="00840E13" w:rsidRDefault="00C579DE" w:rsidP="00E4464E">
            <w:pPr>
              <w:shd w:val="clear" w:color="auto" w:fill="FFFFFF"/>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83838"/>
                <w:sz w:val="20"/>
                <w:szCs w:val="20"/>
                <w:lang w:eastAsia="fr-FR"/>
              </w:rPr>
            </w:pPr>
            <w:r w:rsidRPr="00840E13">
              <w:rPr>
                <w:rFonts w:ascii="Times New Roman" w:eastAsia="Times New Roman" w:hAnsi="Times New Roman"/>
                <w:iCs/>
                <w:color w:val="000000"/>
                <w:sz w:val="20"/>
                <w:szCs w:val="20"/>
                <w:lang w:eastAsia="fr-FR"/>
              </w:rPr>
              <w:t>L’Autorisation d’exploitation de carrières permanente ou temporaire porte sur les produits de carrières pour lesquels elle est spécifiquement établie. Ces produits de carrières sont ceux que le titulaire a identifiés et dont il a démontré l’existence d’un gisement économiquement exploitable (art. 146).</w:t>
            </w:r>
          </w:p>
        </w:tc>
        <w:tc>
          <w:tcPr>
            <w:tcW w:w="1594" w:type="pct"/>
            <w:hideMark/>
          </w:tcPr>
          <w:p w14:paraId="1D534A72" w14:textId="77777777" w:rsidR="00C579DE" w:rsidRPr="00840E13" w:rsidRDefault="00C579DE" w:rsidP="00E4464E">
            <w:pPr>
              <w:shd w:val="clear" w:color="auto" w:fill="FFFFFF"/>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83838"/>
                <w:sz w:val="20"/>
                <w:szCs w:val="20"/>
                <w:lang w:eastAsia="fr-FR"/>
              </w:rPr>
            </w:pPr>
            <w:r w:rsidRPr="00840E13">
              <w:rPr>
                <w:rFonts w:ascii="Times New Roman" w:eastAsia="Times New Roman" w:hAnsi="Times New Roman"/>
                <w:iCs/>
                <w:color w:val="000000"/>
                <w:sz w:val="20"/>
                <w:szCs w:val="20"/>
                <w:lang w:eastAsia="fr-FR"/>
              </w:rPr>
              <w:t>La durée de validité de l’Autorisation d’exploitation des produits de carrière permanente est de cinq ans renouvelable plusieurs fois pour la même durée (art.</w:t>
            </w:r>
            <w:r w:rsidRPr="00840E13">
              <w:rPr>
                <w:rFonts w:ascii="Times New Roman" w:eastAsia="Times New Roman" w:hAnsi="Times New Roman"/>
                <w:color w:val="383838"/>
                <w:sz w:val="20"/>
                <w:szCs w:val="20"/>
                <w:lang w:eastAsia="fr-FR"/>
              </w:rPr>
              <w:t xml:space="preserve"> </w:t>
            </w:r>
            <w:r w:rsidRPr="00840E13">
              <w:rPr>
                <w:rFonts w:ascii="Times New Roman" w:hAnsi="Times New Roman"/>
                <w:bCs/>
                <w:color w:val="000000"/>
                <w:sz w:val="20"/>
                <w:szCs w:val="20"/>
                <w:lang w:eastAsia="fr-FR"/>
              </w:rPr>
              <w:t>149)</w:t>
            </w:r>
          </w:p>
        </w:tc>
      </w:tr>
      <w:tr w:rsidR="00C579DE" w:rsidRPr="00840E13" w14:paraId="30E41445" w14:textId="77777777" w:rsidTr="0027285F">
        <w:trPr>
          <w:trHeight w:val="2025"/>
        </w:trPr>
        <w:tc>
          <w:tcPr>
            <w:cnfStyle w:val="001000000000" w:firstRow="0" w:lastRow="0" w:firstColumn="1" w:lastColumn="0" w:oddVBand="0" w:evenVBand="0" w:oddHBand="0" w:evenHBand="0" w:firstRowFirstColumn="0" w:firstRowLastColumn="0" w:lastRowFirstColumn="0" w:lastRowLastColumn="0"/>
            <w:tcW w:w="1157" w:type="pct"/>
            <w:hideMark/>
          </w:tcPr>
          <w:p w14:paraId="1AB1FEC3" w14:textId="77777777" w:rsidR="00C579DE" w:rsidRPr="00840E13" w:rsidRDefault="00C579DE" w:rsidP="00E4464E">
            <w:pPr>
              <w:tabs>
                <w:tab w:val="left" w:pos="8505"/>
              </w:tabs>
              <w:rPr>
                <w:rFonts w:ascii="Times New Roman" w:hAnsi="Times New Roman"/>
                <w:b w:val="0"/>
                <w:color w:val="000000"/>
                <w:sz w:val="20"/>
                <w:szCs w:val="20"/>
                <w:lang w:eastAsia="fr-FR"/>
              </w:rPr>
            </w:pPr>
            <w:r w:rsidRPr="00840E13">
              <w:rPr>
                <w:rFonts w:ascii="Times New Roman" w:hAnsi="Times New Roman"/>
                <w:color w:val="000000"/>
                <w:sz w:val="20"/>
                <w:szCs w:val="20"/>
                <w:lang w:eastAsia="fr-FR"/>
              </w:rPr>
              <w:t>Autorisation d’Exploitation de Carrières Temporaire (AECT)</w:t>
            </w:r>
          </w:p>
        </w:tc>
        <w:tc>
          <w:tcPr>
            <w:tcW w:w="2249" w:type="pct"/>
            <w:hideMark/>
          </w:tcPr>
          <w:p w14:paraId="39873A1C" w14:textId="77777777" w:rsidR="00C579DE" w:rsidRPr="00840E13" w:rsidRDefault="00C579DE" w:rsidP="00E4464E">
            <w:pPr>
              <w:tabs>
                <w:tab w:val="left" w:pos="8505"/>
              </w:tabs>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83838"/>
                <w:sz w:val="20"/>
                <w:szCs w:val="20"/>
                <w:lang w:eastAsia="fr-FR"/>
              </w:rPr>
            </w:pPr>
            <w:r w:rsidRPr="00840E13">
              <w:rPr>
                <w:rFonts w:ascii="Times New Roman" w:hAnsi="Times New Roman"/>
                <w:color w:val="000000"/>
                <w:sz w:val="20"/>
                <w:szCs w:val="20"/>
                <w:lang w:eastAsia="fr-FR"/>
              </w:rPr>
              <w:t xml:space="preserve">La portée de l’Autorisation d’Exploitation de Carrières Temporaire est la même que celle de l’Autorisation d’Exploitation de Carrières Permanente. </w:t>
            </w:r>
            <w:r w:rsidRPr="00840E13">
              <w:rPr>
                <w:rFonts w:ascii="Times New Roman" w:eastAsia="Times New Roman" w:hAnsi="Times New Roman"/>
                <w:iCs/>
                <w:color w:val="000000"/>
                <w:sz w:val="20"/>
                <w:szCs w:val="20"/>
                <w:lang w:eastAsia="fr-FR"/>
              </w:rPr>
              <w:t xml:space="preserve">Toutefois, l’autorisation </w:t>
            </w:r>
            <w:r w:rsidRPr="00840E13">
              <w:rPr>
                <w:rFonts w:ascii="Times New Roman" w:hAnsi="Times New Roman"/>
                <w:color w:val="000000"/>
                <w:sz w:val="20"/>
                <w:szCs w:val="20"/>
                <w:lang w:eastAsia="fr-FR"/>
              </w:rPr>
              <w:t>d’exploitation</w:t>
            </w:r>
            <w:r w:rsidRPr="00840E13">
              <w:rPr>
                <w:rFonts w:ascii="Times New Roman" w:eastAsia="Times New Roman" w:hAnsi="Times New Roman"/>
                <w:iCs/>
                <w:color w:val="000000"/>
                <w:sz w:val="20"/>
                <w:szCs w:val="20"/>
                <w:lang w:eastAsia="fr-FR"/>
              </w:rPr>
              <w:t xml:space="preserve"> de carrières temporaire fixe la quantité des substances à extraire, les conditions d’occupation des terrains nécessaires aux prélèvements et aux activités connexes et indique les taxes à payer. Elle précise également les obligations du bénéficiaire notamment en ce qui concerne l’environnement et la remise en état des lieux après prélèvement (art. 147).</w:t>
            </w:r>
          </w:p>
          <w:p w14:paraId="13CD11A7" w14:textId="77777777" w:rsidR="00C579DE" w:rsidRPr="00840E13" w:rsidRDefault="00C579DE" w:rsidP="00E4464E">
            <w:pPr>
              <w:tabs>
                <w:tab w:val="left" w:pos="850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0"/>
                <w:szCs w:val="20"/>
                <w:lang w:eastAsia="fr-FR"/>
              </w:rPr>
            </w:pPr>
          </w:p>
        </w:tc>
        <w:tc>
          <w:tcPr>
            <w:tcW w:w="1594" w:type="pct"/>
          </w:tcPr>
          <w:p w14:paraId="3D2AE01A" w14:textId="77777777" w:rsidR="00C579DE" w:rsidRPr="00840E13" w:rsidRDefault="00C579DE" w:rsidP="00E4464E">
            <w:pPr>
              <w:tabs>
                <w:tab w:val="left" w:pos="850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0"/>
                <w:szCs w:val="20"/>
                <w:lang w:eastAsia="fr-FR"/>
              </w:rPr>
            </w:pPr>
            <w:r w:rsidRPr="00840E13">
              <w:rPr>
                <w:rFonts w:ascii="Times New Roman" w:eastAsia="Times New Roman" w:hAnsi="Times New Roman"/>
                <w:iCs/>
                <w:color w:val="000000"/>
                <w:sz w:val="20"/>
                <w:szCs w:val="20"/>
                <w:lang w:eastAsia="fr-FR"/>
              </w:rPr>
              <w:t>La durée de validité de l’Autorisation d’exploitation des produits de carrière temporaire est d’un an non renouvelable. Toutefois, son titulaire a le droit de demander une nouvelle Autorisation d’exploitation temporaire pour le même Périmètre qui prendrait effet à l’échéance de l’autorisation en cours (art.</w:t>
            </w:r>
            <w:r w:rsidRPr="00840E13">
              <w:rPr>
                <w:rFonts w:ascii="Times New Roman" w:eastAsia="Times New Roman" w:hAnsi="Times New Roman"/>
                <w:color w:val="383838"/>
                <w:sz w:val="20"/>
                <w:szCs w:val="20"/>
                <w:lang w:eastAsia="fr-FR"/>
              </w:rPr>
              <w:t xml:space="preserve"> </w:t>
            </w:r>
            <w:r w:rsidRPr="00840E13">
              <w:rPr>
                <w:rFonts w:ascii="Times New Roman" w:hAnsi="Times New Roman"/>
                <w:bCs/>
                <w:color w:val="000000"/>
                <w:sz w:val="20"/>
                <w:szCs w:val="20"/>
                <w:lang w:eastAsia="fr-FR"/>
              </w:rPr>
              <w:t>149)</w:t>
            </w:r>
            <w:r w:rsidRPr="00840E13">
              <w:rPr>
                <w:rFonts w:ascii="Times New Roman" w:eastAsia="Times New Roman" w:hAnsi="Times New Roman"/>
                <w:iCs/>
                <w:color w:val="000000"/>
                <w:sz w:val="20"/>
                <w:szCs w:val="20"/>
                <w:lang w:eastAsia="fr-FR"/>
              </w:rPr>
              <w:t>.</w:t>
            </w:r>
          </w:p>
        </w:tc>
      </w:tr>
    </w:tbl>
    <w:p w14:paraId="38EA7834" w14:textId="77777777" w:rsidR="00C579DE" w:rsidRPr="00840E13" w:rsidRDefault="00C579DE" w:rsidP="00C579DE">
      <w:pPr>
        <w:tabs>
          <w:tab w:val="left" w:pos="8505"/>
        </w:tabs>
        <w:autoSpaceDE w:val="0"/>
        <w:autoSpaceDN w:val="0"/>
        <w:adjustRightInd w:val="0"/>
        <w:spacing w:before="240" w:after="120"/>
        <w:jc w:val="both"/>
        <w:rPr>
          <w:rFonts w:ascii="Times New Roman" w:eastAsia="+mn-ea" w:hAnsi="Times New Roman"/>
        </w:rPr>
      </w:pPr>
      <w:r w:rsidRPr="00840E13">
        <w:rPr>
          <w:rFonts w:ascii="Times New Roman" w:eastAsia="+mn-ea" w:hAnsi="Times New Roman"/>
        </w:rPr>
        <w:t xml:space="preserve">Dans le cadre de l’exploitation artisanale des mines, le Code Minier organise les critères d’institution  et de fermeture d’une zone d’exploitation artisanale (art. 109 &amp; 110), ainsi que les </w:t>
      </w:r>
      <w:r>
        <w:rPr>
          <w:rFonts w:ascii="Times New Roman" w:eastAsia="+mn-ea" w:hAnsi="Times New Roman"/>
        </w:rPr>
        <w:t>critères d’accès à cette zone (A</w:t>
      </w:r>
      <w:r w:rsidRPr="00840E13">
        <w:rPr>
          <w:rFonts w:ascii="Times New Roman" w:eastAsia="+mn-ea" w:hAnsi="Times New Roman"/>
        </w:rPr>
        <w:t>rt. 111).</w:t>
      </w:r>
    </w:p>
    <w:p w14:paraId="16123444" w14:textId="77777777" w:rsidR="00EF293C" w:rsidRDefault="00EF293C">
      <w:pPr>
        <w:rPr>
          <w:rFonts w:ascii="Times New Roman" w:hAnsi="Times New Roman"/>
        </w:rPr>
      </w:pPr>
      <w:r>
        <w:rPr>
          <w:rFonts w:ascii="Times New Roman" w:hAnsi="Times New Roman"/>
        </w:rPr>
        <w:br w:type="page"/>
      </w:r>
    </w:p>
    <w:p w14:paraId="536BD238" w14:textId="7A86C922" w:rsidR="00EF293C" w:rsidRPr="00EF293C" w:rsidRDefault="00B41722" w:rsidP="000738D3">
      <w:pPr>
        <w:pStyle w:val="Titre1"/>
        <w:numPr>
          <w:ilvl w:val="0"/>
          <w:numId w:val="4"/>
        </w:numPr>
        <w:ind w:left="567" w:hanging="425"/>
        <w:rPr>
          <w:rFonts w:ascii="Times New Roman" w:hAnsi="Times New Roman" w:cs="Times New Roman"/>
          <w:sz w:val="28"/>
          <w:szCs w:val="28"/>
        </w:rPr>
      </w:pPr>
      <w:bookmarkStart w:id="126" w:name="_Toc516764328"/>
      <w:bookmarkStart w:id="127" w:name="_Toc518468073"/>
      <w:r w:rsidRPr="00EF293C">
        <w:rPr>
          <w:rFonts w:ascii="Times New Roman" w:hAnsi="Times New Roman" w:cs="Times New Roman"/>
          <w:caps w:val="0"/>
          <w:sz w:val="28"/>
          <w:szCs w:val="28"/>
        </w:rPr>
        <w:lastRenderedPageBreak/>
        <w:t>REGISTRE DES DROITS</w:t>
      </w:r>
      <w:bookmarkEnd w:id="126"/>
      <w:bookmarkEnd w:id="127"/>
    </w:p>
    <w:p w14:paraId="6A6C8D0D" w14:textId="7BA7E3DB" w:rsidR="00EF293C" w:rsidRPr="00EF293C" w:rsidRDefault="00EF293C" w:rsidP="00EF293C">
      <w:pPr>
        <w:pStyle w:val="Titre2"/>
        <w:ind w:left="142"/>
        <w:jc w:val="both"/>
        <w:rPr>
          <w:rFonts w:ascii="Times New Roman" w:hAnsi="Times New Roman" w:cs="Times New Roman"/>
          <w:sz w:val="24"/>
          <w:szCs w:val="24"/>
        </w:rPr>
      </w:pPr>
      <w:bookmarkStart w:id="128" w:name="_Toc516764329"/>
      <w:bookmarkStart w:id="129" w:name="_Toc518468074"/>
      <w:r w:rsidRPr="00EF293C">
        <w:rPr>
          <w:rFonts w:ascii="Times New Roman" w:hAnsi="Times New Roman" w:cs="Times New Roman"/>
          <w:sz w:val="24"/>
          <w:szCs w:val="24"/>
        </w:rPr>
        <w:t>I</w:t>
      </w:r>
      <w:r>
        <w:rPr>
          <w:rFonts w:ascii="Times New Roman" w:hAnsi="Times New Roman" w:cs="Times New Roman"/>
          <w:sz w:val="24"/>
          <w:szCs w:val="24"/>
        </w:rPr>
        <w:t>II</w:t>
      </w:r>
      <w:r w:rsidRPr="00EF293C">
        <w:rPr>
          <w:rFonts w:ascii="Times New Roman" w:hAnsi="Times New Roman" w:cs="Times New Roman"/>
          <w:sz w:val="24"/>
          <w:szCs w:val="24"/>
        </w:rPr>
        <w:t xml:space="preserve">.1. </w:t>
      </w:r>
      <w:r w:rsidR="002942D7" w:rsidRPr="00EF293C">
        <w:rPr>
          <w:rFonts w:ascii="Times New Roman" w:hAnsi="Times New Roman" w:cs="Times New Roman"/>
          <w:caps w:val="0"/>
          <w:sz w:val="24"/>
          <w:szCs w:val="24"/>
        </w:rPr>
        <w:t>Registre des droits miniers</w:t>
      </w:r>
      <w:bookmarkEnd w:id="128"/>
      <w:bookmarkEnd w:id="129"/>
    </w:p>
    <w:p w14:paraId="616C1C57" w14:textId="77777777" w:rsidR="00EF293C" w:rsidRPr="000C200F" w:rsidRDefault="00EF293C" w:rsidP="00EF293C">
      <w:pPr>
        <w:ind w:left="142"/>
        <w:jc w:val="both"/>
        <w:rPr>
          <w:rFonts w:ascii="Times New Roman" w:hAnsi="Times New Roman"/>
          <w:sz w:val="24"/>
          <w:szCs w:val="24"/>
        </w:rPr>
      </w:pPr>
      <w:r w:rsidRPr="000C200F">
        <w:rPr>
          <w:rFonts w:ascii="Times New Roman" w:hAnsi="Times New Roman"/>
          <w:sz w:val="24"/>
          <w:szCs w:val="24"/>
        </w:rPr>
        <w:t>Le Cadastre Minier (CAMI) tient un registre public des droits miniers  qui est</w:t>
      </w:r>
      <w:r>
        <w:rPr>
          <w:rFonts w:ascii="Times New Roman" w:hAnsi="Times New Roman"/>
          <w:sz w:val="24"/>
          <w:szCs w:val="24"/>
        </w:rPr>
        <w:t xml:space="preserve"> automatiquement</w:t>
      </w:r>
      <w:r w:rsidRPr="000C200F">
        <w:rPr>
          <w:rFonts w:ascii="Times New Roman" w:hAnsi="Times New Roman"/>
          <w:sz w:val="24"/>
          <w:szCs w:val="24"/>
        </w:rPr>
        <w:t xml:space="preserve"> mis à jour</w:t>
      </w:r>
      <w:r>
        <w:rPr>
          <w:rFonts w:ascii="Times New Roman" w:hAnsi="Times New Roman"/>
          <w:sz w:val="24"/>
          <w:szCs w:val="24"/>
        </w:rPr>
        <w:t xml:space="preserve"> chaque fois qu’une nouvelle opération (demande, octroi, amodiation…) est enregistrée. Mais, comme son site est présentement en construction, on ne sait pas indiquer un lien vers ce registre.</w:t>
      </w:r>
    </w:p>
    <w:p w14:paraId="0B880FAC" w14:textId="77777777" w:rsidR="00EF293C" w:rsidRPr="000C200F" w:rsidRDefault="00EF293C" w:rsidP="00EF293C">
      <w:pPr>
        <w:ind w:left="142"/>
        <w:jc w:val="both"/>
        <w:rPr>
          <w:rFonts w:ascii="Times New Roman" w:hAnsi="Times New Roman"/>
          <w:sz w:val="24"/>
          <w:szCs w:val="24"/>
        </w:rPr>
      </w:pPr>
      <w:r w:rsidRPr="000C200F">
        <w:rPr>
          <w:rFonts w:ascii="Times New Roman" w:hAnsi="Times New Roman"/>
          <w:sz w:val="24"/>
          <w:szCs w:val="24"/>
        </w:rPr>
        <w:t>Dans le cadre du Rapport contextuel  ITIE-RDC 2016, le CAMI a transmis au S</w:t>
      </w:r>
      <w:r>
        <w:rPr>
          <w:rFonts w:ascii="Times New Roman" w:hAnsi="Times New Roman"/>
          <w:sz w:val="24"/>
          <w:szCs w:val="24"/>
        </w:rPr>
        <w:t>ecrétariat technique (</w:t>
      </w:r>
      <w:r w:rsidRPr="000C200F">
        <w:rPr>
          <w:rFonts w:ascii="Times New Roman" w:hAnsi="Times New Roman"/>
          <w:sz w:val="24"/>
          <w:szCs w:val="24"/>
        </w:rPr>
        <w:t>ST</w:t>
      </w:r>
      <w:r>
        <w:rPr>
          <w:rFonts w:ascii="Times New Roman" w:hAnsi="Times New Roman"/>
          <w:sz w:val="24"/>
          <w:szCs w:val="24"/>
        </w:rPr>
        <w:t xml:space="preserve">) </w:t>
      </w:r>
      <w:r w:rsidRPr="000C200F">
        <w:rPr>
          <w:rFonts w:ascii="Times New Roman" w:hAnsi="Times New Roman"/>
          <w:sz w:val="24"/>
          <w:szCs w:val="24"/>
        </w:rPr>
        <w:t xml:space="preserve">deux registres des droits valides respectivement au 31 décembre 2016 et au 31 décembre 2017, qui peuvent être consultés </w:t>
      </w:r>
      <w:r>
        <w:t>sur le site de l’ITIE-RDC</w:t>
      </w:r>
      <w:r>
        <w:rPr>
          <w:rStyle w:val="Appelnotedebasdep"/>
          <w:rFonts w:ascii="Times New Roman" w:hAnsi="Times New Roman"/>
          <w:color w:val="0563C1" w:themeColor="hyperlink"/>
          <w:sz w:val="24"/>
          <w:szCs w:val="24"/>
          <w:u w:val="single"/>
        </w:rPr>
        <w:footnoteReference w:id="18"/>
      </w:r>
      <w:r w:rsidRPr="0013277B">
        <w:rPr>
          <w:rFonts w:ascii="Times New Roman" w:hAnsi="Times New Roman"/>
          <w:sz w:val="24"/>
          <w:szCs w:val="24"/>
        </w:rPr>
        <w:t>.</w:t>
      </w:r>
    </w:p>
    <w:p w14:paraId="7DCDF9B2" w14:textId="77777777" w:rsidR="00EF293C" w:rsidRPr="000C200F" w:rsidRDefault="00EF293C" w:rsidP="00EF293C">
      <w:pPr>
        <w:ind w:left="142"/>
        <w:jc w:val="both"/>
        <w:rPr>
          <w:rFonts w:ascii="Times New Roman" w:hAnsi="Times New Roman"/>
          <w:sz w:val="24"/>
          <w:szCs w:val="24"/>
        </w:rPr>
      </w:pPr>
      <w:r w:rsidRPr="000C200F">
        <w:rPr>
          <w:rFonts w:ascii="Times New Roman" w:hAnsi="Times New Roman"/>
          <w:sz w:val="24"/>
          <w:szCs w:val="24"/>
        </w:rPr>
        <w:t>Ces registres contiennent des informations suivantes :</w:t>
      </w:r>
    </w:p>
    <w:p w14:paraId="61F1150D" w14:textId="77777777" w:rsidR="00EF293C" w:rsidRPr="000C200F" w:rsidRDefault="00EF293C" w:rsidP="000738D3">
      <w:pPr>
        <w:pStyle w:val="Paragraphedeliste"/>
        <w:numPr>
          <w:ilvl w:val="0"/>
          <w:numId w:val="29"/>
        </w:numPr>
        <w:spacing w:after="0"/>
        <w:ind w:left="851"/>
        <w:jc w:val="both"/>
        <w:rPr>
          <w:rFonts w:ascii="Times New Roman" w:hAnsi="Times New Roman" w:cs="Times New Roman"/>
          <w:sz w:val="24"/>
          <w:szCs w:val="24"/>
        </w:rPr>
      </w:pPr>
      <w:r w:rsidRPr="000C200F">
        <w:rPr>
          <w:rFonts w:ascii="Times New Roman" w:hAnsi="Times New Roman" w:cs="Times New Roman"/>
          <w:sz w:val="24"/>
          <w:szCs w:val="24"/>
        </w:rPr>
        <w:t>Le nom du titulaire du droit et son NIF ;</w:t>
      </w:r>
    </w:p>
    <w:p w14:paraId="78C1896F" w14:textId="77777777" w:rsidR="00EF293C" w:rsidRPr="000C200F" w:rsidRDefault="00EF293C" w:rsidP="000738D3">
      <w:pPr>
        <w:pStyle w:val="Paragraphedeliste"/>
        <w:numPr>
          <w:ilvl w:val="0"/>
          <w:numId w:val="29"/>
        </w:numPr>
        <w:spacing w:after="0"/>
        <w:ind w:left="851"/>
        <w:jc w:val="both"/>
        <w:rPr>
          <w:rFonts w:ascii="Times New Roman" w:hAnsi="Times New Roman" w:cs="Times New Roman"/>
          <w:sz w:val="24"/>
          <w:szCs w:val="24"/>
        </w:rPr>
      </w:pPr>
      <w:r w:rsidRPr="000C200F">
        <w:rPr>
          <w:rFonts w:ascii="Times New Roman" w:hAnsi="Times New Roman" w:cs="Times New Roman"/>
          <w:sz w:val="24"/>
          <w:szCs w:val="24"/>
        </w:rPr>
        <w:t>Le type, le numéro et le statut du permis ;</w:t>
      </w:r>
    </w:p>
    <w:p w14:paraId="33C24EE0" w14:textId="77777777" w:rsidR="00EF293C" w:rsidRPr="000C200F" w:rsidRDefault="00EF293C" w:rsidP="000738D3">
      <w:pPr>
        <w:pStyle w:val="Paragraphedeliste"/>
        <w:numPr>
          <w:ilvl w:val="0"/>
          <w:numId w:val="29"/>
        </w:numPr>
        <w:spacing w:after="0"/>
        <w:ind w:left="851"/>
        <w:jc w:val="both"/>
        <w:rPr>
          <w:rFonts w:ascii="Times New Roman" w:hAnsi="Times New Roman" w:cs="Times New Roman"/>
          <w:sz w:val="24"/>
          <w:szCs w:val="24"/>
        </w:rPr>
      </w:pPr>
      <w:r w:rsidRPr="000C200F">
        <w:rPr>
          <w:rFonts w:ascii="Times New Roman" w:hAnsi="Times New Roman" w:cs="Times New Roman"/>
          <w:sz w:val="24"/>
          <w:szCs w:val="24"/>
        </w:rPr>
        <w:t>La province et la localisation ;</w:t>
      </w:r>
    </w:p>
    <w:p w14:paraId="4058C26A" w14:textId="77777777" w:rsidR="00EF293C" w:rsidRPr="000C200F" w:rsidRDefault="00EF293C" w:rsidP="000738D3">
      <w:pPr>
        <w:pStyle w:val="Paragraphedeliste"/>
        <w:numPr>
          <w:ilvl w:val="0"/>
          <w:numId w:val="29"/>
        </w:numPr>
        <w:spacing w:after="0"/>
        <w:ind w:left="851"/>
        <w:jc w:val="both"/>
        <w:rPr>
          <w:rFonts w:ascii="Times New Roman" w:hAnsi="Times New Roman" w:cs="Times New Roman"/>
          <w:sz w:val="24"/>
          <w:szCs w:val="24"/>
        </w:rPr>
      </w:pPr>
      <w:r w:rsidRPr="000C200F">
        <w:rPr>
          <w:rFonts w:ascii="Times New Roman" w:hAnsi="Times New Roman" w:cs="Times New Roman"/>
          <w:sz w:val="24"/>
          <w:szCs w:val="24"/>
        </w:rPr>
        <w:t>La date de demande, d’octroi et d’expiration du permis ;</w:t>
      </w:r>
    </w:p>
    <w:p w14:paraId="28272A96" w14:textId="77777777" w:rsidR="00EF293C" w:rsidRPr="000C200F" w:rsidRDefault="00EF293C" w:rsidP="000738D3">
      <w:pPr>
        <w:pStyle w:val="Paragraphedeliste"/>
        <w:numPr>
          <w:ilvl w:val="0"/>
          <w:numId w:val="29"/>
        </w:numPr>
        <w:spacing w:after="0"/>
        <w:ind w:left="851"/>
        <w:jc w:val="both"/>
        <w:rPr>
          <w:rFonts w:ascii="Times New Roman" w:hAnsi="Times New Roman" w:cs="Times New Roman"/>
          <w:sz w:val="24"/>
          <w:szCs w:val="24"/>
        </w:rPr>
      </w:pPr>
      <w:r w:rsidRPr="000C200F">
        <w:rPr>
          <w:rFonts w:ascii="Times New Roman" w:hAnsi="Times New Roman" w:cs="Times New Roman"/>
          <w:sz w:val="24"/>
          <w:szCs w:val="24"/>
        </w:rPr>
        <w:t>La (les) substance(s) couvertes par le permis.</w:t>
      </w:r>
    </w:p>
    <w:p w14:paraId="01997A50" w14:textId="77777777" w:rsidR="00EF293C" w:rsidRPr="000C200F" w:rsidRDefault="00EF293C" w:rsidP="00EF293C">
      <w:pPr>
        <w:ind w:left="142"/>
        <w:jc w:val="both"/>
        <w:rPr>
          <w:rFonts w:ascii="Times New Roman" w:hAnsi="Times New Roman"/>
          <w:sz w:val="24"/>
          <w:szCs w:val="24"/>
        </w:rPr>
      </w:pPr>
      <w:r w:rsidRPr="000C200F">
        <w:rPr>
          <w:rFonts w:ascii="Times New Roman" w:hAnsi="Times New Roman"/>
          <w:sz w:val="24"/>
          <w:szCs w:val="24"/>
        </w:rPr>
        <w:t>En outre, ces registres renseignent sur les transactions effectuées suivantes :</w:t>
      </w:r>
    </w:p>
    <w:p w14:paraId="77F5FCEA" w14:textId="77777777" w:rsidR="00EF293C" w:rsidRPr="000C200F" w:rsidRDefault="00EF293C" w:rsidP="000738D3">
      <w:pPr>
        <w:pStyle w:val="Paragraphedeliste"/>
        <w:numPr>
          <w:ilvl w:val="0"/>
          <w:numId w:val="30"/>
        </w:numPr>
        <w:spacing w:after="0"/>
        <w:ind w:left="851"/>
        <w:jc w:val="both"/>
        <w:rPr>
          <w:rFonts w:ascii="Times New Roman" w:hAnsi="Times New Roman" w:cs="Times New Roman"/>
          <w:sz w:val="24"/>
          <w:szCs w:val="24"/>
        </w:rPr>
      </w:pPr>
      <w:r w:rsidRPr="000C200F">
        <w:rPr>
          <w:rFonts w:ascii="Times New Roman" w:hAnsi="Times New Roman" w:cs="Times New Roman"/>
          <w:sz w:val="24"/>
          <w:szCs w:val="24"/>
        </w:rPr>
        <w:t>La transformation des permis ;</w:t>
      </w:r>
    </w:p>
    <w:p w14:paraId="32F4A382" w14:textId="77777777" w:rsidR="00EF293C" w:rsidRPr="000C200F" w:rsidRDefault="00EF293C" w:rsidP="000738D3">
      <w:pPr>
        <w:pStyle w:val="Paragraphedeliste"/>
        <w:numPr>
          <w:ilvl w:val="0"/>
          <w:numId w:val="30"/>
        </w:numPr>
        <w:spacing w:after="0"/>
        <w:ind w:left="851"/>
        <w:jc w:val="both"/>
        <w:rPr>
          <w:rFonts w:ascii="Times New Roman" w:hAnsi="Times New Roman" w:cs="Times New Roman"/>
          <w:sz w:val="24"/>
          <w:szCs w:val="24"/>
        </w:rPr>
      </w:pPr>
      <w:r w:rsidRPr="000C200F">
        <w:rPr>
          <w:rFonts w:ascii="Times New Roman" w:hAnsi="Times New Roman" w:cs="Times New Roman"/>
          <w:sz w:val="24"/>
          <w:szCs w:val="24"/>
        </w:rPr>
        <w:t>L’amodiation ;</w:t>
      </w:r>
    </w:p>
    <w:p w14:paraId="6E317309" w14:textId="77777777" w:rsidR="00EF293C" w:rsidRPr="000C200F" w:rsidRDefault="00EF293C" w:rsidP="000738D3">
      <w:pPr>
        <w:pStyle w:val="Paragraphedeliste"/>
        <w:numPr>
          <w:ilvl w:val="0"/>
          <w:numId w:val="30"/>
        </w:numPr>
        <w:spacing w:after="0"/>
        <w:ind w:left="851"/>
        <w:jc w:val="both"/>
        <w:rPr>
          <w:rFonts w:ascii="Times New Roman" w:hAnsi="Times New Roman" w:cs="Times New Roman"/>
          <w:sz w:val="24"/>
          <w:szCs w:val="24"/>
        </w:rPr>
      </w:pPr>
      <w:r w:rsidRPr="000C200F">
        <w:rPr>
          <w:rFonts w:ascii="Times New Roman" w:hAnsi="Times New Roman" w:cs="Times New Roman"/>
          <w:sz w:val="24"/>
          <w:szCs w:val="24"/>
        </w:rPr>
        <w:t>La cession, partielle ou totale ;</w:t>
      </w:r>
    </w:p>
    <w:p w14:paraId="7A17250A" w14:textId="77777777" w:rsidR="00EF293C" w:rsidRPr="000C200F" w:rsidRDefault="00EF293C" w:rsidP="000738D3">
      <w:pPr>
        <w:pStyle w:val="Paragraphedeliste"/>
        <w:numPr>
          <w:ilvl w:val="0"/>
          <w:numId w:val="30"/>
        </w:numPr>
        <w:spacing w:after="0"/>
        <w:ind w:left="851"/>
        <w:jc w:val="both"/>
        <w:rPr>
          <w:rFonts w:ascii="Times New Roman" w:hAnsi="Times New Roman" w:cs="Times New Roman"/>
          <w:sz w:val="24"/>
          <w:szCs w:val="24"/>
        </w:rPr>
      </w:pPr>
      <w:r w:rsidRPr="000C200F">
        <w:rPr>
          <w:rFonts w:ascii="Times New Roman" w:hAnsi="Times New Roman" w:cs="Times New Roman"/>
          <w:sz w:val="24"/>
          <w:szCs w:val="24"/>
        </w:rPr>
        <w:t>L’hypothèque ;</w:t>
      </w:r>
    </w:p>
    <w:p w14:paraId="64F4EBBD" w14:textId="77777777" w:rsidR="00EF293C" w:rsidRPr="000C200F" w:rsidRDefault="00EF293C" w:rsidP="000738D3">
      <w:pPr>
        <w:pStyle w:val="Paragraphedeliste"/>
        <w:numPr>
          <w:ilvl w:val="0"/>
          <w:numId w:val="30"/>
        </w:numPr>
        <w:spacing w:after="0"/>
        <w:ind w:left="851"/>
        <w:jc w:val="both"/>
        <w:rPr>
          <w:rFonts w:ascii="Times New Roman" w:hAnsi="Times New Roman" w:cs="Times New Roman"/>
          <w:sz w:val="24"/>
          <w:szCs w:val="24"/>
        </w:rPr>
      </w:pPr>
      <w:r w:rsidRPr="000C200F">
        <w:rPr>
          <w:rFonts w:ascii="Times New Roman" w:hAnsi="Times New Roman" w:cs="Times New Roman"/>
          <w:sz w:val="24"/>
          <w:szCs w:val="24"/>
        </w:rPr>
        <w:t>Le contrat d’option.</w:t>
      </w:r>
    </w:p>
    <w:p w14:paraId="23049C49" w14:textId="77777777" w:rsidR="00EF293C" w:rsidRPr="000C200F" w:rsidRDefault="00EF293C" w:rsidP="00EF293C">
      <w:pPr>
        <w:ind w:left="142"/>
        <w:jc w:val="both"/>
        <w:rPr>
          <w:rFonts w:ascii="Times New Roman" w:hAnsi="Times New Roman"/>
          <w:sz w:val="24"/>
          <w:szCs w:val="24"/>
        </w:rPr>
      </w:pPr>
      <w:r w:rsidRPr="000C200F">
        <w:rPr>
          <w:rFonts w:ascii="Times New Roman" w:hAnsi="Times New Roman"/>
          <w:sz w:val="24"/>
          <w:szCs w:val="24"/>
        </w:rPr>
        <w:t xml:space="preserve">Pour chacune de ces transactions, les registres indiquent le bénéficiaire et la date de dépôt </w:t>
      </w:r>
      <w:r>
        <w:rPr>
          <w:rFonts w:ascii="Times New Roman" w:hAnsi="Times New Roman"/>
          <w:sz w:val="24"/>
          <w:szCs w:val="24"/>
        </w:rPr>
        <w:t xml:space="preserve">de la demande </w:t>
      </w:r>
      <w:r w:rsidRPr="000C200F">
        <w:rPr>
          <w:rFonts w:ascii="Times New Roman" w:hAnsi="Times New Roman"/>
          <w:sz w:val="24"/>
          <w:szCs w:val="24"/>
        </w:rPr>
        <w:t>au CAMI.</w:t>
      </w:r>
    </w:p>
    <w:p w14:paraId="02EC6235" w14:textId="77777777" w:rsidR="00EF293C" w:rsidRPr="000C200F" w:rsidRDefault="00EF293C" w:rsidP="00EF293C">
      <w:pPr>
        <w:tabs>
          <w:tab w:val="left" w:pos="8505"/>
        </w:tabs>
        <w:autoSpaceDE w:val="0"/>
        <w:autoSpaceDN w:val="0"/>
        <w:adjustRightInd w:val="0"/>
        <w:spacing w:before="240" w:after="120"/>
        <w:ind w:left="142"/>
        <w:jc w:val="both"/>
        <w:rPr>
          <w:rFonts w:ascii="Times New Roman" w:eastAsia="+mn-ea" w:hAnsi="Times New Roman"/>
        </w:rPr>
      </w:pPr>
      <w:r w:rsidRPr="000C200F">
        <w:rPr>
          <w:rFonts w:ascii="Times New Roman" w:eastAsia="+mn-ea" w:hAnsi="Times New Roman"/>
        </w:rPr>
        <w:t>En ce qui concerne les droits octroyés et les droits valides, la situation en 2016 et en 2017 se présente comme suit :</w:t>
      </w:r>
    </w:p>
    <w:p w14:paraId="41803BE2" w14:textId="77777777" w:rsidR="00EF293C" w:rsidRPr="000C200F" w:rsidRDefault="00EF293C" w:rsidP="00EF293C">
      <w:pPr>
        <w:ind w:left="567"/>
        <w:jc w:val="both"/>
        <w:rPr>
          <w:rFonts w:ascii="Times New Roman" w:hAnsi="Times New Roman"/>
          <w:b/>
          <w:i/>
          <w:sz w:val="24"/>
          <w:szCs w:val="24"/>
        </w:rPr>
      </w:pPr>
      <w:r w:rsidRPr="000C200F">
        <w:rPr>
          <w:rFonts w:ascii="Times New Roman" w:hAnsi="Times New Roman"/>
          <w:b/>
          <w:i/>
          <w:sz w:val="24"/>
          <w:szCs w:val="24"/>
        </w:rPr>
        <w:t>Droits octroyés et droits valides en 2016 et 2017</w:t>
      </w:r>
    </w:p>
    <w:tbl>
      <w:tblPr>
        <w:tblStyle w:val="TableauGrille1Clair1"/>
        <w:tblW w:w="6758" w:type="dxa"/>
        <w:tblInd w:w="562" w:type="dxa"/>
        <w:tblLook w:val="04A0" w:firstRow="1" w:lastRow="0" w:firstColumn="1" w:lastColumn="0" w:noHBand="0" w:noVBand="1"/>
      </w:tblPr>
      <w:tblGrid>
        <w:gridCol w:w="851"/>
        <w:gridCol w:w="1417"/>
        <w:gridCol w:w="1418"/>
        <w:gridCol w:w="1536"/>
        <w:gridCol w:w="1536"/>
      </w:tblGrid>
      <w:tr w:rsidR="00EF293C" w:rsidRPr="000C200F" w14:paraId="32BB8685" w14:textId="77777777" w:rsidTr="00EF293C">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51" w:type="dxa"/>
            <w:vMerge w:val="restart"/>
            <w:noWrap/>
            <w:hideMark/>
          </w:tcPr>
          <w:p w14:paraId="6F862285" w14:textId="77777777" w:rsidR="00EF293C" w:rsidRPr="000C200F" w:rsidRDefault="00EF293C" w:rsidP="00F000B0">
            <w:pPr>
              <w:rPr>
                <w:rFonts w:ascii="Times New Roman" w:eastAsia="Times New Roman" w:hAnsi="Times New Roman"/>
                <w:lang w:eastAsia="fr-FR"/>
              </w:rPr>
            </w:pPr>
            <w:r w:rsidRPr="000C200F">
              <w:rPr>
                <w:rFonts w:ascii="Times New Roman" w:eastAsia="Times New Roman" w:hAnsi="Times New Roman"/>
                <w:lang w:eastAsia="fr-FR"/>
              </w:rPr>
              <w:t>Type</w:t>
            </w:r>
          </w:p>
        </w:tc>
        <w:tc>
          <w:tcPr>
            <w:tcW w:w="2835" w:type="dxa"/>
            <w:gridSpan w:val="2"/>
            <w:noWrap/>
            <w:hideMark/>
          </w:tcPr>
          <w:p w14:paraId="07E73BDC" w14:textId="77777777" w:rsidR="00EF293C" w:rsidRPr="000C200F" w:rsidRDefault="00EF293C" w:rsidP="00F000B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0C200F">
              <w:rPr>
                <w:rFonts w:ascii="Times New Roman" w:eastAsia="Times New Roman" w:hAnsi="Times New Roman"/>
                <w:lang w:eastAsia="fr-FR"/>
              </w:rPr>
              <w:t xml:space="preserve">Droits octroyés </w:t>
            </w:r>
          </w:p>
        </w:tc>
        <w:tc>
          <w:tcPr>
            <w:tcW w:w="0" w:type="auto"/>
            <w:gridSpan w:val="2"/>
            <w:noWrap/>
            <w:hideMark/>
          </w:tcPr>
          <w:p w14:paraId="4CF01DFE" w14:textId="77777777" w:rsidR="00EF293C" w:rsidRPr="000C200F" w:rsidRDefault="00EF293C" w:rsidP="00F000B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0C200F">
              <w:rPr>
                <w:rFonts w:ascii="Times New Roman" w:eastAsia="Times New Roman" w:hAnsi="Times New Roman"/>
                <w:lang w:eastAsia="fr-FR"/>
              </w:rPr>
              <w:t>Droits Valides</w:t>
            </w:r>
          </w:p>
        </w:tc>
      </w:tr>
      <w:tr w:rsidR="00EF293C" w:rsidRPr="000C200F" w14:paraId="5DB83E15" w14:textId="77777777" w:rsidTr="00EF293C">
        <w:trPr>
          <w:trHeight w:val="288"/>
        </w:trPr>
        <w:tc>
          <w:tcPr>
            <w:cnfStyle w:val="001000000000" w:firstRow="0" w:lastRow="0" w:firstColumn="1" w:lastColumn="0" w:oddVBand="0" w:evenVBand="0" w:oddHBand="0" w:evenHBand="0" w:firstRowFirstColumn="0" w:firstRowLastColumn="0" w:lastRowFirstColumn="0" w:lastRowLastColumn="0"/>
            <w:tcW w:w="851" w:type="dxa"/>
            <w:vMerge/>
            <w:hideMark/>
          </w:tcPr>
          <w:p w14:paraId="5F246FB6" w14:textId="77777777" w:rsidR="00EF293C" w:rsidRPr="000C200F" w:rsidRDefault="00EF293C" w:rsidP="00F000B0">
            <w:pPr>
              <w:rPr>
                <w:rFonts w:ascii="Times New Roman" w:eastAsia="Times New Roman" w:hAnsi="Times New Roman"/>
                <w:color w:val="FFFFFF" w:themeColor="background1"/>
                <w:lang w:eastAsia="fr-FR"/>
              </w:rPr>
            </w:pPr>
          </w:p>
        </w:tc>
        <w:tc>
          <w:tcPr>
            <w:tcW w:w="1417" w:type="dxa"/>
            <w:noWrap/>
            <w:hideMark/>
          </w:tcPr>
          <w:p w14:paraId="13DE7954" w14:textId="77777777" w:rsidR="00EF293C" w:rsidRPr="00EF293C"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04040" w:themeColor="text1" w:themeTint="BF"/>
                <w:lang w:eastAsia="fr-FR"/>
              </w:rPr>
            </w:pPr>
            <w:r w:rsidRPr="00EF293C">
              <w:rPr>
                <w:rFonts w:ascii="Times New Roman" w:eastAsia="Times New Roman" w:hAnsi="Times New Roman"/>
                <w:color w:val="404040" w:themeColor="text1" w:themeTint="BF"/>
                <w:lang w:eastAsia="fr-FR"/>
              </w:rPr>
              <w:t>2016</w:t>
            </w:r>
          </w:p>
        </w:tc>
        <w:tc>
          <w:tcPr>
            <w:tcW w:w="1418" w:type="dxa"/>
            <w:noWrap/>
            <w:hideMark/>
          </w:tcPr>
          <w:p w14:paraId="58E147AF" w14:textId="77777777" w:rsidR="00EF293C" w:rsidRPr="00EF293C"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04040" w:themeColor="text1" w:themeTint="BF"/>
                <w:lang w:eastAsia="fr-FR"/>
              </w:rPr>
            </w:pPr>
            <w:r w:rsidRPr="00EF293C">
              <w:rPr>
                <w:rFonts w:ascii="Times New Roman" w:eastAsia="Times New Roman" w:hAnsi="Times New Roman"/>
                <w:color w:val="404040" w:themeColor="text1" w:themeTint="BF"/>
                <w:lang w:eastAsia="fr-FR"/>
              </w:rPr>
              <w:t>2017</w:t>
            </w:r>
          </w:p>
        </w:tc>
        <w:tc>
          <w:tcPr>
            <w:tcW w:w="0" w:type="auto"/>
            <w:noWrap/>
            <w:hideMark/>
          </w:tcPr>
          <w:p w14:paraId="5587D8F1" w14:textId="77777777" w:rsidR="00EF293C" w:rsidRPr="00EF293C"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04040" w:themeColor="text1" w:themeTint="BF"/>
                <w:lang w:eastAsia="fr-FR"/>
              </w:rPr>
            </w:pPr>
            <w:r w:rsidRPr="00EF293C">
              <w:rPr>
                <w:rFonts w:ascii="Times New Roman" w:eastAsia="Times New Roman" w:hAnsi="Times New Roman"/>
                <w:color w:val="404040" w:themeColor="text1" w:themeTint="BF"/>
                <w:lang w:eastAsia="fr-FR"/>
              </w:rPr>
              <w:t xml:space="preserve"> au 31/12/2016</w:t>
            </w:r>
          </w:p>
        </w:tc>
        <w:tc>
          <w:tcPr>
            <w:tcW w:w="0" w:type="auto"/>
            <w:noWrap/>
            <w:hideMark/>
          </w:tcPr>
          <w:p w14:paraId="579A839F" w14:textId="77777777" w:rsidR="00EF293C" w:rsidRPr="00EF293C"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04040" w:themeColor="text1" w:themeTint="BF"/>
                <w:lang w:eastAsia="fr-FR"/>
              </w:rPr>
            </w:pPr>
            <w:r w:rsidRPr="00EF293C">
              <w:rPr>
                <w:rFonts w:ascii="Times New Roman" w:eastAsia="Times New Roman" w:hAnsi="Times New Roman"/>
                <w:color w:val="404040" w:themeColor="text1" w:themeTint="BF"/>
                <w:lang w:eastAsia="fr-FR"/>
              </w:rPr>
              <w:t xml:space="preserve"> au 31/12/2017</w:t>
            </w:r>
          </w:p>
        </w:tc>
      </w:tr>
      <w:tr w:rsidR="00EF293C" w:rsidRPr="000C200F" w14:paraId="4752F8DB" w14:textId="77777777" w:rsidTr="00EF293C">
        <w:trPr>
          <w:trHeight w:val="20"/>
        </w:trPr>
        <w:tc>
          <w:tcPr>
            <w:cnfStyle w:val="001000000000" w:firstRow="0" w:lastRow="0" w:firstColumn="1" w:lastColumn="0" w:oddVBand="0" w:evenVBand="0" w:oddHBand="0" w:evenHBand="0" w:firstRowFirstColumn="0" w:firstRowLastColumn="0" w:lastRowFirstColumn="0" w:lastRowLastColumn="0"/>
            <w:tcW w:w="851" w:type="dxa"/>
            <w:noWrap/>
            <w:hideMark/>
          </w:tcPr>
          <w:p w14:paraId="003284DF" w14:textId="77777777" w:rsidR="00EF293C" w:rsidRPr="000C200F" w:rsidRDefault="00EF293C" w:rsidP="00F000B0">
            <w:pPr>
              <w:rPr>
                <w:rFonts w:ascii="Times New Roman" w:eastAsia="Times New Roman" w:hAnsi="Times New Roman"/>
                <w:color w:val="000000"/>
                <w:lang w:eastAsia="fr-FR"/>
              </w:rPr>
            </w:pPr>
            <w:r w:rsidRPr="000C200F">
              <w:rPr>
                <w:rFonts w:ascii="Times New Roman" w:eastAsia="Times New Roman" w:hAnsi="Times New Roman"/>
                <w:color w:val="000000"/>
                <w:lang w:eastAsia="fr-FR"/>
              </w:rPr>
              <w:t>PR</w:t>
            </w:r>
          </w:p>
        </w:tc>
        <w:tc>
          <w:tcPr>
            <w:tcW w:w="1417" w:type="dxa"/>
            <w:hideMark/>
          </w:tcPr>
          <w:p w14:paraId="2D201F4D"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 xml:space="preserve">36 </w:t>
            </w:r>
          </w:p>
        </w:tc>
        <w:tc>
          <w:tcPr>
            <w:tcW w:w="1418" w:type="dxa"/>
            <w:noWrap/>
            <w:hideMark/>
          </w:tcPr>
          <w:p w14:paraId="445DA0F8"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328</w:t>
            </w:r>
          </w:p>
        </w:tc>
        <w:tc>
          <w:tcPr>
            <w:tcW w:w="0" w:type="auto"/>
            <w:noWrap/>
            <w:hideMark/>
          </w:tcPr>
          <w:p w14:paraId="56F523B5"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1387</w:t>
            </w:r>
          </w:p>
        </w:tc>
        <w:tc>
          <w:tcPr>
            <w:tcW w:w="0" w:type="auto"/>
            <w:noWrap/>
            <w:hideMark/>
          </w:tcPr>
          <w:p w14:paraId="1567B9E3"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1672</w:t>
            </w:r>
          </w:p>
        </w:tc>
      </w:tr>
      <w:tr w:rsidR="00EF293C" w:rsidRPr="000C200F" w14:paraId="1A885458" w14:textId="77777777" w:rsidTr="00EF293C">
        <w:trPr>
          <w:trHeight w:val="20"/>
        </w:trPr>
        <w:tc>
          <w:tcPr>
            <w:cnfStyle w:val="001000000000" w:firstRow="0" w:lastRow="0" w:firstColumn="1" w:lastColumn="0" w:oddVBand="0" w:evenVBand="0" w:oddHBand="0" w:evenHBand="0" w:firstRowFirstColumn="0" w:firstRowLastColumn="0" w:lastRowFirstColumn="0" w:lastRowLastColumn="0"/>
            <w:tcW w:w="851" w:type="dxa"/>
            <w:noWrap/>
            <w:hideMark/>
          </w:tcPr>
          <w:p w14:paraId="5521B6A9" w14:textId="77777777" w:rsidR="00EF293C" w:rsidRPr="000C200F" w:rsidRDefault="00EF293C" w:rsidP="00F000B0">
            <w:pPr>
              <w:rPr>
                <w:rFonts w:ascii="Times New Roman" w:eastAsia="Times New Roman" w:hAnsi="Times New Roman"/>
                <w:color w:val="000000"/>
                <w:lang w:eastAsia="fr-FR"/>
              </w:rPr>
            </w:pPr>
            <w:r w:rsidRPr="000C200F">
              <w:rPr>
                <w:rFonts w:ascii="Times New Roman" w:eastAsia="Times New Roman" w:hAnsi="Times New Roman"/>
                <w:color w:val="000000"/>
                <w:lang w:eastAsia="fr-FR"/>
              </w:rPr>
              <w:t>PE</w:t>
            </w:r>
          </w:p>
        </w:tc>
        <w:tc>
          <w:tcPr>
            <w:tcW w:w="1417" w:type="dxa"/>
            <w:hideMark/>
          </w:tcPr>
          <w:p w14:paraId="096947B7"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 xml:space="preserve">21 </w:t>
            </w:r>
          </w:p>
        </w:tc>
        <w:tc>
          <w:tcPr>
            <w:tcW w:w="1418" w:type="dxa"/>
            <w:noWrap/>
            <w:hideMark/>
          </w:tcPr>
          <w:p w14:paraId="26F0F48D"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35</w:t>
            </w:r>
          </w:p>
        </w:tc>
        <w:tc>
          <w:tcPr>
            <w:tcW w:w="0" w:type="auto"/>
            <w:noWrap/>
            <w:hideMark/>
          </w:tcPr>
          <w:p w14:paraId="04E27A20"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495</w:t>
            </w:r>
          </w:p>
        </w:tc>
        <w:tc>
          <w:tcPr>
            <w:tcW w:w="0" w:type="auto"/>
            <w:noWrap/>
            <w:hideMark/>
          </w:tcPr>
          <w:p w14:paraId="7F73DA3D"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530</w:t>
            </w:r>
          </w:p>
        </w:tc>
      </w:tr>
      <w:tr w:rsidR="00EF293C" w:rsidRPr="000C200F" w14:paraId="7D4ECD73" w14:textId="77777777" w:rsidTr="00EF293C">
        <w:trPr>
          <w:trHeight w:val="20"/>
        </w:trPr>
        <w:tc>
          <w:tcPr>
            <w:cnfStyle w:val="001000000000" w:firstRow="0" w:lastRow="0" w:firstColumn="1" w:lastColumn="0" w:oddVBand="0" w:evenVBand="0" w:oddHBand="0" w:evenHBand="0" w:firstRowFirstColumn="0" w:firstRowLastColumn="0" w:lastRowFirstColumn="0" w:lastRowLastColumn="0"/>
            <w:tcW w:w="851" w:type="dxa"/>
            <w:noWrap/>
            <w:hideMark/>
          </w:tcPr>
          <w:p w14:paraId="7B1862F2" w14:textId="77777777" w:rsidR="00EF293C" w:rsidRPr="000C200F" w:rsidRDefault="00EF293C" w:rsidP="00F000B0">
            <w:pPr>
              <w:rPr>
                <w:rFonts w:ascii="Times New Roman" w:eastAsia="Times New Roman" w:hAnsi="Times New Roman"/>
                <w:color w:val="000000"/>
                <w:lang w:eastAsia="fr-FR"/>
              </w:rPr>
            </w:pPr>
            <w:r w:rsidRPr="000C200F">
              <w:rPr>
                <w:rFonts w:ascii="Times New Roman" w:eastAsia="Times New Roman" w:hAnsi="Times New Roman"/>
                <w:color w:val="000000"/>
                <w:lang w:eastAsia="fr-FR"/>
              </w:rPr>
              <w:t>PER</w:t>
            </w:r>
          </w:p>
        </w:tc>
        <w:tc>
          <w:tcPr>
            <w:tcW w:w="1417" w:type="dxa"/>
            <w:noWrap/>
            <w:hideMark/>
          </w:tcPr>
          <w:p w14:paraId="7198D9D8"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w:t>
            </w:r>
          </w:p>
        </w:tc>
        <w:tc>
          <w:tcPr>
            <w:tcW w:w="1418" w:type="dxa"/>
            <w:noWrap/>
            <w:hideMark/>
          </w:tcPr>
          <w:p w14:paraId="0FEA1E18"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3</w:t>
            </w:r>
          </w:p>
        </w:tc>
        <w:tc>
          <w:tcPr>
            <w:tcW w:w="0" w:type="auto"/>
            <w:noWrap/>
            <w:hideMark/>
          </w:tcPr>
          <w:p w14:paraId="2391447B"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9</w:t>
            </w:r>
          </w:p>
        </w:tc>
        <w:tc>
          <w:tcPr>
            <w:tcW w:w="0" w:type="auto"/>
            <w:noWrap/>
            <w:hideMark/>
          </w:tcPr>
          <w:p w14:paraId="16FCDA49"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15</w:t>
            </w:r>
          </w:p>
        </w:tc>
      </w:tr>
      <w:tr w:rsidR="00EF293C" w:rsidRPr="000C200F" w14:paraId="652F6052" w14:textId="77777777" w:rsidTr="00EF293C">
        <w:trPr>
          <w:trHeight w:val="20"/>
        </w:trPr>
        <w:tc>
          <w:tcPr>
            <w:cnfStyle w:val="001000000000" w:firstRow="0" w:lastRow="0" w:firstColumn="1" w:lastColumn="0" w:oddVBand="0" w:evenVBand="0" w:oddHBand="0" w:evenHBand="0" w:firstRowFirstColumn="0" w:firstRowLastColumn="0" w:lastRowFirstColumn="0" w:lastRowLastColumn="0"/>
            <w:tcW w:w="851" w:type="dxa"/>
            <w:noWrap/>
            <w:hideMark/>
          </w:tcPr>
          <w:p w14:paraId="532CB80D" w14:textId="77777777" w:rsidR="00EF293C" w:rsidRPr="000C200F" w:rsidRDefault="00EF293C" w:rsidP="00F000B0">
            <w:pPr>
              <w:rPr>
                <w:rFonts w:ascii="Times New Roman" w:eastAsia="Times New Roman" w:hAnsi="Times New Roman"/>
                <w:color w:val="000000"/>
                <w:lang w:eastAsia="fr-FR"/>
              </w:rPr>
            </w:pPr>
            <w:r w:rsidRPr="000C200F">
              <w:rPr>
                <w:rFonts w:ascii="Times New Roman" w:eastAsia="Times New Roman" w:hAnsi="Times New Roman"/>
                <w:color w:val="000000"/>
                <w:lang w:eastAsia="fr-FR"/>
              </w:rPr>
              <w:t>PEPM</w:t>
            </w:r>
          </w:p>
        </w:tc>
        <w:tc>
          <w:tcPr>
            <w:tcW w:w="1417" w:type="dxa"/>
            <w:hideMark/>
          </w:tcPr>
          <w:p w14:paraId="759DAD8D"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 xml:space="preserve">13 </w:t>
            </w:r>
          </w:p>
        </w:tc>
        <w:tc>
          <w:tcPr>
            <w:tcW w:w="1418" w:type="dxa"/>
            <w:noWrap/>
            <w:hideMark/>
          </w:tcPr>
          <w:p w14:paraId="3D17EA77"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9</w:t>
            </w:r>
          </w:p>
        </w:tc>
        <w:tc>
          <w:tcPr>
            <w:tcW w:w="0" w:type="auto"/>
            <w:noWrap/>
            <w:hideMark/>
          </w:tcPr>
          <w:p w14:paraId="598AB4F7"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135</w:t>
            </w:r>
          </w:p>
        </w:tc>
        <w:tc>
          <w:tcPr>
            <w:tcW w:w="0" w:type="auto"/>
            <w:noWrap/>
            <w:hideMark/>
          </w:tcPr>
          <w:p w14:paraId="394D4A7D"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154</w:t>
            </w:r>
          </w:p>
        </w:tc>
      </w:tr>
      <w:tr w:rsidR="00EF293C" w:rsidRPr="000C200F" w14:paraId="73CBFE3B" w14:textId="77777777" w:rsidTr="00EF293C">
        <w:trPr>
          <w:trHeight w:val="20"/>
        </w:trPr>
        <w:tc>
          <w:tcPr>
            <w:cnfStyle w:val="001000000000" w:firstRow="0" w:lastRow="0" w:firstColumn="1" w:lastColumn="0" w:oddVBand="0" w:evenVBand="0" w:oddHBand="0" w:evenHBand="0" w:firstRowFirstColumn="0" w:firstRowLastColumn="0" w:lastRowFirstColumn="0" w:lastRowLastColumn="0"/>
            <w:tcW w:w="851" w:type="dxa"/>
            <w:noWrap/>
            <w:hideMark/>
          </w:tcPr>
          <w:p w14:paraId="658F0B7E" w14:textId="77777777" w:rsidR="00EF293C" w:rsidRPr="000C200F" w:rsidRDefault="00EF293C" w:rsidP="00F000B0">
            <w:pPr>
              <w:rPr>
                <w:rFonts w:ascii="Times New Roman" w:eastAsia="Times New Roman" w:hAnsi="Times New Roman"/>
                <w:color w:val="000000"/>
                <w:lang w:eastAsia="fr-FR"/>
              </w:rPr>
            </w:pPr>
            <w:r w:rsidRPr="000C200F">
              <w:rPr>
                <w:rFonts w:ascii="Times New Roman" w:eastAsia="Times New Roman" w:hAnsi="Times New Roman"/>
                <w:color w:val="000000"/>
                <w:lang w:eastAsia="fr-FR"/>
              </w:rPr>
              <w:t>AECP</w:t>
            </w:r>
          </w:p>
        </w:tc>
        <w:tc>
          <w:tcPr>
            <w:tcW w:w="1417" w:type="dxa"/>
            <w:hideMark/>
          </w:tcPr>
          <w:p w14:paraId="3BB8DB95"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 xml:space="preserve">41 </w:t>
            </w:r>
          </w:p>
        </w:tc>
        <w:tc>
          <w:tcPr>
            <w:tcW w:w="1418" w:type="dxa"/>
            <w:noWrap/>
            <w:hideMark/>
          </w:tcPr>
          <w:p w14:paraId="3DCCB1CE"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9</w:t>
            </w:r>
          </w:p>
        </w:tc>
        <w:tc>
          <w:tcPr>
            <w:tcW w:w="0" w:type="auto"/>
            <w:noWrap/>
            <w:hideMark/>
          </w:tcPr>
          <w:p w14:paraId="70CDFB08"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265</w:t>
            </w:r>
          </w:p>
        </w:tc>
        <w:tc>
          <w:tcPr>
            <w:tcW w:w="0" w:type="auto"/>
            <w:noWrap/>
            <w:hideMark/>
          </w:tcPr>
          <w:p w14:paraId="292461E3"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272</w:t>
            </w:r>
          </w:p>
        </w:tc>
      </w:tr>
      <w:tr w:rsidR="00EF293C" w:rsidRPr="000C200F" w14:paraId="2D91D5F3" w14:textId="77777777" w:rsidTr="00EF293C">
        <w:trPr>
          <w:trHeight w:val="20"/>
        </w:trPr>
        <w:tc>
          <w:tcPr>
            <w:cnfStyle w:val="001000000000" w:firstRow="0" w:lastRow="0" w:firstColumn="1" w:lastColumn="0" w:oddVBand="0" w:evenVBand="0" w:oddHBand="0" w:evenHBand="0" w:firstRowFirstColumn="0" w:firstRowLastColumn="0" w:lastRowFirstColumn="0" w:lastRowLastColumn="0"/>
            <w:tcW w:w="851" w:type="dxa"/>
            <w:noWrap/>
            <w:hideMark/>
          </w:tcPr>
          <w:p w14:paraId="73E5032F" w14:textId="77777777" w:rsidR="00EF293C" w:rsidRPr="000C200F" w:rsidRDefault="00EF293C" w:rsidP="00F000B0">
            <w:pPr>
              <w:rPr>
                <w:rFonts w:ascii="Times New Roman" w:eastAsia="Times New Roman" w:hAnsi="Times New Roman"/>
                <w:color w:val="000000"/>
                <w:lang w:eastAsia="fr-FR"/>
              </w:rPr>
            </w:pPr>
            <w:r w:rsidRPr="000C200F">
              <w:rPr>
                <w:rFonts w:ascii="Times New Roman" w:eastAsia="Times New Roman" w:hAnsi="Times New Roman"/>
                <w:color w:val="000000"/>
                <w:lang w:eastAsia="fr-FR"/>
              </w:rPr>
              <w:t>ARPC</w:t>
            </w:r>
          </w:p>
        </w:tc>
        <w:tc>
          <w:tcPr>
            <w:tcW w:w="1417" w:type="dxa"/>
            <w:hideMark/>
          </w:tcPr>
          <w:p w14:paraId="33B815B1"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 xml:space="preserve">3   </w:t>
            </w:r>
          </w:p>
        </w:tc>
        <w:tc>
          <w:tcPr>
            <w:tcW w:w="1418" w:type="dxa"/>
            <w:noWrap/>
            <w:hideMark/>
          </w:tcPr>
          <w:p w14:paraId="3824E544"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70</w:t>
            </w:r>
          </w:p>
        </w:tc>
        <w:tc>
          <w:tcPr>
            <w:tcW w:w="0" w:type="auto"/>
            <w:noWrap/>
            <w:hideMark/>
          </w:tcPr>
          <w:p w14:paraId="7A7C43DB"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135</w:t>
            </w:r>
          </w:p>
        </w:tc>
        <w:tc>
          <w:tcPr>
            <w:tcW w:w="0" w:type="auto"/>
            <w:noWrap/>
            <w:hideMark/>
          </w:tcPr>
          <w:p w14:paraId="0C4426D1"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202</w:t>
            </w:r>
          </w:p>
        </w:tc>
      </w:tr>
      <w:tr w:rsidR="00EF293C" w:rsidRPr="000C200F" w14:paraId="5C18E28E" w14:textId="77777777" w:rsidTr="00EF293C">
        <w:trPr>
          <w:trHeight w:val="20"/>
        </w:trPr>
        <w:tc>
          <w:tcPr>
            <w:cnfStyle w:val="001000000000" w:firstRow="0" w:lastRow="0" w:firstColumn="1" w:lastColumn="0" w:oddVBand="0" w:evenVBand="0" w:oddHBand="0" w:evenHBand="0" w:firstRowFirstColumn="0" w:firstRowLastColumn="0" w:lastRowFirstColumn="0" w:lastRowLastColumn="0"/>
            <w:tcW w:w="851" w:type="dxa"/>
            <w:noWrap/>
            <w:hideMark/>
          </w:tcPr>
          <w:p w14:paraId="4EC9A3B1" w14:textId="77777777" w:rsidR="00EF293C" w:rsidRPr="000C200F" w:rsidRDefault="00EF293C" w:rsidP="00F000B0">
            <w:pPr>
              <w:rPr>
                <w:rFonts w:ascii="Times New Roman" w:eastAsia="Times New Roman" w:hAnsi="Times New Roman"/>
                <w:color w:val="000000"/>
                <w:lang w:eastAsia="fr-FR"/>
              </w:rPr>
            </w:pPr>
            <w:r w:rsidRPr="000C200F">
              <w:rPr>
                <w:rFonts w:ascii="Times New Roman" w:eastAsia="Times New Roman" w:hAnsi="Times New Roman"/>
                <w:color w:val="000000"/>
                <w:lang w:eastAsia="fr-FR"/>
              </w:rPr>
              <w:t>C.U.P</w:t>
            </w:r>
          </w:p>
        </w:tc>
        <w:tc>
          <w:tcPr>
            <w:tcW w:w="1417" w:type="dxa"/>
            <w:noWrap/>
            <w:hideMark/>
          </w:tcPr>
          <w:p w14:paraId="2899A407"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 </w:t>
            </w:r>
          </w:p>
        </w:tc>
        <w:tc>
          <w:tcPr>
            <w:tcW w:w="1418" w:type="dxa"/>
            <w:noWrap/>
            <w:hideMark/>
          </w:tcPr>
          <w:p w14:paraId="29367B82" w14:textId="77777777" w:rsidR="00EF293C" w:rsidRPr="000C200F" w:rsidRDefault="00EF293C"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 xml:space="preserve">   -</w:t>
            </w:r>
          </w:p>
        </w:tc>
        <w:tc>
          <w:tcPr>
            <w:tcW w:w="0" w:type="auto"/>
            <w:noWrap/>
            <w:hideMark/>
          </w:tcPr>
          <w:p w14:paraId="2A2CF156" w14:textId="77777777" w:rsidR="00EF293C" w:rsidRPr="000C200F" w:rsidRDefault="00EF293C"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 </w:t>
            </w:r>
          </w:p>
        </w:tc>
        <w:tc>
          <w:tcPr>
            <w:tcW w:w="0" w:type="auto"/>
            <w:noWrap/>
            <w:hideMark/>
          </w:tcPr>
          <w:p w14:paraId="1933322F"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10</w:t>
            </w:r>
          </w:p>
        </w:tc>
      </w:tr>
      <w:tr w:rsidR="00EF293C" w:rsidRPr="000C200F" w14:paraId="1DF941A9" w14:textId="77777777" w:rsidTr="00EF293C">
        <w:trPr>
          <w:trHeight w:val="20"/>
        </w:trPr>
        <w:tc>
          <w:tcPr>
            <w:cnfStyle w:val="001000000000" w:firstRow="0" w:lastRow="0" w:firstColumn="1" w:lastColumn="0" w:oddVBand="0" w:evenVBand="0" w:oddHBand="0" w:evenHBand="0" w:firstRowFirstColumn="0" w:firstRowLastColumn="0" w:lastRowFirstColumn="0" w:lastRowLastColumn="0"/>
            <w:tcW w:w="851" w:type="dxa"/>
            <w:noWrap/>
            <w:hideMark/>
          </w:tcPr>
          <w:p w14:paraId="41B8453E" w14:textId="77777777" w:rsidR="00EF293C" w:rsidRPr="000C200F" w:rsidRDefault="00EF293C" w:rsidP="00F000B0">
            <w:pPr>
              <w:rPr>
                <w:rFonts w:ascii="Times New Roman" w:eastAsia="Times New Roman" w:hAnsi="Times New Roman"/>
                <w:color w:val="000000"/>
                <w:lang w:eastAsia="fr-FR"/>
              </w:rPr>
            </w:pPr>
            <w:r w:rsidRPr="000C200F">
              <w:rPr>
                <w:rFonts w:ascii="Times New Roman" w:eastAsia="Times New Roman" w:hAnsi="Times New Roman"/>
                <w:color w:val="000000"/>
                <w:lang w:eastAsia="fr-FR"/>
              </w:rPr>
              <w:t xml:space="preserve">Total </w:t>
            </w:r>
          </w:p>
        </w:tc>
        <w:tc>
          <w:tcPr>
            <w:tcW w:w="1417" w:type="dxa"/>
            <w:noWrap/>
            <w:hideMark/>
          </w:tcPr>
          <w:p w14:paraId="55452554" w14:textId="77777777" w:rsidR="00EF293C" w:rsidRPr="000C200F" w:rsidRDefault="00EF293C"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 </w:t>
            </w:r>
          </w:p>
        </w:tc>
        <w:tc>
          <w:tcPr>
            <w:tcW w:w="1418" w:type="dxa"/>
            <w:noWrap/>
            <w:hideMark/>
          </w:tcPr>
          <w:p w14:paraId="58B5DE22" w14:textId="77777777" w:rsidR="00EF293C" w:rsidRPr="000C200F" w:rsidRDefault="00EF293C"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Total</w:t>
            </w:r>
          </w:p>
        </w:tc>
        <w:tc>
          <w:tcPr>
            <w:tcW w:w="0" w:type="auto"/>
            <w:noWrap/>
            <w:hideMark/>
          </w:tcPr>
          <w:p w14:paraId="5417974A"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2426</w:t>
            </w:r>
          </w:p>
        </w:tc>
        <w:tc>
          <w:tcPr>
            <w:tcW w:w="0" w:type="auto"/>
            <w:noWrap/>
            <w:hideMark/>
          </w:tcPr>
          <w:p w14:paraId="2813E307"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2855</w:t>
            </w:r>
          </w:p>
        </w:tc>
      </w:tr>
    </w:tbl>
    <w:p w14:paraId="7E58BA1F" w14:textId="77777777" w:rsidR="00EF293C" w:rsidRDefault="00EF293C" w:rsidP="00EF293C">
      <w:pPr>
        <w:jc w:val="both"/>
        <w:rPr>
          <w:rFonts w:ascii="Times New Roman" w:hAnsi="Times New Roman"/>
          <w:sz w:val="24"/>
          <w:szCs w:val="24"/>
        </w:rPr>
      </w:pPr>
    </w:p>
    <w:p w14:paraId="2CE92D46" w14:textId="77777777" w:rsidR="00EF293C" w:rsidRPr="00422229" w:rsidRDefault="00EF293C" w:rsidP="00EF293C">
      <w:pPr>
        <w:jc w:val="both"/>
        <w:rPr>
          <w:rFonts w:ascii="Times New Roman" w:hAnsi="Times New Roman"/>
          <w:sz w:val="24"/>
          <w:szCs w:val="24"/>
        </w:rPr>
      </w:pPr>
      <w:r w:rsidRPr="00422229">
        <w:rPr>
          <w:rFonts w:ascii="Times New Roman" w:hAnsi="Times New Roman"/>
          <w:sz w:val="24"/>
          <w:szCs w:val="24"/>
        </w:rPr>
        <w:t xml:space="preserve">Les </w:t>
      </w:r>
      <w:r>
        <w:rPr>
          <w:rFonts w:ascii="Times New Roman" w:hAnsi="Times New Roman"/>
          <w:sz w:val="24"/>
          <w:szCs w:val="24"/>
        </w:rPr>
        <w:t>opérations sur titre</w:t>
      </w:r>
      <w:r w:rsidRPr="00422229">
        <w:rPr>
          <w:rFonts w:ascii="Times New Roman" w:hAnsi="Times New Roman"/>
          <w:sz w:val="24"/>
          <w:szCs w:val="24"/>
        </w:rPr>
        <w:t xml:space="preserve"> enregistré</w:t>
      </w:r>
      <w:r>
        <w:rPr>
          <w:rFonts w:ascii="Times New Roman" w:hAnsi="Times New Roman"/>
          <w:sz w:val="24"/>
          <w:szCs w:val="24"/>
        </w:rPr>
        <w:t>e</w:t>
      </w:r>
      <w:r w:rsidRPr="00422229">
        <w:rPr>
          <w:rFonts w:ascii="Times New Roman" w:hAnsi="Times New Roman"/>
          <w:sz w:val="24"/>
          <w:szCs w:val="24"/>
        </w:rPr>
        <w:t>s au cours des années 2016 et 2017sont présenté</w:t>
      </w:r>
      <w:r>
        <w:rPr>
          <w:rFonts w:ascii="Times New Roman" w:hAnsi="Times New Roman"/>
          <w:sz w:val="24"/>
          <w:szCs w:val="24"/>
        </w:rPr>
        <w:t>e</w:t>
      </w:r>
      <w:r w:rsidRPr="00422229">
        <w:rPr>
          <w:rFonts w:ascii="Times New Roman" w:hAnsi="Times New Roman"/>
          <w:sz w:val="24"/>
          <w:szCs w:val="24"/>
        </w:rPr>
        <w:t xml:space="preserve">s dans le tableau ci-dessous :      </w:t>
      </w:r>
    </w:p>
    <w:p w14:paraId="087AB392" w14:textId="77777777" w:rsidR="00EF293C" w:rsidRPr="001A4C8B" w:rsidRDefault="00EF293C" w:rsidP="00EF293C">
      <w:pPr>
        <w:tabs>
          <w:tab w:val="left" w:pos="567"/>
        </w:tabs>
        <w:rPr>
          <w:rFonts w:ascii="Times New Roman" w:hAnsi="Times New Roman"/>
          <w:b/>
          <w:i/>
          <w:sz w:val="20"/>
          <w:szCs w:val="20"/>
        </w:rPr>
      </w:pPr>
      <w:r>
        <w:rPr>
          <w:rFonts w:ascii="Times New Roman" w:hAnsi="Times New Roman"/>
          <w:b/>
          <w:i/>
          <w:sz w:val="24"/>
          <w:szCs w:val="24"/>
        </w:rPr>
        <w:lastRenderedPageBreak/>
        <w:t xml:space="preserve">        </w:t>
      </w:r>
      <w:r w:rsidRPr="001A4C8B">
        <w:rPr>
          <w:rFonts w:ascii="Times New Roman" w:hAnsi="Times New Roman"/>
          <w:b/>
          <w:i/>
          <w:sz w:val="20"/>
          <w:szCs w:val="20"/>
        </w:rPr>
        <w:t>Opérations sur titre enregistrées en 2016 et 2017</w:t>
      </w:r>
    </w:p>
    <w:tbl>
      <w:tblPr>
        <w:tblStyle w:val="TableauGrille1Clair1"/>
        <w:tblW w:w="0" w:type="auto"/>
        <w:tblInd w:w="474" w:type="dxa"/>
        <w:tblLook w:val="04A0" w:firstRow="1" w:lastRow="0" w:firstColumn="1" w:lastColumn="0" w:noHBand="0" w:noVBand="1"/>
      </w:tblPr>
      <w:tblGrid>
        <w:gridCol w:w="3935"/>
        <w:gridCol w:w="1417"/>
        <w:gridCol w:w="1560"/>
      </w:tblGrid>
      <w:tr w:rsidR="00EF293C" w:rsidRPr="00EF293C" w14:paraId="302EFE44" w14:textId="77777777" w:rsidTr="00EF29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5" w:type="dxa"/>
          </w:tcPr>
          <w:p w14:paraId="6647930C" w14:textId="77777777" w:rsidR="00EF293C" w:rsidRPr="00EF293C" w:rsidRDefault="00EF293C" w:rsidP="00EF293C">
            <w:pPr>
              <w:rPr>
                <w:rFonts w:ascii="Times New Roman" w:eastAsia="Times New Roman" w:hAnsi="Times New Roman"/>
                <w:lang w:eastAsia="fr-FR"/>
              </w:rPr>
            </w:pPr>
            <w:r w:rsidRPr="00EF293C">
              <w:rPr>
                <w:rFonts w:ascii="Times New Roman" w:eastAsia="Times New Roman" w:hAnsi="Times New Roman"/>
                <w:lang w:eastAsia="fr-FR"/>
              </w:rPr>
              <w:t>Nature de l’opération</w:t>
            </w:r>
          </w:p>
        </w:tc>
        <w:tc>
          <w:tcPr>
            <w:tcW w:w="1417" w:type="dxa"/>
          </w:tcPr>
          <w:p w14:paraId="62E1173D" w14:textId="77777777" w:rsidR="00EF293C" w:rsidRPr="00EF293C" w:rsidRDefault="00EF293C" w:rsidP="00EF293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EF293C">
              <w:rPr>
                <w:rFonts w:ascii="Times New Roman" w:eastAsia="Times New Roman" w:hAnsi="Times New Roman"/>
                <w:lang w:eastAsia="fr-FR"/>
              </w:rPr>
              <w:t>2016</w:t>
            </w:r>
          </w:p>
        </w:tc>
        <w:tc>
          <w:tcPr>
            <w:tcW w:w="1560" w:type="dxa"/>
          </w:tcPr>
          <w:p w14:paraId="70455DDE" w14:textId="77777777" w:rsidR="00EF293C" w:rsidRPr="00EF293C" w:rsidRDefault="00EF293C" w:rsidP="00EF293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EF293C">
              <w:rPr>
                <w:rFonts w:ascii="Times New Roman" w:eastAsia="Times New Roman" w:hAnsi="Times New Roman"/>
                <w:lang w:eastAsia="fr-FR"/>
              </w:rPr>
              <w:t>2017</w:t>
            </w:r>
          </w:p>
        </w:tc>
      </w:tr>
      <w:tr w:rsidR="00EF293C" w:rsidRPr="00EF293C" w14:paraId="1E2EA721" w14:textId="77777777" w:rsidTr="00EF293C">
        <w:tc>
          <w:tcPr>
            <w:cnfStyle w:val="001000000000" w:firstRow="0" w:lastRow="0" w:firstColumn="1" w:lastColumn="0" w:oddVBand="0" w:evenVBand="0" w:oddHBand="0" w:evenHBand="0" w:firstRowFirstColumn="0" w:firstRowLastColumn="0" w:lastRowFirstColumn="0" w:lastRowLastColumn="0"/>
            <w:tcW w:w="3935" w:type="dxa"/>
          </w:tcPr>
          <w:p w14:paraId="15DD50D8" w14:textId="77777777" w:rsidR="00EF293C" w:rsidRPr="002942D7" w:rsidRDefault="00EF293C" w:rsidP="00EF293C">
            <w:pPr>
              <w:rPr>
                <w:rFonts w:ascii="Times New Roman" w:eastAsia="Times New Roman" w:hAnsi="Times New Roman"/>
                <w:b w:val="0"/>
                <w:lang w:eastAsia="fr-FR"/>
              </w:rPr>
            </w:pPr>
            <w:r w:rsidRPr="002942D7">
              <w:rPr>
                <w:rFonts w:ascii="Times New Roman" w:eastAsia="Times New Roman" w:hAnsi="Times New Roman"/>
                <w:b w:val="0"/>
                <w:lang w:eastAsia="fr-FR"/>
              </w:rPr>
              <w:t>Transformation PR en PE</w:t>
            </w:r>
          </w:p>
        </w:tc>
        <w:tc>
          <w:tcPr>
            <w:tcW w:w="1417" w:type="dxa"/>
          </w:tcPr>
          <w:p w14:paraId="667335A6" w14:textId="77777777" w:rsidR="00EF293C" w:rsidRPr="00EF293C" w:rsidRDefault="00EF293C" w:rsidP="00EF29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EF293C">
              <w:rPr>
                <w:rFonts w:ascii="Times New Roman" w:eastAsia="Times New Roman" w:hAnsi="Times New Roman"/>
                <w:lang w:eastAsia="fr-FR"/>
              </w:rPr>
              <w:t>85</w:t>
            </w:r>
          </w:p>
        </w:tc>
        <w:tc>
          <w:tcPr>
            <w:tcW w:w="1560" w:type="dxa"/>
          </w:tcPr>
          <w:p w14:paraId="6CDE1092" w14:textId="77777777" w:rsidR="00EF293C" w:rsidRPr="00EF293C" w:rsidRDefault="00EF293C" w:rsidP="00EF29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EF293C">
              <w:rPr>
                <w:rFonts w:ascii="Times New Roman" w:eastAsia="Times New Roman" w:hAnsi="Times New Roman"/>
                <w:lang w:eastAsia="fr-FR"/>
              </w:rPr>
              <w:t>85</w:t>
            </w:r>
          </w:p>
        </w:tc>
      </w:tr>
      <w:tr w:rsidR="00EF293C" w:rsidRPr="00EF293C" w14:paraId="25B7213E" w14:textId="77777777" w:rsidTr="00EF293C">
        <w:tc>
          <w:tcPr>
            <w:cnfStyle w:val="001000000000" w:firstRow="0" w:lastRow="0" w:firstColumn="1" w:lastColumn="0" w:oddVBand="0" w:evenVBand="0" w:oddHBand="0" w:evenHBand="0" w:firstRowFirstColumn="0" w:firstRowLastColumn="0" w:lastRowFirstColumn="0" w:lastRowLastColumn="0"/>
            <w:tcW w:w="3935" w:type="dxa"/>
          </w:tcPr>
          <w:p w14:paraId="7ECE5AA7" w14:textId="77777777" w:rsidR="00EF293C" w:rsidRPr="002942D7" w:rsidRDefault="00EF293C" w:rsidP="00EF293C">
            <w:pPr>
              <w:rPr>
                <w:rFonts w:ascii="Times New Roman" w:eastAsia="Times New Roman" w:hAnsi="Times New Roman"/>
                <w:b w:val="0"/>
                <w:lang w:eastAsia="fr-FR"/>
              </w:rPr>
            </w:pPr>
            <w:r w:rsidRPr="002942D7">
              <w:rPr>
                <w:rFonts w:ascii="Times New Roman" w:eastAsia="Times New Roman" w:hAnsi="Times New Roman"/>
                <w:b w:val="0"/>
                <w:lang w:eastAsia="fr-FR"/>
              </w:rPr>
              <w:t>Transformation PR en PEPM</w:t>
            </w:r>
          </w:p>
        </w:tc>
        <w:tc>
          <w:tcPr>
            <w:tcW w:w="1417" w:type="dxa"/>
          </w:tcPr>
          <w:p w14:paraId="4D78A550" w14:textId="77777777" w:rsidR="00EF293C" w:rsidRPr="00EF293C" w:rsidRDefault="00EF293C" w:rsidP="00EF29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EF293C">
              <w:rPr>
                <w:rFonts w:ascii="Times New Roman" w:eastAsia="Times New Roman" w:hAnsi="Times New Roman"/>
                <w:lang w:eastAsia="fr-FR"/>
              </w:rPr>
              <w:t>42</w:t>
            </w:r>
          </w:p>
        </w:tc>
        <w:tc>
          <w:tcPr>
            <w:tcW w:w="1560" w:type="dxa"/>
          </w:tcPr>
          <w:p w14:paraId="286AD697" w14:textId="77777777" w:rsidR="00EF293C" w:rsidRPr="00EF293C" w:rsidRDefault="00EF293C" w:rsidP="00EF29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EF293C">
              <w:rPr>
                <w:rFonts w:ascii="Times New Roman" w:eastAsia="Times New Roman" w:hAnsi="Times New Roman"/>
                <w:lang w:eastAsia="fr-FR"/>
              </w:rPr>
              <w:t>57</w:t>
            </w:r>
          </w:p>
        </w:tc>
      </w:tr>
      <w:tr w:rsidR="00EF293C" w:rsidRPr="00EF293C" w14:paraId="2751E386" w14:textId="77777777" w:rsidTr="00EF293C">
        <w:tc>
          <w:tcPr>
            <w:cnfStyle w:val="001000000000" w:firstRow="0" w:lastRow="0" w:firstColumn="1" w:lastColumn="0" w:oddVBand="0" w:evenVBand="0" w:oddHBand="0" w:evenHBand="0" w:firstRowFirstColumn="0" w:firstRowLastColumn="0" w:lastRowFirstColumn="0" w:lastRowLastColumn="0"/>
            <w:tcW w:w="3935" w:type="dxa"/>
          </w:tcPr>
          <w:p w14:paraId="7D831ED0" w14:textId="77777777" w:rsidR="00EF293C" w:rsidRPr="002942D7" w:rsidRDefault="00EF293C" w:rsidP="00EF293C">
            <w:pPr>
              <w:rPr>
                <w:rFonts w:ascii="Times New Roman" w:eastAsia="Times New Roman" w:hAnsi="Times New Roman"/>
                <w:b w:val="0"/>
                <w:lang w:eastAsia="fr-FR"/>
              </w:rPr>
            </w:pPr>
            <w:r w:rsidRPr="002942D7">
              <w:rPr>
                <w:rFonts w:ascii="Times New Roman" w:eastAsia="Times New Roman" w:hAnsi="Times New Roman"/>
                <w:b w:val="0"/>
                <w:lang w:eastAsia="fr-FR"/>
              </w:rPr>
              <w:t>amodiation</w:t>
            </w:r>
          </w:p>
        </w:tc>
        <w:tc>
          <w:tcPr>
            <w:tcW w:w="1417" w:type="dxa"/>
          </w:tcPr>
          <w:p w14:paraId="2A4202DB" w14:textId="77777777" w:rsidR="00EF293C" w:rsidRPr="00EF293C" w:rsidRDefault="00EF293C" w:rsidP="00EF29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EF293C">
              <w:rPr>
                <w:rFonts w:ascii="Times New Roman" w:eastAsia="Times New Roman" w:hAnsi="Times New Roman"/>
                <w:lang w:eastAsia="fr-FR"/>
              </w:rPr>
              <w:t>19</w:t>
            </w:r>
          </w:p>
        </w:tc>
        <w:tc>
          <w:tcPr>
            <w:tcW w:w="1560" w:type="dxa"/>
          </w:tcPr>
          <w:p w14:paraId="4174579C" w14:textId="77777777" w:rsidR="00EF293C" w:rsidRPr="00EF293C" w:rsidRDefault="00EF293C" w:rsidP="00EF29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EF293C">
              <w:rPr>
                <w:rFonts w:ascii="Times New Roman" w:eastAsia="Times New Roman" w:hAnsi="Times New Roman"/>
                <w:lang w:eastAsia="fr-FR"/>
              </w:rPr>
              <w:t>8</w:t>
            </w:r>
          </w:p>
        </w:tc>
      </w:tr>
      <w:tr w:rsidR="00EF293C" w:rsidRPr="00EF293C" w14:paraId="3868A5A6" w14:textId="77777777" w:rsidTr="00EF293C">
        <w:tc>
          <w:tcPr>
            <w:cnfStyle w:val="001000000000" w:firstRow="0" w:lastRow="0" w:firstColumn="1" w:lastColumn="0" w:oddVBand="0" w:evenVBand="0" w:oddHBand="0" w:evenHBand="0" w:firstRowFirstColumn="0" w:firstRowLastColumn="0" w:lastRowFirstColumn="0" w:lastRowLastColumn="0"/>
            <w:tcW w:w="3935" w:type="dxa"/>
          </w:tcPr>
          <w:p w14:paraId="0B925C15" w14:textId="77777777" w:rsidR="00EF293C" w:rsidRPr="002942D7" w:rsidRDefault="00EF293C" w:rsidP="00EF293C">
            <w:pPr>
              <w:rPr>
                <w:rFonts w:ascii="Times New Roman" w:eastAsia="Times New Roman" w:hAnsi="Times New Roman"/>
                <w:b w:val="0"/>
                <w:lang w:eastAsia="fr-FR"/>
              </w:rPr>
            </w:pPr>
            <w:r w:rsidRPr="002942D7">
              <w:rPr>
                <w:rFonts w:ascii="Times New Roman" w:eastAsia="Times New Roman" w:hAnsi="Times New Roman"/>
                <w:b w:val="0"/>
                <w:lang w:eastAsia="fr-FR"/>
              </w:rPr>
              <w:t>Cession partielle</w:t>
            </w:r>
          </w:p>
        </w:tc>
        <w:tc>
          <w:tcPr>
            <w:tcW w:w="1417" w:type="dxa"/>
          </w:tcPr>
          <w:p w14:paraId="08E34149" w14:textId="77777777" w:rsidR="00EF293C" w:rsidRPr="00EF293C" w:rsidRDefault="00EF293C" w:rsidP="00EF29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EF293C">
              <w:rPr>
                <w:rFonts w:ascii="Times New Roman" w:eastAsia="Times New Roman" w:hAnsi="Times New Roman"/>
                <w:lang w:eastAsia="fr-FR"/>
              </w:rPr>
              <w:t>11</w:t>
            </w:r>
          </w:p>
        </w:tc>
        <w:tc>
          <w:tcPr>
            <w:tcW w:w="1560" w:type="dxa"/>
          </w:tcPr>
          <w:p w14:paraId="114C5514" w14:textId="77777777" w:rsidR="00EF293C" w:rsidRPr="00EF293C" w:rsidRDefault="00EF293C" w:rsidP="00EF29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EF293C">
              <w:rPr>
                <w:rFonts w:ascii="Times New Roman" w:eastAsia="Times New Roman" w:hAnsi="Times New Roman"/>
                <w:lang w:eastAsia="fr-FR"/>
              </w:rPr>
              <w:t>6</w:t>
            </w:r>
          </w:p>
        </w:tc>
      </w:tr>
      <w:tr w:rsidR="00EF293C" w:rsidRPr="00EF293C" w14:paraId="180F7002" w14:textId="77777777" w:rsidTr="00EF293C">
        <w:tc>
          <w:tcPr>
            <w:cnfStyle w:val="001000000000" w:firstRow="0" w:lastRow="0" w:firstColumn="1" w:lastColumn="0" w:oddVBand="0" w:evenVBand="0" w:oddHBand="0" w:evenHBand="0" w:firstRowFirstColumn="0" w:firstRowLastColumn="0" w:lastRowFirstColumn="0" w:lastRowLastColumn="0"/>
            <w:tcW w:w="3935" w:type="dxa"/>
          </w:tcPr>
          <w:p w14:paraId="21A7B2CA" w14:textId="77777777" w:rsidR="00EF293C" w:rsidRPr="002942D7" w:rsidRDefault="00EF293C" w:rsidP="00EF293C">
            <w:pPr>
              <w:rPr>
                <w:rFonts w:ascii="Times New Roman" w:eastAsia="Times New Roman" w:hAnsi="Times New Roman"/>
                <w:b w:val="0"/>
                <w:lang w:eastAsia="fr-FR"/>
              </w:rPr>
            </w:pPr>
            <w:r w:rsidRPr="002942D7">
              <w:rPr>
                <w:rFonts w:ascii="Times New Roman" w:eastAsia="Times New Roman" w:hAnsi="Times New Roman"/>
                <w:b w:val="0"/>
                <w:lang w:eastAsia="fr-FR"/>
              </w:rPr>
              <w:t>Cession totale ou en cours</w:t>
            </w:r>
          </w:p>
        </w:tc>
        <w:tc>
          <w:tcPr>
            <w:tcW w:w="1417" w:type="dxa"/>
          </w:tcPr>
          <w:p w14:paraId="3982AEEC" w14:textId="77777777" w:rsidR="00EF293C" w:rsidRPr="00EF293C" w:rsidRDefault="00EF293C" w:rsidP="00EF29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EF293C">
              <w:rPr>
                <w:rFonts w:ascii="Times New Roman" w:eastAsia="Times New Roman" w:hAnsi="Times New Roman"/>
                <w:lang w:eastAsia="fr-FR"/>
              </w:rPr>
              <w:t>52</w:t>
            </w:r>
          </w:p>
        </w:tc>
        <w:tc>
          <w:tcPr>
            <w:tcW w:w="1560" w:type="dxa"/>
          </w:tcPr>
          <w:p w14:paraId="657D6EC5" w14:textId="77777777" w:rsidR="00EF293C" w:rsidRPr="00EF293C" w:rsidRDefault="00EF293C" w:rsidP="00EF29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EF293C">
              <w:rPr>
                <w:rFonts w:ascii="Times New Roman" w:eastAsia="Times New Roman" w:hAnsi="Times New Roman"/>
                <w:lang w:eastAsia="fr-FR"/>
              </w:rPr>
              <w:t>146</w:t>
            </w:r>
          </w:p>
        </w:tc>
      </w:tr>
      <w:tr w:rsidR="00EF293C" w:rsidRPr="00EF293C" w14:paraId="42408899" w14:textId="77777777" w:rsidTr="00EF293C">
        <w:tc>
          <w:tcPr>
            <w:cnfStyle w:val="001000000000" w:firstRow="0" w:lastRow="0" w:firstColumn="1" w:lastColumn="0" w:oddVBand="0" w:evenVBand="0" w:oddHBand="0" w:evenHBand="0" w:firstRowFirstColumn="0" w:firstRowLastColumn="0" w:lastRowFirstColumn="0" w:lastRowLastColumn="0"/>
            <w:tcW w:w="3935" w:type="dxa"/>
          </w:tcPr>
          <w:p w14:paraId="2348BA8B" w14:textId="77777777" w:rsidR="00EF293C" w:rsidRPr="002942D7" w:rsidRDefault="00EF293C" w:rsidP="00EF293C">
            <w:pPr>
              <w:rPr>
                <w:rFonts w:ascii="Times New Roman" w:eastAsia="Times New Roman" w:hAnsi="Times New Roman"/>
                <w:b w:val="0"/>
                <w:lang w:eastAsia="fr-FR"/>
              </w:rPr>
            </w:pPr>
            <w:r w:rsidRPr="002942D7">
              <w:rPr>
                <w:rFonts w:ascii="Times New Roman" w:eastAsia="Times New Roman" w:hAnsi="Times New Roman"/>
                <w:b w:val="0"/>
                <w:lang w:eastAsia="fr-FR"/>
              </w:rPr>
              <w:t>Hypothèque</w:t>
            </w:r>
          </w:p>
        </w:tc>
        <w:tc>
          <w:tcPr>
            <w:tcW w:w="1417" w:type="dxa"/>
          </w:tcPr>
          <w:p w14:paraId="38293AB7" w14:textId="77777777" w:rsidR="00EF293C" w:rsidRPr="00EF293C" w:rsidRDefault="00EF293C" w:rsidP="00EF29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EF293C">
              <w:rPr>
                <w:rFonts w:ascii="Times New Roman" w:eastAsia="Times New Roman" w:hAnsi="Times New Roman"/>
                <w:lang w:eastAsia="fr-FR"/>
              </w:rPr>
              <w:t>8</w:t>
            </w:r>
          </w:p>
        </w:tc>
        <w:tc>
          <w:tcPr>
            <w:tcW w:w="1560" w:type="dxa"/>
          </w:tcPr>
          <w:p w14:paraId="20BE5E9E" w14:textId="77777777" w:rsidR="00EF293C" w:rsidRPr="00EF293C" w:rsidRDefault="00EF293C" w:rsidP="00EF29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EF293C">
              <w:rPr>
                <w:rFonts w:ascii="Times New Roman" w:eastAsia="Times New Roman" w:hAnsi="Times New Roman"/>
                <w:lang w:eastAsia="fr-FR"/>
              </w:rPr>
              <w:t>2</w:t>
            </w:r>
          </w:p>
        </w:tc>
      </w:tr>
      <w:tr w:rsidR="00EF293C" w:rsidRPr="00EF293C" w14:paraId="11B9E510" w14:textId="77777777" w:rsidTr="00EF293C">
        <w:tc>
          <w:tcPr>
            <w:cnfStyle w:val="001000000000" w:firstRow="0" w:lastRow="0" w:firstColumn="1" w:lastColumn="0" w:oddVBand="0" w:evenVBand="0" w:oddHBand="0" w:evenHBand="0" w:firstRowFirstColumn="0" w:firstRowLastColumn="0" w:lastRowFirstColumn="0" w:lastRowLastColumn="0"/>
            <w:tcW w:w="3935" w:type="dxa"/>
          </w:tcPr>
          <w:p w14:paraId="40C52E13" w14:textId="77777777" w:rsidR="00EF293C" w:rsidRPr="002942D7" w:rsidRDefault="00EF293C" w:rsidP="00EF293C">
            <w:pPr>
              <w:rPr>
                <w:rFonts w:ascii="Times New Roman" w:eastAsia="Times New Roman" w:hAnsi="Times New Roman"/>
                <w:b w:val="0"/>
                <w:lang w:eastAsia="fr-FR"/>
              </w:rPr>
            </w:pPr>
            <w:r w:rsidRPr="002942D7">
              <w:rPr>
                <w:rFonts w:ascii="Times New Roman" w:eastAsia="Times New Roman" w:hAnsi="Times New Roman"/>
                <w:b w:val="0"/>
                <w:lang w:eastAsia="fr-FR"/>
              </w:rPr>
              <w:t xml:space="preserve">Option </w:t>
            </w:r>
          </w:p>
        </w:tc>
        <w:tc>
          <w:tcPr>
            <w:tcW w:w="1417" w:type="dxa"/>
          </w:tcPr>
          <w:p w14:paraId="6785563B" w14:textId="77777777" w:rsidR="00EF293C" w:rsidRPr="00EF293C" w:rsidRDefault="00EF293C" w:rsidP="00EF29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EF293C">
              <w:rPr>
                <w:rFonts w:ascii="Times New Roman" w:eastAsia="Times New Roman" w:hAnsi="Times New Roman"/>
                <w:lang w:eastAsia="fr-FR"/>
              </w:rPr>
              <w:t>6</w:t>
            </w:r>
          </w:p>
        </w:tc>
        <w:tc>
          <w:tcPr>
            <w:tcW w:w="1560" w:type="dxa"/>
          </w:tcPr>
          <w:p w14:paraId="014A12A5" w14:textId="77777777" w:rsidR="00EF293C" w:rsidRPr="00EF293C" w:rsidRDefault="00EF293C" w:rsidP="00EF29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EF293C">
              <w:rPr>
                <w:rFonts w:ascii="Times New Roman" w:eastAsia="Times New Roman" w:hAnsi="Times New Roman"/>
                <w:lang w:eastAsia="fr-FR"/>
              </w:rPr>
              <w:t>4</w:t>
            </w:r>
          </w:p>
        </w:tc>
      </w:tr>
    </w:tbl>
    <w:p w14:paraId="2395553B" w14:textId="77777777" w:rsidR="00EF293C" w:rsidRDefault="00EF293C" w:rsidP="00EF293C">
      <w:pPr>
        <w:ind w:left="426"/>
        <w:jc w:val="both"/>
        <w:rPr>
          <w:rFonts w:ascii="Times New Roman" w:hAnsi="Times New Roman"/>
          <w:sz w:val="24"/>
          <w:szCs w:val="24"/>
        </w:rPr>
      </w:pPr>
    </w:p>
    <w:p w14:paraId="32F3832D" w14:textId="77777777" w:rsidR="00EF293C" w:rsidRPr="000C200F" w:rsidRDefault="00EF293C" w:rsidP="00EF293C">
      <w:pPr>
        <w:ind w:left="426"/>
        <w:jc w:val="both"/>
        <w:rPr>
          <w:rFonts w:ascii="Times New Roman" w:hAnsi="Times New Roman"/>
          <w:sz w:val="24"/>
          <w:szCs w:val="24"/>
        </w:rPr>
      </w:pPr>
      <w:r w:rsidRPr="000C200F">
        <w:rPr>
          <w:rFonts w:ascii="Times New Roman" w:hAnsi="Times New Roman"/>
          <w:sz w:val="24"/>
          <w:szCs w:val="24"/>
        </w:rPr>
        <w:t>A la date de publication du présent Rapport, le site web du CAMI est en construction et donc, les informations pertinentes telles que le registre de titulaires miniers ne sont pas disponibles sur le site.</w:t>
      </w:r>
    </w:p>
    <w:p w14:paraId="42FC2329" w14:textId="77777777" w:rsidR="00EF293C" w:rsidRDefault="00EF293C" w:rsidP="00EF293C">
      <w:pPr>
        <w:ind w:left="426"/>
        <w:jc w:val="both"/>
        <w:rPr>
          <w:rFonts w:ascii="Times New Roman" w:hAnsi="Times New Roman"/>
          <w:sz w:val="24"/>
          <w:szCs w:val="24"/>
        </w:rPr>
      </w:pPr>
    </w:p>
    <w:p w14:paraId="5DDDBADD" w14:textId="38480355" w:rsidR="00EF293C" w:rsidRDefault="00EF293C" w:rsidP="00EF293C">
      <w:pPr>
        <w:ind w:left="426"/>
        <w:jc w:val="both"/>
        <w:rPr>
          <w:rFonts w:ascii="Times New Roman" w:hAnsi="Times New Roman"/>
          <w:sz w:val="24"/>
          <w:szCs w:val="24"/>
        </w:rPr>
      </w:pPr>
      <w:r w:rsidRPr="000C200F">
        <w:rPr>
          <w:rFonts w:ascii="Times New Roman" w:hAnsi="Times New Roman"/>
          <w:sz w:val="24"/>
          <w:szCs w:val="24"/>
        </w:rPr>
        <w:t xml:space="preserve">Seul </w:t>
      </w:r>
      <w:r w:rsidR="00C520BA">
        <w:rPr>
          <w:rFonts w:ascii="Times New Roman" w:hAnsi="Times New Roman"/>
          <w:sz w:val="24"/>
          <w:szCs w:val="24"/>
        </w:rPr>
        <w:t xml:space="preserve">le </w:t>
      </w:r>
      <w:proofErr w:type="spellStart"/>
      <w:r w:rsidR="00C520BA">
        <w:rPr>
          <w:rFonts w:ascii="Times New Roman" w:hAnsi="Times New Roman"/>
          <w:sz w:val="24"/>
          <w:szCs w:val="24"/>
        </w:rPr>
        <w:t>FlexiC</w:t>
      </w:r>
      <w:r w:rsidRPr="001A4C8B">
        <w:rPr>
          <w:rFonts w:ascii="Times New Roman" w:hAnsi="Times New Roman"/>
          <w:sz w:val="24"/>
          <w:szCs w:val="24"/>
        </w:rPr>
        <w:t>adastre</w:t>
      </w:r>
      <w:proofErr w:type="spellEnd"/>
      <w:r>
        <w:rPr>
          <w:rStyle w:val="Appelnotedebasdep"/>
          <w:rFonts w:ascii="Times New Roman" w:hAnsi="Times New Roman"/>
          <w:color w:val="0563C1" w:themeColor="hyperlink"/>
          <w:sz w:val="24"/>
          <w:szCs w:val="24"/>
          <w:u w:val="single"/>
        </w:rPr>
        <w:footnoteReference w:id="19"/>
      </w:r>
      <w:r w:rsidRPr="000C200F">
        <w:rPr>
          <w:rFonts w:ascii="Times New Roman" w:hAnsi="Times New Roman"/>
          <w:sz w:val="24"/>
          <w:szCs w:val="24"/>
        </w:rPr>
        <w:t xml:space="preserve"> , Système d’Information Géographique (SIG), est actif et mis à jour </w:t>
      </w:r>
      <w:r>
        <w:rPr>
          <w:rFonts w:ascii="Times New Roman" w:hAnsi="Times New Roman"/>
          <w:sz w:val="24"/>
          <w:szCs w:val="24"/>
        </w:rPr>
        <w:t xml:space="preserve">trois fois l’an, sous condition du paiement des frais y afférents. </w:t>
      </w:r>
    </w:p>
    <w:p w14:paraId="1E56A613" w14:textId="77777777" w:rsidR="00EF293C" w:rsidRPr="000C200F" w:rsidRDefault="00EF293C" w:rsidP="00EF293C">
      <w:pPr>
        <w:ind w:left="426"/>
        <w:jc w:val="both"/>
        <w:rPr>
          <w:rFonts w:ascii="Times New Roman" w:hAnsi="Times New Roman"/>
          <w:sz w:val="24"/>
          <w:szCs w:val="24"/>
        </w:rPr>
      </w:pPr>
      <w:r>
        <w:rPr>
          <w:rFonts w:ascii="Times New Roman" w:hAnsi="Times New Roman"/>
          <w:sz w:val="24"/>
          <w:szCs w:val="24"/>
        </w:rPr>
        <w:t>La recherche sur le site peut se faire par permis ou par entreprise. Les informations disponibles sont les suivantes :</w:t>
      </w:r>
    </w:p>
    <w:p w14:paraId="7D2DEF0E" w14:textId="77777777" w:rsidR="00EF293C" w:rsidRPr="00340B95" w:rsidRDefault="00EF293C" w:rsidP="000738D3">
      <w:pPr>
        <w:pStyle w:val="Paragraphedeliste"/>
        <w:numPr>
          <w:ilvl w:val="0"/>
          <w:numId w:val="32"/>
        </w:numPr>
        <w:spacing w:after="0" w:line="259" w:lineRule="auto"/>
        <w:jc w:val="both"/>
        <w:rPr>
          <w:rFonts w:ascii="Times New Roman" w:hAnsi="Times New Roman" w:cs="Times New Roman"/>
          <w:sz w:val="24"/>
          <w:szCs w:val="24"/>
        </w:rPr>
      </w:pPr>
      <w:r w:rsidRPr="00340B95">
        <w:rPr>
          <w:rFonts w:ascii="Times New Roman" w:hAnsi="Times New Roman" w:cs="Times New Roman"/>
          <w:sz w:val="24"/>
          <w:szCs w:val="24"/>
        </w:rPr>
        <w:t xml:space="preserve">la position </w:t>
      </w:r>
      <w:proofErr w:type="spellStart"/>
      <w:r w:rsidRPr="00340B95">
        <w:rPr>
          <w:rFonts w:ascii="Times New Roman" w:hAnsi="Times New Roman" w:cs="Times New Roman"/>
          <w:sz w:val="24"/>
          <w:szCs w:val="24"/>
        </w:rPr>
        <w:t>géospatiale</w:t>
      </w:r>
      <w:proofErr w:type="spellEnd"/>
      <w:r w:rsidRPr="00340B95">
        <w:rPr>
          <w:rFonts w:ascii="Times New Roman" w:hAnsi="Times New Roman" w:cs="Times New Roman"/>
          <w:sz w:val="24"/>
          <w:szCs w:val="24"/>
        </w:rPr>
        <w:t xml:space="preserve"> de tous les titres miniers actifs ou inactifs, </w:t>
      </w:r>
    </w:p>
    <w:p w14:paraId="6638E937" w14:textId="361BA990" w:rsidR="00EF293C" w:rsidRPr="000C200F" w:rsidRDefault="00EF293C" w:rsidP="000738D3">
      <w:pPr>
        <w:pStyle w:val="Paragraphedeliste"/>
        <w:numPr>
          <w:ilvl w:val="0"/>
          <w:numId w:val="32"/>
        </w:numPr>
        <w:spacing w:after="0"/>
        <w:ind w:left="426" w:firstLine="0"/>
        <w:jc w:val="both"/>
        <w:rPr>
          <w:rFonts w:ascii="Times New Roman" w:hAnsi="Times New Roman" w:cs="Times New Roman"/>
          <w:sz w:val="24"/>
          <w:szCs w:val="24"/>
        </w:rPr>
      </w:pPr>
      <w:r w:rsidRPr="000C200F">
        <w:rPr>
          <w:rFonts w:ascii="Times New Roman" w:hAnsi="Times New Roman" w:cs="Times New Roman"/>
          <w:sz w:val="24"/>
          <w:szCs w:val="24"/>
        </w:rPr>
        <w:t>le nombre de carrés</w:t>
      </w:r>
      <w:r>
        <w:rPr>
          <w:rFonts w:ascii="Times New Roman" w:hAnsi="Times New Roman" w:cs="Times New Roman"/>
          <w:sz w:val="24"/>
          <w:szCs w:val="24"/>
        </w:rPr>
        <w:t>,</w:t>
      </w:r>
    </w:p>
    <w:p w14:paraId="3057CA02" w14:textId="668A77A4" w:rsidR="00EF293C" w:rsidRPr="000C200F" w:rsidRDefault="00EF293C" w:rsidP="000738D3">
      <w:pPr>
        <w:pStyle w:val="Paragraphedeliste"/>
        <w:numPr>
          <w:ilvl w:val="0"/>
          <w:numId w:val="30"/>
        </w:numPr>
        <w:ind w:left="426" w:firstLine="0"/>
        <w:jc w:val="both"/>
        <w:rPr>
          <w:rFonts w:ascii="Times New Roman" w:hAnsi="Times New Roman" w:cs="Times New Roman"/>
          <w:sz w:val="24"/>
          <w:szCs w:val="24"/>
        </w:rPr>
      </w:pPr>
      <w:r w:rsidRPr="000C200F">
        <w:rPr>
          <w:rFonts w:ascii="Times New Roman" w:hAnsi="Times New Roman" w:cs="Times New Roman"/>
          <w:sz w:val="24"/>
          <w:szCs w:val="24"/>
        </w:rPr>
        <w:t>la date de demande du titre</w:t>
      </w:r>
      <w:r>
        <w:rPr>
          <w:rFonts w:ascii="Times New Roman" w:hAnsi="Times New Roman" w:cs="Times New Roman"/>
          <w:sz w:val="24"/>
          <w:szCs w:val="24"/>
        </w:rPr>
        <w:t>,</w:t>
      </w:r>
    </w:p>
    <w:p w14:paraId="32ED7F33" w14:textId="77777777" w:rsidR="00EF293C" w:rsidRPr="000C200F" w:rsidRDefault="00EF293C" w:rsidP="000738D3">
      <w:pPr>
        <w:pStyle w:val="Paragraphedeliste"/>
        <w:numPr>
          <w:ilvl w:val="0"/>
          <w:numId w:val="30"/>
        </w:numPr>
        <w:ind w:left="426" w:firstLine="0"/>
        <w:jc w:val="both"/>
        <w:rPr>
          <w:rFonts w:ascii="Times New Roman" w:hAnsi="Times New Roman" w:cs="Times New Roman"/>
          <w:sz w:val="24"/>
          <w:szCs w:val="24"/>
        </w:rPr>
      </w:pPr>
      <w:r w:rsidRPr="000C200F">
        <w:rPr>
          <w:rFonts w:ascii="Times New Roman" w:hAnsi="Times New Roman" w:cs="Times New Roman"/>
          <w:sz w:val="24"/>
          <w:szCs w:val="24"/>
        </w:rPr>
        <w:t>la date d’octroi du titre</w:t>
      </w:r>
      <w:r>
        <w:rPr>
          <w:rFonts w:ascii="Times New Roman" w:hAnsi="Times New Roman" w:cs="Times New Roman"/>
          <w:sz w:val="24"/>
          <w:szCs w:val="24"/>
        </w:rPr>
        <w:t>,</w:t>
      </w:r>
    </w:p>
    <w:p w14:paraId="5C35A483" w14:textId="03A79852" w:rsidR="00EF293C" w:rsidRPr="000C200F" w:rsidRDefault="00EF293C" w:rsidP="000738D3">
      <w:pPr>
        <w:pStyle w:val="Paragraphedeliste"/>
        <w:numPr>
          <w:ilvl w:val="0"/>
          <w:numId w:val="30"/>
        </w:numPr>
        <w:ind w:left="426" w:firstLine="0"/>
        <w:jc w:val="both"/>
        <w:rPr>
          <w:rFonts w:ascii="Times New Roman" w:hAnsi="Times New Roman" w:cs="Times New Roman"/>
          <w:sz w:val="24"/>
          <w:szCs w:val="24"/>
        </w:rPr>
      </w:pPr>
      <w:r w:rsidRPr="000C200F">
        <w:rPr>
          <w:rFonts w:ascii="Times New Roman" w:hAnsi="Times New Roman" w:cs="Times New Roman"/>
          <w:sz w:val="24"/>
          <w:szCs w:val="24"/>
        </w:rPr>
        <w:t>la date d’expiration  du titre</w:t>
      </w:r>
      <w:r>
        <w:rPr>
          <w:rFonts w:ascii="Times New Roman" w:hAnsi="Times New Roman" w:cs="Times New Roman"/>
          <w:sz w:val="24"/>
          <w:szCs w:val="24"/>
        </w:rPr>
        <w:t>,</w:t>
      </w:r>
    </w:p>
    <w:p w14:paraId="10F51F64" w14:textId="05B6EA44" w:rsidR="00EF293C" w:rsidRPr="000C200F" w:rsidRDefault="00EF293C" w:rsidP="000738D3">
      <w:pPr>
        <w:pStyle w:val="Paragraphedeliste"/>
        <w:numPr>
          <w:ilvl w:val="0"/>
          <w:numId w:val="30"/>
        </w:numPr>
        <w:ind w:left="426" w:firstLine="0"/>
        <w:jc w:val="both"/>
        <w:rPr>
          <w:rFonts w:ascii="Times New Roman" w:hAnsi="Times New Roman" w:cs="Times New Roman"/>
          <w:sz w:val="24"/>
          <w:szCs w:val="24"/>
        </w:rPr>
      </w:pPr>
      <w:r w:rsidRPr="000C200F">
        <w:rPr>
          <w:rFonts w:ascii="Times New Roman" w:hAnsi="Times New Roman" w:cs="Times New Roman"/>
          <w:sz w:val="24"/>
          <w:szCs w:val="24"/>
        </w:rPr>
        <w:t>les substances exploitées</w:t>
      </w:r>
      <w:r>
        <w:rPr>
          <w:rFonts w:ascii="Times New Roman" w:hAnsi="Times New Roman" w:cs="Times New Roman"/>
          <w:sz w:val="24"/>
          <w:szCs w:val="24"/>
        </w:rPr>
        <w:t>,</w:t>
      </w:r>
    </w:p>
    <w:p w14:paraId="26C20517" w14:textId="77777777" w:rsidR="00EF293C" w:rsidRPr="000C200F" w:rsidRDefault="00EF293C" w:rsidP="000738D3">
      <w:pPr>
        <w:pStyle w:val="Paragraphedeliste"/>
        <w:numPr>
          <w:ilvl w:val="0"/>
          <w:numId w:val="30"/>
        </w:numPr>
        <w:ind w:left="426" w:firstLine="0"/>
        <w:jc w:val="both"/>
        <w:rPr>
          <w:rFonts w:ascii="Times New Roman" w:hAnsi="Times New Roman" w:cs="Times New Roman"/>
          <w:sz w:val="24"/>
          <w:szCs w:val="24"/>
        </w:rPr>
      </w:pPr>
      <w:r w:rsidRPr="000C200F">
        <w:rPr>
          <w:rFonts w:ascii="Times New Roman" w:hAnsi="Times New Roman" w:cs="Times New Roman"/>
          <w:sz w:val="24"/>
          <w:szCs w:val="24"/>
        </w:rPr>
        <w:t>les zones d’exploitation artisanales, interdites et protégées</w:t>
      </w:r>
      <w:r>
        <w:rPr>
          <w:rFonts w:ascii="Times New Roman" w:hAnsi="Times New Roman" w:cs="Times New Roman"/>
          <w:sz w:val="24"/>
          <w:szCs w:val="24"/>
        </w:rPr>
        <w:t>,</w:t>
      </w:r>
    </w:p>
    <w:p w14:paraId="7C49FAF3" w14:textId="2216F9CA" w:rsidR="00EF293C" w:rsidRPr="000C200F" w:rsidRDefault="00EF293C" w:rsidP="000738D3">
      <w:pPr>
        <w:pStyle w:val="Paragraphedeliste"/>
        <w:numPr>
          <w:ilvl w:val="0"/>
          <w:numId w:val="30"/>
        </w:numPr>
        <w:ind w:left="426" w:firstLine="0"/>
        <w:jc w:val="both"/>
        <w:rPr>
          <w:rFonts w:ascii="Times New Roman" w:hAnsi="Times New Roman" w:cs="Times New Roman"/>
          <w:sz w:val="24"/>
          <w:szCs w:val="24"/>
        </w:rPr>
      </w:pPr>
      <w:r w:rsidRPr="000C200F">
        <w:rPr>
          <w:rFonts w:ascii="Times New Roman" w:hAnsi="Times New Roman" w:cs="Times New Roman"/>
          <w:sz w:val="24"/>
          <w:szCs w:val="24"/>
        </w:rPr>
        <w:t>les types de permis (</w:t>
      </w:r>
      <w:r>
        <w:rPr>
          <w:rFonts w:ascii="Times New Roman" w:hAnsi="Times New Roman" w:cs="Times New Roman"/>
          <w:sz w:val="24"/>
          <w:szCs w:val="24"/>
        </w:rPr>
        <w:t>ou « </w:t>
      </w:r>
      <w:r w:rsidRPr="000C200F">
        <w:rPr>
          <w:rFonts w:ascii="Times New Roman" w:hAnsi="Times New Roman" w:cs="Times New Roman"/>
          <w:sz w:val="24"/>
          <w:szCs w:val="24"/>
        </w:rPr>
        <w:t>demandes</w:t>
      </w:r>
      <w:r>
        <w:rPr>
          <w:rFonts w:ascii="Times New Roman" w:hAnsi="Times New Roman" w:cs="Times New Roman"/>
          <w:sz w:val="24"/>
          <w:szCs w:val="24"/>
        </w:rPr>
        <w:t xml:space="preserve"> » tel qu’intitulé dans </w:t>
      </w:r>
      <w:proofErr w:type="spellStart"/>
      <w:r w:rsidR="00691D72">
        <w:rPr>
          <w:rFonts w:ascii="Times New Roman" w:hAnsi="Times New Roman" w:cs="Times New Roman"/>
          <w:sz w:val="24"/>
          <w:szCs w:val="24"/>
        </w:rPr>
        <w:t>F</w:t>
      </w:r>
      <w:r w:rsidR="00C520BA">
        <w:rPr>
          <w:rFonts w:ascii="Times New Roman" w:hAnsi="Times New Roman" w:cs="Times New Roman"/>
          <w:sz w:val="24"/>
          <w:szCs w:val="24"/>
        </w:rPr>
        <w:t>lexiC</w:t>
      </w:r>
      <w:r>
        <w:rPr>
          <w:rFonts w:ascii="Times New Roman" w:hAnsi="Times New Roman" w:cs="Times New Roman"/>
          <w:sz w:val="24"/>
          <w:szCs w:val="24"/>
        </w:rPr>
        <w:t>adastre</w:t>
      </w:r>
      <w:proofErr w:type="spellEnd"/>
      <w:r w:rsidRPr="000C200F">
        <w:rPr>
          <w:rFonts w:ascii="Times New Roman" w:hAnsi="Times New Roman" w:cs="Times New Roman"/>
          <w:sz w:val="24"/>
          <w:szCs w:val="24"/>
        </w:rPr>
        <w:t>)</w:t>
      </w:r>
    </w:p>
    <w:p w14:paraId="3D2D33F0" w14:textId="0B855B35" w:rsidR="00EF293C" w:rsidRPr="00EF293C" w:rsidRDefault="00EF293C" w:rsidP="00EF293C">
      <w:pPr>
        <w:ind w:left="426"/>
        <w:jc w:val="both"/>
        <w:rPr>
          <w:rFonts w:ascii="Times New Roman" w:hAnsi="Times New Roman"/>
          <w:color w:val="404040" w:themeColor="text1" w:themeTint="BF"/>
          <w:sz w:val="24"/>
          <w:szCs w:val="24"/>
        </w:rPr>
      </w:pPr>
      <w:r>
        <w:rPr>
          <w:rFonts w:ascii="Times New Roman" w:hAnsi="Times New Roman"/>
          <w:sz w:val="24"/>
          <w:szCs w:val="24"/>
        </w:rPr>
        <w:t>T</w:t>
      </w:r>
      <w:r w:rsidRPr="000C200F">
        <w:rPr>
          <w:rFonts w:ascii="Times New Roman" w:hAnsi="Times New Roman"/>
          <w:sz w:val="24"/>
          <w:szCs w:val="24"/>
        </w:rPr>
        <w:t>outes ces informations ne sont pas présentées sous format données ouvertes</w:t>
      </w:r>
      <w:r>
        <w:rPr>
          <w:rFonts w:ascii="Times New Roman" w:hAnsi="Times New Roman"/>
          <w:sz w:val="24"/>
          <w:szCs w:val="24"/>
        </w:rPr>
        <w:t xml:space="preserve"> </w:t>
      </w:r>
      <w:r w:rsidRPr="00EF293C">
        <w:rPr>
          <w:rFonts w:ascii="Times New Roman" w:hAnsi="Times New Roman"/>
          <w:color w:val="404040" w:themeColor="text1" w:themeTint="BF"/>
          <w:sz w:val="24"/>
          <w:szCs w:val="24"/>
        </w:rPr>
        <w:t>et ne peuvent donc pas être téléchargées.</w:t>
      </w:r>
    </w:p>
    <w:p w14:paraId="0A2E5B2D" w14:textId="7A8EA024" w:rsidR="00EF293C" w:rsidRPr="005A079D" w:rsidRDefault="00C520BA" w:rsidP="00EF293C">
      <w:pPr>
        <w:ind w:left="426"/>
        <w:jc w:val="both"/>
        <w:rPr>
          <w:rFonts w:ascii="Times New Roman" w:hAnsi="Times New Roman"/>
          <w:sz w:val="24"/>
          <w:szCs w:val="24"/>
        </w:rPr>
      </w:pPr>
      <w:r>
        <w:rPr>
          <w:rFonts w:ascii="Times New Roman" w:hAnsi="Times New Roman"/>
          <w:noProof/>
          <w:lang w:eastAsia="fr-FR"/>
        </w:rPr>
        <mc:AlternateContent>
          <mc:Choice Requires="wps">
            <w:drawing>
              <wp:anchor distT="0" distB="0" distL="114300" distR="114300" simplePos="0" relativeHeight="251674624" behindDoc="0" locked="0" layoutInCell="1" allowOverlap="1" wp14:anchorId="05705CE1" wp14:editId="74E0095B">
                <wp:simplePos x="0" y="0"/>
                <wp:positionH relativeFrom="margin">
                  <wp:posOffset>-2327</wp:posOffset>
                </wp:positionH>
                <wp:positionV relativeFrom="paragraph">
                  <wp:posOffset>467783</wp:posOffset>
                </wp:positionV>
                <wp:extent cx="6324600" cy="1871133"/>
                <wp:effectExtent l="0" t="0" r="19050" b="15240"/>
                <wp:wrapNone/>
                <wp:docPr id="23" name="Zone de texte 23"/>
                <wp:cNvGraphicFramePr/>
                <a:graphic xmlns:a="http://schemas.openxmlformats.org/drawingml/2006/main">
                  <a:graphicData uri="http://schemas.microsoft.com/office/word/2010/wordprocessingShape">
                    <wps:wsp>
                      <wps:cNvSpPr txBox="1"/>
                      <wps:spPr>
                        <a:xfrm>
                          <a:off x="0" y="0"/>
                          <a:ext cx="6324600" cy="1871133"/>
                        </a:xfrm>
                        <a:prstGeom prst="rect">
                          <a:avLst/>
                        </a:prstGeom>
                        <a:solidFill>
                          <a:schemeClr val="accent1">
                            <a:lumMod val="20000"/>
                            <a:lumOff val="80000"/>
                          </a:schemeClr>
                        </a:solidFill>
                        <a:ln w="6350">
                          <a:solidFill>
                            <a:schemeClr val="accent1">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2C1C484" w14:textId="723C31C9" w:rsidR="00E357DF" w:rsidRPr="002942D7" w:rsidRDefault="00E357DF" w:rsidP="00C520BA">
                            <w:pPr>
                              <w:spacing w:after="0" w:line="240" w:lineRule="auto"/>
                              <w:jc w:val="both"/>
                              <w:rPr>
                                <w:rFonts w:ascii="Times New Roman" w:eastAsia="Times New Roman" w:hAnsi="Times New Roman"/>
                                <w:b/>
                                <w:color w:val="002060"/>
                                <w:sz w:val="24"/>
                                <w:szCs w:val="24"/>
                                <w:lang w:eastAsia="fr-FR"/>
                              </w:rPr>
                            </w:pPr>
                            <w:r>
                              <w:rPr>
                                <w:rFonts w:ascii="Times New Roman" w:eastAsia="Times New Roman" w:hAnsi="Times New Roman"/>
                                <w:b/>
                                <w:color w:val="002060"/>
                                <w:sz w:val="24"/>
                                <w:szCs w:val="24"/>
                                <w:u w:val="single"/>
                                <w:lang w:eastAsia="fr-FR"/>
                              </w:rPr>
                              <w:t>R</w:t>
                            </w:r>
                            <w:r w:rsidRPr="002942D7">
                              <w:rPr>
                                <w:rFonts w:ascii="Times New Roman" w:eastAsia="Times New Roman" w:hAnsi="Times New Roman"/>
                                <w:b/>
                                <w:color w:val="002060"/>
                                <w:sz w:val="24"/>
                                <w:szCs w:val="24"/>
                                <w:u w:val="single"/>
                                <w:lang w:eastAsia="fr-FR"/>
                              </w:rPr>
                              <w:t>ecommand</w:t>
                            </w:r>
                            <w:r>
                              <w:rPr>
                                <w:rFonts w:ascii="Times New Roman" w:eastAsia="Times New Roman" w:hAnsi="Times New Roman"/>
                                <w:b/>
                                <w:color w:val="002060"/>
                                <w:sz w:val="24"/>
                                <w:szCs w:val="24"/>
                                <w:u w:val="single"/>
                                <w:lang w:eastAsia="fr-FR"/>
                              </w:rPr>
                              <w:t>ati</w:t>
                            </w:r>
                            <w:r w:rsidRPr="002942D7">
                              <w:rPr>
                                <w:rFonts w:ascii="Times New Roman" w:eastAsia="Times New Roman" w:hAnsi="Times New Roman"/>
                                <w:b/>
                                <w:color w:val="002060"/>
                                <w:sz w:val="24"/>
                                <w:szCs w:val="24"/>
                                <w:u w:val="single"/>
                                <w:lang w:eastAsia="fr-FR"/>
                              </w:rPr>
                              <w:t>ons</w:t>
                            </w:r>
                            <w:r w:rsidRPr="002942D7">
                              <w:rPr>
                                <w:rFonts w:ascii="Times New Roman" w:eastAsia="Times New Roman" w:hAnsi="Times New Roman"/>
                                <w:b/>
                                <w:color w:val="002060"/>
                                <w:sz w:val="24"/>
                                <w:szCs w:val="24"/>
                                <w:lang w:eastAsia="fr-FR"/>
                              </w:rPr>
                              <w:t xml:space="preserve"> : </w:t>
                            </w:r>
                            <w:r w:rsidRPr="00F32693">
                              <w:rPr>
                                <w:rFonts w:ascii="Times New Roman" w:hAnsi="Times New Roman"/>
                                <w:i/>
                                <w:color w:val="44546A" w:themeColor="text2"/>
                                <w:sz w:val="24"/>
                                <w:szCs w:val="24"/>
                              </w:rPr>
                              <w:t>(</w:t>
                            </w:r>
                            <w:r>
                              <w:rPr>
                                <w:rFonts w:ascii="Times New Roman" w:hAnsi="Times New Roman"/>
                                <w:i/>
                                <w:color w:val="44546A" w:themeColor="text2"/>
                                <w:sz w:val="24"/>
                                <w:szCs w:val="24"/>
                              </w:rPr>
                              <w:t>4</w:t>
                            </w:r>
                            <w:r w:rsidRPr="00F32693">
                              <w:rPr>
                                <w:rFonts w:ascii="Times New Roman" w:hAnsi="Times New Roman"/>
                                <w:i/>
                                <w:color w:val="44546A" w:themeColor="text2"/>
                                <w:sz w:val="24"/>
                                <w:szCs w:val="24"/>
                              </w:rPr>
                              <w:t>)</w:t>
                            </w:r>
                          </w:p>
                          <w:p w14:paraId="3E9CE47A" w14:textId="77777777" w:rsidR="00E357DF" w:rsidRDefault="00E357DF" w:rsidP="00C520BA">
                            <w:pPr>
                              <w:spacing w:after="0" w:line="240" w:lineRule="auto"/>
                              <w:jc w:val="both"/>
                              <w:rPr>
                                <w:rFonts w:ascii="Times New Roman" w:eastAsia="Times New Roman" w:hAnsi="Times New Roman"/>
                                <w:color w:val="000000"/>
                                <w:sz w:val="24"/>
                                <w:szCs w:val="24"/>
                                <w:lang w:eastAsia="fr-FR"/>
                              </w:rPr>
                            </w:pPr>
                          </w:p>
                          <w:p w14:paraId="23F60512" w14:textId="77777777" w:rsidR="00E357DF" w:rsidRDefault="00E357DF" w:rsidP="00C520BA">
                            <w:pPr>
                              <w:spacing w:after="0" w:line="240" w:lineRule="auto"/>
                              <w:jc w:val="both"/>
                              <w:rPr>
                                <w:rFonts w:ascii="Times New Roman" w:eastAsia="Times New Roman" w:hAnsi="Times New Roman"/>
                                <w:b/>
                                <w:color w:val="000000"/>
                                <w:sz w:val="24"/>
                                <w:szCs w:val="24"/>
                                <w:lang w:eastAsia="fr-FR"/>
                              </w:rPr>
                            </w:pPr>
                            <w:r w:rsidRPr="007B7A34">
                              <w:rPr>
                                <w:rFonts w:ascii="Times New Roman" w:eastAsia="Times New Roman" w:hAnsi="Times New Roman"/>
                                <w:b/>
                                <w:color w:val="000000"/>
                                <w:sz w:val="24"/>
                                <w:szCs w:val="24"/>
                                <w:lang w:eastAsia="fr-FR"/>
                              </w:rPr>
                              <w:t xml:space="preserve">Au CAMI </w:t>
                            </w:r>
                            <w:r>
                              <w:rPr>
                                <w:rFonts w:ascii="Times New Roman" w:eastAsia="Times New Roman" w:hAnsi="Times New Roman"/>
                                <w:b/>
                                <w:color w:val="000000"/>
                                <w:sz w:val="24"/>
                                <w:szCs w:val="24"/>
                                <w:lang w:eastAsia="fr-FR"/>
                              </w:rPr>
                              <w:t xml:space="preserve">de </w:t>
                            </w:r>
                            <w:r w:rsidRPr="007B7A34">
                              <w:rPr>
                                <w:rFonts w:ascii="Times New Roman" w:eastAsia="Times New Roman" w:hAnsi="Times New Roman"/>
                                <w:b/>
                                <w:color w:val="000000"/>
                                <w:sz w:val="24"/>
                                <w:szCs w:val="24"/>
                                <w:lang w:eastAsia="fr-FR"/>
                              </w:rPr>
                              <w:t>:</w:t>
                            </w:r>
                          </w:p>
                          <w:p w14:paraId="302D5AD5" w14:textId="77777777" w:rsidR="00E357DF" w:rsidRPr="007B7A34" w:rsidRDefault="00E357DF" w:rsidP="00C520BA">
                            <w:pPr>
                              <w:pStyle w:val="Paragraphedeliste"/>
                              <w:numPr>
                                <w:ilvl w:val="0"/>
                                <w:numId w:val="58"/>
                              </w:numPr>
                              <w:spacing w:after="0" w:line="240" w:lineRule="auto"/>
                              <w:jc w:val="both"/>
                              <w:rPr>
                                <w:rFonts w:ascii="Times New Roman" w:eastAsia="Times New Roman" w:hAnsi="Times New Roman" w:cs="Times New Roman"/>
                                <w:color w:val="000000"/>
                                <w:sz w:val="24"/>
                                <w:szCs w:val="24"/>
                                <w:lang w:eastAsia="fr-FR"/>
                              </w:rPr>
                            </w:pPr>
                            <w:r w:rsidRPr="007B7A34">
                              <w:rPr>
                                <w:rFonts w:ascii="Times New Roman" w:eastAsia="Times New Roman" w:hAnsi="Times New Roman" w:cs="Times New Roman"/>
                                <w:color w:val="000000"/>
                                <w:sz w:val="24"/>
                                <w:szCs w:val="24"/>
                                <w:lang w:eastAsia="fr-FR"/>
                              </w:rPr>
                              <w:t xml:space="preserve">accélérer et de finaliser les travaux </w:t>
                            </w:r>
                            <w:r>
                              <w:rPr>
                                <w:rFonts w:ascii="Times New Roman" w:eastAsia="Times New Roman" w:hAnsi="Times New Roman" w:cs="Times New Roman"/>
                                <w:color w:val="000000"/>
                                <w:sz w:val="24"/>
                                <w:szCs w:val="24"/>
                                <w:lang w:eastAsia="fr-FR"/>
                              </w:rPr>
                              <w:t>de construction</w:t>
                            </w:r>
                            <w:r w:rsidRPr="007B7A34">
                              <w:rPr>
                                <w:rFonts w:ascii="Times New Roman" w:eastAsia="Times New Roman" w:hAnsi="Times New Roman" w:cs="Times New Roman"/>
                                <w:color w:val="000000"/>
                                <w:sz w:val="24"/>
                                <w:szCs w:val="24"/>
                                <w:lang w:eastAsia="fr-FR"/>
                              </w:rPr>
                              <w:t xml:space="preserve"> de son site pour permettre </w:t>
                            </w:r>
                            <w:r>
                              <w:rPr>
                                <w:rFonts w:ascii="Times New Roman" w:eastAsia="Times New Roman" w:hAnsi="Times New Roman" w:cs="Times New Roman"/>
                                <w:color w:val="000000"/>
                                <w:sz w:val="24"/>
                                <w:szCs w:val="24"/>
                                <w:lang w:eastAsia="fr-FR"/>
                              </w:rPr>
                              <w:t>au public</w:t>
                            </w:r>
                            <w:r w:rsidRPr="007B7A34">
                              <w:rPr>
                                <w:rFonts w:ascii="Times New Roman" w:eastAsia="Times New Roman" w:hAnsi="Times New Roman" w:cs="Times New Roman"/>
                                <w:color w:val="000000"/>
                                <w:sz w:val="24"/>
                                <w:szCs w:val="24"/>
                                <w:lang w:eastAsia="fr-FR"/>
                              </w:rPr>
                              <w:t xml:space="preserve"> de consulter les informations dont les liens ont été orientés vers ce site ;</w:t>
                            </w:r>
                          </w:p>
                          <w:p w14:paraId="5702684E" w14:textId="77777777" w:rsidR="00E357DF" w:rsidRPr="007B7A34" w:rsidRDefault="00E357DF" w:rsidP="00C520BA">
                            <w:pPr>
                              <w:pStyle w:val="Paragraphedeliste"/>
                              <w:numPr>
                                <w:ilvl w:val="0"/>
                                <w:numId w:val="58"/>
                              </w:numPr>
                              <w:spacing w:after="0" w:line="240" w:lineRule="auto"/>
                              <w:jc w:val="both"/>
                              <w:rPr>
                                <w:rFonts w:ascii="Times New Roman" w:eastAsia="Times New Roman" w:hAnsi="Times New Roman" w:cs="Times New Roman"/>
                                <w:color w:val="000000"/>
                                <w:sz w:val="24"/>
                                <w:szCs w:val="24"/>
                                <w:lang w:eastAsia="fr-FR"/>
                              </w:rPr>
                            </w:pPr>
                            <w:r w:rsidRPr="007B7A34">
                              <w:rPr>
                                <w:rFonts w:ascii="Times New Roman" w:eastAsia="Times New Roman" w:hAnsi="Times New Roman" w:cs="Times New Roman"/>
                                <w:color w:val="000000"/>
                                <w:sz w:val="24"/>
                                <w:szCs w:val="24"/>
                                <w:lang w:eastAsia="fr-FR"/>
                              </w:rPr>
                              <w:t>compléter les NIF qui manquent</w:t>
                            </w:r>
                            <w:r>
                              <w:rPr>
                                <w:rFonts w:ascii="Times New Roman" w:eastAsia="Times New Roman" w:hAnsi="Times New Roman" w:cs="Times New Roman"/>
                                <w:color w:val="000000"/>
                                <w:sz w:val="24"/>
                                <w:szCs w:val="24"/>
                                <w:lang w:eastAsia="fr-FR"/>
                              </w:rPr>
                              <w:t xml:space="preserve"> dans le Registre</w:t>
                            </w:r>
                            <w:r w:rsidRPr="007B7A34">
                              <w:rPr>
                                <w:rFonts w:ascii="Times New Roman" w:eastAsia="Times New Roman" w:hAnsi="Times New Roman" w:cs="Times New Roman"/>
                                <w:color w:val="000000"/>
                                <w:sz w:val="24"/>
                                <w:szCs w:val="24"/>
                                <w:lang w:eastAsia="fr-FR"/>
                              </w:rPr>
                              <w:t xml:space="preserve"> pour certain</w:t>
                            </w:r>
                            <w:r>
                              <w:rPr>
                                <w:rFonts w:ascii="Times New Roman" w:eastAsia="Times New Roman" w:hAnsi="Times New Roman" w:cs="Times New Roman"/>
                                <w:color w:val="000000"/>
                                <w:sz w:val="24"/>
                                <w:szCs w:val="24"/>
                                <w:lang w:eastAsia="fr-FR"/>
                              </w:rPr>
                              <w:t>s titulaires des droits miniers ;</w:t>
                            </w:r>
                          </w:p>
                          <w:p w14:paraId="12686AC1" w14:textId="77777777" w:rsidR="00E357DF" w:rsidRPr="00855294" w:rsidRDefault="00E357DF" w:rsidP="00C520BA">
                            <w:pPr>
                              <w:pStyle w:val="Paragraphedeliste"/>
                              <w:numPr>
                                <w:ilvl w:val="0"/>
                                <w:numId w:val="58"/>
                              </w:numPr>
                              <w:spacing w:after="0" w:line="240" w:lineRule="auto"/>
                              <w:jc w:val="both"/>
                              <w:rPr>
                                <w:rFonts w:ascii="Times New Roman" w:eastAsia="Times New Roman" w:hAnsi="Times New Roman" w:cs="Times New Roman"/>
                                <w:color w:val="000000"/>
                                <w:sz w:val="24"/>
                                <w:szCs w:val="24"/>
                                <w:lang w:eastAsia="fr-FR"/>
                              </w:rPr>
                            </w:pPr>
                            <w:r w:rsidRPr="007B7A34">
                              <w:rPr>
                                <w:rFonts w:ascii="Times New Roman" w:eastAsia="Times New Roman" w:hAnsi="Times New Roman" w:cs="Times New Roman"/>
                                <w:color w:val="000000"/>
                                <w:sz w:val="24"/>
                                <w:szCs w:val="24"/>
                                <w:lang w:eastAsia="fr-FR"/>
                              </w:rPr>
                              <w:t>présenter</w:t>
                            </w:r>
                            <w:r>
                              <w:rPr>
                                <w:rFonts w:ascii="Times New Roman" w:eastAsia="Times New Roman" w:hAnsi="Times New Roman" w:cs="Times New Roman"/>
                                <w:color w:val="000000"/>
                                <w:sz w:val="24"/>
                                <w:szCs w:val="24"/>
                                <w:lang w:eastAsia="fr-FR"/>
                              </w:rPr>
                              <w:t xml:space="preserve"> dans le Registre</w:t>
                            </w:r>
                            <w:r w:rsidRPr="007B7A34">
                              <w:rPr>
                                <w:rFonts w:ascii="Times New Roman" w:eastAsia="Times New Roman" w:hAnsi="Times New Roman" w:cs="Times New Roman"/>
                                <w:color w:val="000000"/>
                                <w:sz w:val="24"/>
                                <w:szCs w:val="24"/>
                                <w:lang w:eastAsia="fr-FR"/>
                              </w:rPr>
                              <w:t xml:space="preserve"> les droits miniers</w:t>
                            </w:r>
                            <w:r>
                              <w:rPr>
                                <w:rFonts w:ascii="Times New Roman" w:eastAsia="Times New Roman" w:hAnsi="Times New Roman" w:cs="Times New Roman"/>
                                <w:color w:val="000000"/>
                                <w:sz w:val="24"/>
                                <w:szCs w:val="24"/>
                                <w:lang w:eastAsia="fr-FR"/>
                              </w:rPr>
                              <w:t xml:space="preserve"> octroyés</w:t>
                            </w:r>
                            <w:r w:rsidRPr="007B7A34">
                              <w:rPr>
                                <w:rFonts w:ascii="Times New Roman" w:eastAsia="Times New Roman" w:hAnsi="Times New Roman" w:cs="Times New Roman"/>
                                <w:color w:val="000000"/>
                                <w:sz w:val="24"/>
                                <w:szCs w:val="24"/>
                                <w:lang w:eastAsia="fr-FR"/>
                              </w:rPr>
                              <w:t xml:space="preserve"> par province</w:t>
                            </w:r>
                            <w:r>
                              <w:rPr>
                                <w:rFonts w:ascii="Times New Roman" w:eastAsia="Times New Roman" w:hAnsi="Times New Roman" w:cs="Times New Roman"/>
                                <w:color w:val="000000"/>
                                <w:sz w:val="24"/>
                                <w:szCs w:val="24"/>
                                <w:lang w:eastAsia="fr-FR"/>
                              </w:rPr>
                              <w:t>, suivant</w:t>
                            </w:r>
                            <w:r w:rsidRPr="007B7A34">
                              <w:rPr>
                                <w:rFonts w:ascii="Times New Roman" w:eastAsia="Times New Roman" w:hAnsi="Times New Roman" w:cs="Times New Roman"/>
                                <w:color w:val="000000"/>
                                <w:sz w:val="24"/>
                                <w:szCs w:val="24"/>
                                <w:lang w:eastAsia="fr-FR"/>
                              </w:rPr>
                              <w:t xml:space="preserve"> la configuration</w:t>
                            </w:r>
                            <w:r>
                              <w:rPr>
                                <w:rFonts w:ascii="Times New Roman" w:eastAsia="Times New Roman" w:hAnsi="Times New Roman" w:cs="Times New Roman"/>
                                <w:color w:val="000000"/>
                                <w:sz w:val="24"/>
                                <w:szCs w:val="24"/>
                                <w:lang w:eastAsia="fr-FR"/>
                              </w:rPr>
                              <w:t xml:space="preserve"> administrative actuelle ;</w:t>
                            </w:r>
                          </w:p>
                          <w:p w14:paraId="4AD42F9A" w14:textId="470400CC" w:rsidR="00E357DF" w:rsidRDefault="00E357DF" w:rsidP="00C520BA">
                            <w:pPr>
                              <w:pStyle w:val="Paragraphedeliste"/>
                              <w:numPr>
                                <w:ilvl w:val="0"/>
                                <w:numId w:val="58"/>
                              </w:numPr>
                              <w:spacing w:after="0" w:line="240" w:lineRule="auto"/>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 xml:space="preserve">rendre exploitables les données du </w:t>
                            </w:r>
                            <w:proofErr w:type="spellStart"/>
                            <w:r>
                              <w:rPr>
                                <w:rFonts w:ascii="Times New Roman" w:eastAsia="Times New Roman" w:hAnsi="Times New Roman" w:cs="Times New Roman"/>
                                <w:color w:val="000000"/>
                                <w:sz w:val="24"/>
                                <w:szCs w:val="24"/>
                                <w:lang w:eastAsia="fr-FR"/>
                              </w:rPr>
                              <w:t>FlexiCadastre</w:t>
                            </w:r>
                            <w:proofErr w:type="spellEnd"/>
                            <w:r>
                              <w:rPr>
                                <w:rFonts w:ascii="Times New Roman" w:eastAsia="Times New Roman" w:hAnsi="Times New Roman" w:cs="Times New Roman"/>
                                <w:color w:val="000000"/>
                                <w:sz w:val="24"/>
                                <w:szCs w:val="24"/>
                                <w:lang w:eastAsia="fr-FR"/>
                              </w:rPr>
                              <w:t xml:space="preserve"> en les présentant sous format données ouvertes.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05CE1" id="Zone de texte 23" o:spid="_x0000_s1027" type="#_x0000_t202" style="position:absolute;left:0;text-align:left;margin-left:-.2pt;margin-top:36.85pt;width:498pt;height:147.3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" fillcolor="#deeaf6 [660]" strokecolor="#deeaf6 [660]" strokeweight=".5pt">
                <v:textbox>
                  <w:txbxContent>
                    <w:p w14:paraId="62C1C484" w14:textId="723C31C9" w:rsidR="00E357DF" w:rsidRPr="002942D7" w:rsidRDefault="00E357DF" w:rsidP="00C520BA">
                      <w:pPr>
                        <w:spacing w:after="0" w:line="240" w:lineRule="auto"/>
                        <w:jc w:val="both"/>
                        <w:rPr>
                          <w:rFonts w:ascii="Times New Roman" w:eastAsia="Times New Roman" w:hAnsi="Times New Roman"/>
                          <w:b/>
                          <w:color w:val="002060"/>
                          <w:sz w:val="24"/>
                          <w:szCs w:val="24"/>
                          <w:lang w:eastAsia="fr-FR"/>
                        </w:rPr>
                      </w:pPr>
                      <w:r>
                        <w:rPr>
                          <w:rFonts w:ascii="Times New Roman" w:eastAsia="Times New Roman" w:hAnsi="Times New Roman"/>
                          <w:b/>
                          <w:color w:val="002060"/>
                          <w:sz w:val="24"/>
                          <w:szCs w:val="24"/>
                          <w:u w:val="single"/>
                          <w:lang w:eastAsia="fr-FR"/>
                        </w:rPr>
                        <w:t>R</w:t>
                      </w:r>
                      <w:r w:rsidRPr="002942D7">
                        <w:rPr>
                          <w:rFonts w:ascii="Times New Roman" w:eastAsia="Times New Roman" w:hAnsi="Times New Roman"/>
                          <w:b/>
                          <w:color w:val="002060"/>
                          <w:sz w:val="24"/>
                          <w:szCs w:val="24"/>
                          <w:u w:val="single"/>
                          <w:lang w:eastAsia="fr-FR"/>
                        </w:rPr>
                        <w:t>ecommand</w:t>
                      </w:r>
                      <w:r>
                        <w:rPr>
                          <w:rFonts w:ascii="Times New Roman" w:eastAsia="Times New Roman" w:hAnsi="Times New Roman"/>
                          <w:b/>
                          <w:color w:val="002060"/>
                          <w:sz w:val="24"/>
                          <w:szCs w:val="24"/>
                          <w:u w:val="single"/>
                          <w:lang w:eastAsia="fr-FR"/>
                        </w:rPr>
                        <w:t>ati</w:t>
                      </w:r>
                      <w:r w:rsidRPr="002942D7">
                        <w:rPr>
                          <w:rFonts w:ascii="Times New Roman" w:eastAsia="Times New Roman" w:hAnsi="Times New Roman"/>
                          <w:b/>
                          <w:color w:val="002060"/>
                          <w:sz w:val="24"/>
                          <w:szCs w:val="24"/>
                          <w:u w:val="single"/>
                          <w:lang w:eastAsia="fr-FR"/>
                        </w:rPr>
                        <w:t>ons</w:t>
                      </w:r>
                      <w:r w:rsidRPr="002942D7">
                        <w:rPr>
                          <w:rFonts w:ascii="Times New Roman" w:eastAsia="Times New Roman" w:hAnsi="Times New Roman"/>
                          <w:b/>
                          <w:color w:val="002060"/>
                          <w:sz w:val="24"/>
                          <w:szCs w:val="24"/>
                          <w:lang w:eastAsia="fr-FR"/>
                        </w:rPr>
                        <w:t xml:space="preserve"> : </w:t>
                      </w:r>
                      <w:r w:rsidRPr="00F32693">
                        <w:rPr>
                          <w:rFonts w:ascii="Times New Roman" w:hAnsi="Times New Roman"/>
                          <w:i/>
                          <w:color w:val="44546A" w:themeColor="text2"/>
                          <w:sz w:val="24"/>
                          <w:szCs w:val="24"/>
                        </w:rPr>
                        <w:t>(</w:t>
                      </w:r>
                      <w:r>
                        <w:rPr>
                          <w:rFonts w:ascii="Times New Roman" w:hAnsi="Times New Roman"/>
                          <w:i/>
                          <w:color w:val="44546A" w:themeColor="text2"/>
                          <w:sz w:val="24"/>
                          <w:szCs w:val="24"/>
                        </w:rPr>
                        <w:t>4</w:t>
                      </w:r>
                      <w:r w:rsidRPr="00F32693">
                        <w:rPr>
                          <w:rFonts w:ascii="Times New Roman" w:hAnsi="Times New Roman"/>
                          <w:i/>
                          <w:color w:val="44546A" w:themeColor="text2"/>
                          <w:sz w:val="24"/>
                          <w:szCs w:val="24"/>
                        </w:rPr>
                        <w:t>)</w:t>
                      </w:r>
                    </w:p>
                    <w:p w14:paraId="3E9CE47A" w14:textId="77777777" w:rsidR="00E357DF" w:rsidRDefault="00E357DF" w:rsidP="00C520BA">
                      <w:pPr>
                        <w:spacing w:after="0" w:line="240" w:lineRule="auto"/>
                        <w:jc w:val="both"/>
                        <w:rPr>
                          <w:rFonts w:ascii="Times New Roman" w:eastAsia="Times New Roman" w:hAnsi="Times New Roman"/>
                          <w:color w:val="000000"/>
                          <w:sz w:val="24"/>
                          <w:szCs w:val="24"/>
                          <w:lang w:eastAsia="fr-FR"/>
                        </w:rPr>
                      </w:pPr>
                    </w:p>
                    <w:p w14:paraId="23F60512" w14:textId="77777777" w:rsidR="00E357DF" w:rsidRDefault="00E357DF" w:rsidP="00C520BA">
                      <w:pPr>
                        <w:spacing w:after="0" w:line="240" w:lineRule="auto"/>
                        <w:jc w:val="both"/>
                        <w:rPr>
                          <w:rFonts w:ascii="Times New Roman" w:eastAsia="Times New Roman" w:hAnsi="Times New Roman"/>
                          <w:b/>
                          <w:color w:val="000000"/>
                          <w:sz w:val="24"/>
                          <w:szCs w:val="24"/>
                          <w:lang w:eastAsia="fr-FR"/>
                        </w:rPr>
                      </w:pPr>
                      <w:r w:rsidRPr="007B7A34">
                        <w:rPr>
                          <w:rFonts w:ascii="Times New Roman" w:eastAsia="Times New Roman" w:hAnsi="Times New Roman"/>
                          <w:b/>
                          <w:color w:val="000000"/>
                          <w:sz w:val="24"/>
                          <w:szCs w:val="24"/>
                          <w:lang w:eastAsia="fr-FR"/>
                        </w:rPr>
                        <w:t xml:space="preserve">Au CAMI </w:t>
                      </w:r>
                      <w:r>
                        <w:rPr>
                          <w:rFonts w:ascii="Times New Roman" w:eastAsia="Times New Roman" w:hAnsi="Times New Roman"/>
                          <w:b/>
                          <w:color w:val="000000"/>
                          <w:sz w:val="24"/>
                          <w:szCs w:val="24"/>
                          <w:lang w:eastAsia="fr-FR"/>
                        </w:rPr>
                        <w:t xml:space="preserve">de </w:t>
                      </w:r>
                      <w:r w:rsidRPr="007B7A34">
                        <w:rPr>
                          <w:rFonts w:ascii="Times New Roman" w:eastAsia="Times New Roman" w:hAnsi="Times New Roman"/>
                          <w:b/>
                          <w:color w:val="000000"/>
                          <w:sz w:val="24"/>
                          <w:szCs w:val="24"/>
                          <w:lang w:eastAsia="fr-FR"/>
                        </w:rPr>
                        <w:t>:</w:t>
                      </w:r>
                    </w:p>
                    <w:p w14:paraId="302D5AD5" w14:textId="77777777" w:rsidR="00E357DF" w:rsidRPr="007B7A34" w:rsidRDefault="00E357DF" w:rsidP="00C520BA">
                      <w:pPr>
                        <w:pStyle w:val="Paragraphedeliste"/>
                        <w:numPr>
                          <w:ilvl w:val="0"/>
                          <w:numId w:val="58"/>
                        </w:numPr>
                        <w:spacing w:after="0" w:line="240" w:lineRule="auto"/>
                        <w:jc w:val="both"/>
                        <w:rPr>
                          <w:rFonts w:ascii="Times New Roman" w:eastAsia="Times New Roman" w:hAnsi="Times New Roman" w:cs="Times New Roman"/>
                          <w:color w:val="000000"/>
                          <w:sz w:val="24"/>
                          <w:szCs w:val="24"/>
                          <w:lang w:eastAsia="fr-FR"/>
                        </w:rPr>
                      </w:pPr>
                      <w:r w:rsidRPr="007B7A34">
                        <w:rPr>
                          <w:rFonts w:ascii="Times New Roman" w:eastAsia="Times New Roman" w:hAnsi="Times New Roman" w:cs="Times New Roman"/>
                          <w:color w:val="000000"/>
                          <w:sz w:val="24"/>
                          <w:szCs w:val="24"/>
                          <w:lang w:eastAsia="fr-FR"/>
                        </w:rPr>
                        <w:t xml:space="preserve">accélérer et de finaliser les travaux </w:t>
                      </w:r>
                      <w:r>
                        <w:rPr>
                          <w:rFonts w:ascii="Times New Roman" w:eastAsia="Times New Roman" w:hAnsi="Times New Roman" w:cs="Times New Roman"/>
                          <w:color w:val="000000"/>
                          <w:sz w:val="24"/>
                          <w:szCs w:val="24"/>
                          <w:lang w:eastAsia="fr-FR"/>
                        </w:rPr>
                        <w:t>de construction</w:t>
                      </w:r>
                      <w:r w:rsidRPr="007B7A34">
                        <w:rPr>
                          <w:rFonts w:ascii="Times New Roman" w:eastAsia="Times New Roman" w:hAnsi="Times New Roman" w:cs="Times New Roman"/>
                          <w:color w:val="000000"/>
                          <w:sz w:val="24"/>
                          <w:szCs w:val="24"/>
                          <w:lang w:eastAsia="fr-FR"/>
                        </w:rPr>
                        <w:t xml:space="preserve"> de son site pour permettre </w:t>
                      </w:r>
                      <w:r>
                        <w:rPr>
                          <w:rFonts w:ascii="Times New Roman" w:eastAsia="Times New Roman" w:hAnsi="Times New Roman" w:cs="Times New Roman"/>
                          <w:color w:val="000000"/>
                          <w:sz w:val="24"/>
                          <w:szCs w:val="24"/>
                          <w:lang w:eastAsia="fr-FR"/>
                        </w:rPr>
                        <w:t>au public</w:t>
                      </w:r>
                      <w:r w:rsidRPr="007B7A34">
                        <w:rPr>
                          <w:rFonts w:ascii="Times New Roman" w:eastAsia="Times New Roman" w:hAnsi="Times New Roman" w:cs="Times New Roman"/>
                          <w:color w:val="000000"/>
                          <w:sz w:val="24"/>
                          <w:szCs w:val="24"/>
                          <w:lang w:eastAsia="fr-FR"/>
                        </w:rPr>
                        <w:t xml:space="preserve"> de consulter les informations dont les liens ont été orientés vers ce site ;</w:t>
                      </w:r>
                    </w:p>
                    <w:p w14:paraId="5702684E" w14:textId="77777777" w:rsidR="00E357DF" w:rsidRPr="007B7A34" w:rsidRDefault="00E357DF" w:rsidP="00C520BA">
                      <w:pPr>
                        <w:pStyle w:val="Paragraphedeliste"/>
                        <w:numPr>
                          <w:ilvl w:val="0"/>
                          <w:numId w:val="58"/>
                        </w:numPr>
                        <w:spacing w:after="0" w:line="240" w:lineRule="auto"/>
                        <w:jc w:val="both"/>
                        <w:rPr>
                          <w:rFonts w:ascii="Times New Roman" w:eastAsia="Times New Roman" w:hAnsi="Times New Roman" w:cs="Times New Roman"/>
                          <w:color w:val="000000"/>
                          <w:sz w:val="24"/>
                          <w:szCs w:val="24"/>
                          <w:lang w:eastAsia="fr-FR"/>
                        </w:rPr>
                      </w:pPr>
                      <w:r w:rsidRPr="007B7A34">
                        <w:rPr>
                          <w:rFonts w:ascii="Times New Roman" w:eastAsia="Times New Roman" w:hAnsi="Times New Roman" w:cs="Times New Roman"/>
                          <w:color w:val="000000"/>
                          <w:sz w:val="24"/>
                          <w:szCs w:val="24"/>
                          <w:lang w:eastAsia="fr-FR"/>
                        </w:rPr>
                        <w:t>compléter les NIF qui manquent</w:t>
                      </w:r>
                      <w:r>
                        <w:rPr>
                          <w:rFonts w:ascii="Times New Roman" w:eastAsia="Times New Roman" w:hAnsi="Times New Roman" w:cs="Times New Roman"/>
                          <w:color w:val="000000"/>
                          <w:sz w:val="24"/>
                          <w:szCs w:val="24"/>
                          <w:lang w:eastAsia="fr-FR"/>
                        </w:rPr>
                        <w:t xml:space="preserve"> dans le Registre</w:t>
                      </w:r>
                      <w:r w:rsidRPr="007B7A34">
                        <w:rPr>
                          <w:rFonts w:ascii="Times New Roman" w:eastAsia="Times New Roman" w:hAnsi="Times New Roman" w:cs="Times New Roman"/>
                          <w:color w:val="000000"/>
                          <w:sz w:val="24"/>
                          <w:szCs w:val="24"/>
                          <w:lang w:eastAsia="fr-FR"/>
                        </w:rPr>
                        <w:t xml:space="preserve"> pour certain</w:t>
                      </w:r>
                      <w:r>
                        <w:rPr>
                          <w:rFonts w:ascii="Times New Roman" w:eastAsia="Times New Roman" w:hAnsi="Times New Roman" w:cs="Times New Roman"/>
                          <w:color w:val="000000"/>
                          <w:sz w:val="24"/>
                          <w:szCs w:val="24"/>
                          <w:lang w:eastAsia="fr-FR"/>
                        </w:rPr>
                        <w:t>s titulaires des droits miniers ;</w:t>
                      </w:r>
                    </w:p>
                    <w:p w14:paraId="12686AC1" w14:textId="77777777" w:rsidR="00E357DF" w:rsidRPr="00855294" w:rsidRDefault="00E357DF" w:rsidP="00C520BA">
                      <w:pPr>
                        <w:pStyle w:val="Paragraphedeliste"/>
                        <w:numPr>
                          <w:ilvl w:val="0"/>
                          <w:numId w:val="58"/>
                        </w:numPr>
                        <w:spacing w:after="0" w:line="240" w:lineRule="auto"/>
                        <w:jc w:val="both"/>
                        <w:rPr>
                          <w:rFonts w:ascii="Times New Roman" w:eastAsia="Times New Roman" w:hAnsi="Times New Roman" w:cs="Times New Roman"/>
                          <w:color w:val="000000"/>
                          <w:sz w:val="24"/>
                          <w:szCs w:val="24"/>
                          <w:lang w:eastAsia="fr-FR"/>
                        </w:rPr>
                      </w:pPr>
                      <w:r w:rsidRPr="007B7A34">
                        <w:rPr>
                          <w:rFonts w:ascii="Times New Roman" w:eastAsia="Times New Roman" w:hAnsi="Times New Roman" w:cs="Times New Roman"/>
                          <w:color w:val="000000"/>
                          <w:sz w:val="24"/>
                          <w:szCs w:val="24"/>
                          <w:lang w:eastAsia="fr-FR"/>
                        </w:rPr>
                        <w:t>présenter</w:t>
                      </w:r>
                      <w:r>
                        <w:rPr>
                          <w:rFonts w:ascii="Times New Roman" w:eastAsia="Times New Roman" w:hAnsi="Times New Roman" w:cs="Times New Roman"/>
                          <w:color w:val="000000"/>
                          <w:sz w:val="24"/>
                          <w:szCs w:val="24"/>
                          <w:lang w:eastAsia="fr-FR"/>
                        </w:rPr>
                        <w:t xml:space="preserve"> dans le Registre</w:t>
                      </w:r>
                      <w:r w:rsidRPr="007B7A34">
                        <w:rPr>
                          <w:rFonts w:ascii="Times New Roman" w:eastAsia="Times New Roman" w:hAnsi="Times New Roman" w:cs="Times New Roman"/>
                          <w:color w:val="000000"/>
                          <w:sz w:val="24"/>
                          <w:szCs w:val="24"/>
                          <w:lang w:eastAsia="fr-FR"/>
                        </w:rPr>
                        <w:t xml:space="preserve"> les droits miniers</w:t>
                      </w:r>
                      <w:r>
                        <w:rPr>
                          <w:rFonts w:ascii="Times New Roman" w:eastAsia="Times New Roman" w:hAnsi="Times New Roman" w:cs="Times New Roman"/>
                          <w:color w:val="000000"/>
                          <w:sz w:val="24"/>
                          <w:szCs w:val="24"/>
                          <w:lang w:eastAsia="fr-FR"/>
                        </w:rPr>
                        <w:t xml:space="preserve"> octroyés</w:t>
                      </w:r>
                      <w:r w:rsidRPr="007B7A34">
                        <w:rPr>
                          <w:rFonts w:ascii="Times New Roman" w:eastAsia="Times New Roman" w:hAnsi="Times New Roman" w:cs="Times New Roman"/>
                          <w:color w:val="000000"/>
                          <w:sz w:val="24"/>
                          <w:szCs w:val="24"/>
                          <w:lang w:eastAsia="fr-FR"/>
                        </w:rPr>
                        <w:t xml:space="preserve"> par province</w:t>
                      </w:r>
                      <w:r>
                        <w:rPr>
                          <w:rFonts w:ascii="Times New Roman" w:eastAsia="Times New Roman" w:hAnsi="Times New Roman" w:cs="Times New Roman"/>
                          <w:color w:val="000000"/>
                          <w:sz w:val="24"/>
                          <w:szCs w:val="24"/>
                          <w:lang w:eastAsia="fr-FR"/>
                        </w:rPr>
                        <w:t>, suivant</w:t>
                      </w:r>
                      <w:r w:rsidRPr="007B7A34">
                        <w:rPr>
                          <w:rFonts w:ascii="Times New Roman" w:eastAsia="Times New Roman" w:hAnsi="Times New Roman" w:cs="Times New Roman"/>
                          <w:color w:val="000000"/>
                          <w:sz w:val="24"/>
                          <w:szCs w:val="24"/>
                          <w:lang w:eastAsia="fr-FR"/>
                        </w:rPr>
                        <w:t xml:space="preserve"> la configuration</w:t>
                      </w:r>
                      <w:r>
                        <w:rPr>
                          <w:rFonts w:ascii="Times New Roman" w:eastAsia="Times New Roman" w:hAnsi="Times New Roman" w:cs="Times New Roman"/>
                          <w:color w:val="000000"/>
                          <w:sz w:val="24"/>
                          <w:szCs w:val="24"/>
                          <w:lang w:eastAsia="fr-FR"/>
                        </w:rPr>
                        <w:t xml:space="preserve"> administrative actuelle ;</w:t>
                      </w:r>
                    </w:p>
                    <w:p w14:paraId="4AD42F9A" w14:textId="470400CC" w:rsidR="00E357DF" w:rsidRDefault="00E357DF" w:rsidP="00C520BA">
                      <w:pPr>
                        <w:pStyle w:val="Paragraphedeliste"/>
                        <w:numPr>
                          <w:ilvl w:val="0"/>
                          <w:numId w:val="58"/>
                        </w:numPr>
                        <w:spacing w:after="0" w:line="240" w:lineRule="auto"/>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 xml:space="preserve">rendre exploitables les données du </w:t>
                      </w:r>
                      <w:proofErr w:type="spellStart"/>
                      <w:r>
                        <w:rPr>
                          <w:rFonts w:ascii="Times New Roman" w:eastAsia="Times New Roman" w:hAnsi="Times New Roman" w:cs="Times New Roman"/>
                          <w:color w:val="000000"/>
                          <w:sz w:val="24"/>
                          <w:szCs w:val="24"/>
                          <w:lang w:eastAsia="fr-FR"/>
                        </w:rPr>
                        <w:t>FlexiCadastre</w:t>
                      </w:r>
                      <w:proofErr w:type="spellEnd"/>
                      <w:r>
                        <w:rPr>
                          <w:rFonts w:ascii="Times New Roman" w:eastAsia="Times New Roman" w:hAnsi="Times New Roman" w:cs="Times New Roman"/>
                          <w:color w:val="000000"/>
                          <w:sz w:val="24"/>
                          <w:szCs w:val="24"/>
                          <w:lang w:eastAsia="fr-FR"/>
                        </w:rPr>
                        <w:t xml:space="preserve"> en les présentant sous format données ouvertes.</w:t>
                      </w:r>
                    </w:p>
                  </w:txbxContent>
                </v:textbox>
                <w10:wrap anchorx="margin"/>
              </v:shape>
            </w:pict>
          </mc:Fallback>
        </mc:AlternateContent>
      </w:r>
      <w:r w:rsidR="00EF293C" w:rsidRPr="005A079D">
        <w:rPr>
          <w:rFonts w:ascii="Times New Roman" w:hAnsi="Times New Roman"/>
          <w:sz w:val="24"/>
          <w:szCs w:val="24"/>
        </w:rPr>
        <w:t xml:space="preserve">Les nouvelles provinces n’étant pas encore configurées dans le </w:t>
      </w:r>
      <w:proofErr w:type="spellStart"/>
      <w:r w:rsidR="00EF293C" w:rsidRPr="005A079D">
        <w:rPr>
          <w:rFonts w:ascii="Times New Roman" w:hAnsi="Times New Roman"/>
          <w:sz w:val="24"/>
          <w:szCs w:val="24"/>
        </w:rPr>
        <w:t>FlexiCadastre</w:t>
      </w:r>
      <w:proofErr w:type="spellEnd"/>
      <w:r w:rsidR="00EF293C" w:rsidRPr="005A079D">
        <w:rPr>
          <w:rFonts w:ascii="Times New Roman" w:hAnsi="Times New Roman"/>
          <w:sz w:val="24"/>
          <w:szCs w:val="24"/>
        </w:rPr>
        <w:t xml:space="preserve">, le registre donne la répartition des droits miniers par province </w:t>
      </w:r>
      <w:r w:rsidR="00EF293C">
        <w:rPr>
          <w:rFonts w:ascii="Times New Roman" w:hAnsi="Times New Roman"/>
          <w:sz w:val="24"/>
          <w:szCs w:val="24"/>
        </w:rPr>
        <w:t>dans l’ancienne configuration (</w:t>
      </w:r>
      <w:r w:rsidR="00EF293C" w:rsidRPr="005A079D">
        <w:rPr>
          <w:rFonts w:ascii="Times New Roman" w:hAnsi="Times New Roman"/>
          <w:sz w:val="24"/>
          <w:szCs w:val="24"/>
        </w:rPr>
        <w:t>avant le découpage</w:t>
      </w:r>
      <w:r w:rsidR="00EF293C">
        <w:rPr>
          <w:rFonts w:ascii="Times New Roman" w:hAnsi="Times New Roman"/>
          <w:sz w:val="24"/>
          <w:szCs w:val="24"/>
        </w:rPr>
        <w:t>)</w:t>
      </w:r>
      <w:r w:rsidR="00EF293C" w:rsidRPr="005A079D">
        <w:rPr>
          <w:rFonts w:ascii="Times New Roman" w:hAnsi="Times New Roman"/>
          <w:sz w:val="24"/>
          <w:szCs w:val="24"/>
        </w:rPr>
        <w:t>.</w:t>
      </w:r>
    </w:p>
    <w:p w14:paraId="2F6C90C9" w14:textId="6D29E04B" w:rsidR="0027285F" w:rsidRDefault="0027285F">
      <w:pPr>
        <w:rPr>
          <w:rFonts w:ascii="Times New Roman" w:hAnsi="Times New Roman"/>
          <w:color w:val="FF0000"/>
          <w:sz w:val="24"/>
          <w:szCs w:val="24"/>
        </w:rPr>
      </w:pPr>
      <w:r>
        <w:rPr>
          <w:rFonts w:ascii="Times New Roman" w:hAnsi="Times New Roman"/>
          <w:color w:val="FF0000"/>
          <w:sz w:val="24"/>
          <w:szCs w:val="24"/>
        </w:rPr>
        <w:br w:type="page"/>
      </w:r>
    </w:p>
    <w:p w14:paraId="72FB34C6" w14:textId="689026EE" w:rsidR="00EF293C" w:rsidRPr="00EF293C" w:rsidRDefault="000668F9" w:rsidP="00EF293C">
      <w:pPr>
        <w:pStyle w:val="Titre2"/>
        <w:ind w:left="142"/>
        <w:jc w:val="both"/>
        <w:rPr>
          <w:rFonts w:ascii="Times New Roman" w:hAnsi="Times New Roman" w:cs="Times New Roman"/>
          <w:sz w:val="24"/>
          <w:szCs w:val="24"/>
        </w:rPr>
      </w:pPr>
      <w:bookmarkStart w:id="130" w:name="_Toc516764330"/>
      <w:bookmarkStart w:id="131" w:name="_Toc518468075"/>
      <w:r>
        <w:rPr>
          <w:rFonts w:ascii="Times New Roman" w:hAnsi="Times New Roman" w:cs="Times New Roman"/>
          <w:sz w:val="24"/>
          <w:szCs w:val="24"/>
        </w:rPr>
        <w:lastRenderedPageBreak/>
        <w:t>II</w:t>
      </w:r>
      <w:r w:rsidR="00EF293C" w:rsidRPr="00EF293C">
        <w:rPr>
          <w:rFonts w:ascii="Times New Roman" w:hAnsi="Times New Roman" w:cs="Times New Roman"/>
          <w:sz w:val="24"/>
          <w:szCs w:val="24"/>
        </w:rPr>
        <w:t>I.2. Registre des droits pétroliers</w:t>
      </w:r>
      <w:bookmarkEnd w:id="130"/>
      <w:bookmarkEnd w:id="131"/>
    </w:p>
    <w:p w14:paraId="2A249441" w14:textId="77777777" w:rsidR="00EF293C" w:rsidRDefault="00EF293C" w:rsidP="00EF293C">
      <w:pPr>
        <w:ind w:left="142"/>
        <w:jc w:val="both"/>
        <w:rPr>
          <w:rFonts w:ascii="Times New Roman" w:hAnsi="Times New Roman"/>
          <w:sz w:val="24"/>
          <w:szCs w:val="24"/>
        </w:rPr>
      </w:pPr>
      <w:r w:rsidRPr="000C200F">
        <w:rPr>
          <w:rFonts w:ascii="Times New Roman" w:hAnsi="Times New Roman"/>
          <w:sz w:val="24"/>
          <w:szCs w:val="24"/>
        </w:rPr>
        <w:t>Le registre des droits pétroliers est jusqu’à ce jour tenu manuellement par le Secrétariat Général des Hydrocarbures</w:t>
      </w:r>
      <w:r>
        <w:rPr>
          <w:rFonts w:ascii="Times New Roman" w:hAnsi="Times New Roman"/>
          <w:sz w:val="24"/>
          <w:szCs w:val="24"/>
        </w:rPr>
        <w:t>. Néanmoins, l</w:t>
      </w:r>
      <w:r w:rsidRPr="000C200F">
        <w:rPr>
          <w:rFonts w:ascii="Times New Roman" w:hAnsi="Times New Roman"/>
          <w:sz w:val="24"/>
          <w:szCs w:val="24"/>
        </w:rPr>
        <w:t xml:space="preserve">e ST </w:t>
      </w:r>
      <w:r>
        <w:rPr>
          <w:rFonts w:ascii="Times New Roman" w:hAnsi="Times New Roman"/>
          <w:sz w:val="24"/>
          <w:szCs w:val="24"/>
        </w:rPr>
        <w:t>l’a obtenu</w:t>
      </w:r>
      <w:r w:rsidR="0027285F" w:rsidRPr="00C520BA">
        <w:rPr>
          <w:rStyle w:val="Lienhypertexte"/>
          <w:rFonts w:ascii="Times New Roman" w:hAnsi="Times New Roman"/>
          <w:sz w:val="24"/>
          <w:szCs w:val="24"/>
          <w:u w:val="none"/>
        </w:rPr>
        <w:t xml:space="preserve">, </w:t>
      </w:r>
      <w:r w:rsidRPr="00EF293C">
        <w:rPr>
          <w:rStyle w:val="Lienhypertexte"/>
          <w:rFonts w:ascii="Times New Roman" w:hAnsi="Times New Roman"/>
          <w:color w:val="404040" w:themeColor="text1" w:themeTint="BF"/>
          <w:sz w:val="24"/>
          <w:szCs w:val="24"/>
          <w:u w:val="none"/>
        </w:rPr>
        <w:t>compilé et</w:t>
      </w:r>
      <w:r w:rsidRPr="00EF293C">
        <w:rPr>
          <w:rStyle w:val="Lienhypertexte"/>
          <w:rFonts w:ascii="Times New Roman" w:hAnsi="Times New Roman"/>
          <w:color w:val="404040" w:themeColor="text1" w:themeTint="BF"/>
          <w:sz w:val="24"/>
          <w:szCs w:val="24"/>
        </w:rPr>
        <w:t xml:space="preserve"> </w:t>
      </w:r>
      <w:r w:rsidRPr="000C200F">
        <w:rPr>
          <w:rFonts w:ascii="Times New Roman" w:hAnsi="Times New Roman"/>
          <w:sz w:val="24"/>
          <w:szCs w:val="24"/>
        </w:rPr>
        <w:t xml:space="preserve">publié sur </w:t>
      </w:r>
      <w:r w:rsidRPr="00481D71">
        <w:rPr>
          <w:rFonts w:ascii="Times New Roman" w:hAnsi="Times New Roman"/>
          <w:sz w:val="24"/>
          <w:szCs w:val="24"/>
        </w:rPr>
        <w:t>le site de l’ITIE-RDC</w:t>
      </w:r>
      <w:r>
        <w:rPr>
          <w:rStyle w:val="Appelnotedebasdep"/>
          <w:rFonts w:ascii="Times New Roman" w:hAnsi="Times New Roman"/>
          <w:sz w:val="24"/>
          <w:szCs w:val="24"/>
        </w:rPr>
        <w:footnoteReference w:id="20"/>
      </w:r>
      <w:r>
        <w:rPr>
          <w:rFonts w:ascii="Times New Roman" w:hAnsi="Times New Roman"/>
          <w:sz w:val="24"/>
          <w:szCs w:val="24"/>
        </w:rPr>
        <w:t>.</w:t>
      </w:r>
      <w:r w:rsidRPr="000C200F">
        <w:rPr>
          <w:rFonts w:ascii="Times New Roman" w:hAnsi="Times New Roman"/>
          <w:sz w:val="24"/>
          <w:szCs w:val="24"/>
        </w:rPr>
        <w:t xml:space="preserve"> </w:t>
      </w:r>
    </w:p>
    <w:p w14:paraId="5858530F" w14:textId="77777777" w:rsidR="00EF293C" w:rsidRPr="000C200F" w:rsidRDefault="00EF293C" w:rsidP="00EF293C">
      <w:pPr>
        <w:ind w:left="142"/>
        <w:jc w:val="both"/>
        <w:rPr>
          <w:rFonts w:ascii="Times New Roman" w:hAnsi="Times New Roman"/>
          <w:sz w:val="24"/>
          <w:szCs w:val="24"/>
        </w:rPr>
      </w:pPr>
      <w:r>
        <w:rPr>
          <w:rFonts w:ascii="Times New Roman" w:hAnsi="Times New Roman"/>
          <w:sz w:val="24"/>
          <w:szCs w:val="24"/>
        </w:rPr>
        <w:t>Ce registre contient l</w:t>
      </w:r>
      <w:r w:rsidRPr="000C200F">
        <w:rPr>
          <w:rFonts w:ascii="Times New Roman" w:hAnsi="Times New Roman"/>
          <w:sz w:val="24"/>
          <w:szCs w:val="24"/>
        </w:rPr>
        <w:t>es informations</w:t>
      </w:r>
      <w:r>
        <w:rPr>
          <w:rFonts w:ascii="Times New Roman" w:hAnsi="Times New Roman"/>
          <w:sz w:val="24"/>
          <w:szCs w:val="24"/>
        </w:rPr>
        <w:t xml:space="preserve"> </w:t>
      </w:r>
      <w:r w:rsidRPr="000C200F">
        <w:rPr>
          <w:rFonts w:ascii="Times New Roman" w:hAnsi="Times New Roman"/>
          <w:sz w:val="24"/>
          <w:szCs w:val="24"/>
        </w:rPr>
        <w:t>suivantes :</w:t>
      </w:r>
    </w:p>
    <w:p w14:paraId="4F77514C" w14:textId="77777777" w:rsidR="00EF293C" w:rsidRPr="000C200F" w:rsidRDefault="00EF293C" w:rsidP="000738D3">
      <w:pPr>
        <w:pStyle w:val="Paragraphedeliste"/>
        <w:numPr>
          <w:ilvl w:val="0"/>
          <w:numId w:val="31"/>
        </w:numPr>
        <w:spacing w:after="0"/>
        <w:ind w:left="709" w:hanging="283"/>
        <w:jc w:val="both"/>
        <w:rPr>
          <w:rFonts w:ascii="Times New Roman" w:hAnsi="Times New Roman" w:cs="Times New Roman"/>
          <w:sz w:val="24"/>
          <w:szCs w:val="24"/>
        </w:rPr>
      </w:pPr>
      <w:r w:rsidRPr="000C200F">
        <w:rPr>
          <w:rFonts w:ascii="Times New Roman" w:hAnsi="Times New Roman" w:cs="Times New Roman"/>
          <w:sz w:val="24"/>
          <w:szCs w:val="24"/>
        </w:rPr>
        <w:t>le nom de l’opérateur et son NIF ;</w:t>
      </w:r>
    </w:p>
    <w:p w14:paraId="2F76AB33" w14:textId="77777777" w:rsidR="00EF293C" w:rsidRPr="000C200F" w:rsidRDefault="00EF293C" w:rsidP="000738D3">
      <w:pPr>
        <w:pStyle w:val="Paragraphedeliste"/>
        <w:numPr>
          <w:ilvl w:val="0"/>
          <w:numId w:val="31"/>
        </w:numPr>
        <w:spacing w:after="0"/>
        <w:ind w:left="709" w:hanging="283"/>
        <w:jc w:val="both"/>
        <w:rPr>
          <w:rFonts w:ascii="Times New Roman" w:hAnsi="Times New Roman" w:cs="Times New Roman"/>
          <w:sz w:val="24"/>
          <w:szCs w:val="24"/>
        </w:rPr>
      </w:pPr>
      <w:r w:rsidRPr="000C200F">
        <w:rPr>
          <w:rFonts w:ascii="Times New Roman" w:hAnsi="Times New Roman" w:cs="Times New Roman"/>
          <w:sz w:val="24"/>
          <w:szCs w:val="24"/>
        </w:rPr>
        <w:t>le type de permis ;</w:t>
      </w:r>
    </w:p>
    <w:p w14:paraId="76928E27" w14:textId="77777777" w:rsidR="00EF293C" w:rsidRPr="000C200F" w:rsidRDefault="00EF293C" w:rsidP="000738D3">
      <w:pPr>
        <w:pStyle w:val="Paragraphedeliste"/>
        <w:numPr>
          <w:ilvl w:val="0"/>
          <w:numId w:val="31"/>
        </w:numPr>
        <w:spacing w:after="0"/>
        <w:ind w:left="709" w:hanging="283"/>
        <w:jc w:val="both"/>
        <w:rPr>
          <w:rFonts w:ascii="Times New Roman" w:hAnsi="Times New Roman" w:cs="Times New Roman"/>
          <w:sz w:val="24"/>
          <w:szCs w:val="24"/>
        </w:rPr>
      </w:pPr>
      <w:r w:rsidRPr="000C200F">
        <w:rPr>
          <w:rFonts w:ascii="Times New Roman" w:hAnsi="Times New Roman" w:cs="Times New Roman"/>
          <w:sz w:val="24"/>
          <w:szCs w:val="24"/>
        </w:rPr>
        <w:t>le type de contrat ;</w:t>
      </w:r>
    </w:p>
    <w:p w14:paraId="6F646B12" w14:textId="77777777" w:rsidR="00EF293C" w:rsidRPr="000C200F" w:rsidRDefault="00EF293C" w:rsidP="000738D3">
      <w:pPr>
        <w:pStyle w:val="Paragraphedeliste"/>
        <w:numPr>
          <w:ilvl w:val="0"/>
          <w:numId w:val="31"/>
        </w:numPr>
        <w:spacing w:after="0"/>
        <w:ind w:left="709" w:hanging="283"/>
        <w:jc w:val="both"/>
        <w:rPr>
          <w:rFonts w:ascii="Times New Roman" w:hAnsi="Times New Roman" w:cs="Times New Roman"/>
          <w:sz w:val="24"/>
          <w:szCs w:val="24"/>
        </w:rPr>
      </w:pPr>
      <w:r w:rsidRPr="000C200F">
        <w:rPr>
          <w:rFonts w:ascii="Times New Roman" w:hAnsi="Times New Roman" w:cs="Times New Roman"/>
          <w:sz w:val="24"/>
          <w:szCs w:val="24"/>
        </w:rPr>
        <w:t>la superficie du périmètre ;</w:t>
      </w:r>
    </w:p>
    <w:p w14:paraId="7A6C89F2" w14:textId="77777777" w:rsidR="00EF293C" w:rsidRPr="000C200F" w:rsidRDefault="00EF293C" w:rsidP="000738D3">
      <w:pPr>
        <w:pStyle w:val="Paragraphedeliste"/>
        <w:numPr>
          <w:ilvl w:val="0"/>
          <w:numId w:val="31"/>
        </w:numPr>
        <w:spacing w:after="0"/>
        <w:ind w:left="709" w:hanging="283"/>
        <w:jc w:val="both"/>
        <w:rPr>
          <w:rFonts w:ascii="Times New Roman" w:hAnsi="Times New Roman" w:cs="Times New Roman"/>
          <w:sz w:val="24"/>
          <w:szCs w:val="24"/>
        </w:rPr>
      </w:pPr>
      <w:r w:rsidRPr="000C200F">
        <w:rPr>
          <w:rFonts w:ascii="Times New Roman" w:hAnsi="Times New Roman" w:cs="Times New Roman"/>
          <w:sz w:val="24"/>
          <w:szCs w:val="24"/>
        </w:rPr>
        <w:t>les coordonnées géographiques ;</w:t>
      </w:r>
    </w:p>
    <w:p w14:paraId="30F50539" w14:textId="77777777" w:rsidR="00EF293C" w:rsidRPr="000C200F" w:rsidRDefault="00EF293C" w:rsidP="000738D3">
      <w:pPr>
        <w:pStyle w:val="Paragraphedeliste"/>
        <w:numPr>
          <w:ilvl w:val="0"/>
          <w:numId w:val="31"/>
        </w:numPr>
        <w:spacing w:after="0"/>
        <w:ind w:left="709" w:hanging="283"/>
        <w:jc w:val="both"/>
        <w:rPr>
          <w:rFonts w:ascii="Times New Roman" w:hAnsi="Times New Roman" w:cs="Times New Roman"/>
          <w:sz w:val="24"/>
          <w:szCs w:val="24"/>
        </w:rPr>
      </w:pPr>
      <w:r w:rsidRPr="000C200F">
        <w:rPr>
          <w:rFonts w:ascii="Times New Roman" w:hAnsi="Times New Roman" w:cs="Times New Roman"/>
          <w:sz w:val="24"/>
          <w:szCs w:val="24"/>
        </w:rPr>
        <w:t xml:space="preserve">la date de demande du permis ; </w:t>
      </w:r>
    </w:p>
    <w:p w14:paraId="42D61C5F" w14:textId="77777777" w:rsidR="00EF293C" w:rsidRPr="000C200F" w:rsidRDefault="00EF293C" w:rsidP="000738D3">
      <w:pPr>
        <w:pStyle w:val="Paragraphedeliste"/>
        <w:numPr>
          <w:ilvl w:val="0"/>
          <w:numId w:val="31"/>
        </w:numPr>
        <w:spacing w:after="0"/>
        <w:ind w:left="709" w:hanging="283"/>
        <w:jc w:val="both"/>
        <w:rPr>
          <w:rFonts w:ascii="Times New Roman" w:hAnsi="Times New Roman" w:cs="Times New Roman"/>
          <w:sz w:val="24"/>
          <w:szCs w:val="24"/>
        </w:rPr>
      </w:pPr>
      <w:r w:rsidRPr="000C200F">
        <w:rPr>
          <w:rFonts w:ascii="Times New Roman" w:hAnsi="Times New Roman" w:cs="Times New Roman"/>
          <w:sz w:val="24"/>
          <w:szCs w:val="24"/>
        </w:rPr>
        <w:t>la date d’octroi ainsi que la durée de validité du permis ;</w:t>
      </w:r>
    </w:p>
    <w:p w14:paraId="2B0B38FC" w14:textId="77777777" w:rsidR="00EF293C" w:rsidRPr="000C200F" w:rsidRDefault="00EF293C" w:rsidP="000738D3">
      <w:pPr>
        <w:pStyle w:val="Paragraphedeliste"/>
        <w:numPr>
          <w:ilvl w:val="0"/>
          <w:numId w:val="31"/>
        </w:numPr>
        <w:spacing w:after="0"/>
        <w:ind w:left="709" w:hanging="283"/>
        <w:jc w:val="both"/>
        <w:rPr>
          <w:rFonts w:ascii="Times New Roman" w:hAnsi="Times New Roman" w:cs="Times New Roman"/>
          <w:sz w:val="24"/>
          <w:szCs w:val="24"/>
        </w:rPr>
      </w:pPr>
      <w:r w:rsidRPr="000C200F">
        <w:rPr>
          <w:rFonts w:ascii="Times New Roman" w:hAnsi="Times New Roman" w:cs="Times New Roman"/>
          <w:sz w:val="24"/>
          <w:szCs w:val="24"/>
        </w:rPr>
        <w:t>les opérations intervenues au cours de l’année ;</w:t>
      </w:r>
    </w:p>
    <w:p w14:paraId="6895F888" w14:textId="77777777" w:rsidR="00EF293C" w:rsidRPr="000C200F" w:rsidRDefault="00EF293C" w:rsidP="000738D3">
      <w:pPr>
        <w:pStyle w:val="Paragraphedeliste"/>
        <w:numPr>
          <w:ilvl w:val="0"/>
          <w:numId w:val="31"/>
        </w:numPr>
        <w:spacing w:after="0"/>
        <w:ind w:left="709" w:hanging="283"/>
        <w:jc w:val="both"/>
        <w:rPr>
          <w:rFonts w:ascii="Times New Roman" w:hAnsi="Times New Roman" w:cs="Times New Roman"/>
          <w:sz w:val="24"/>
          <w:szCs w:val="24"/>
        </w:rPr>
      </w:pPr>
      <w:r w:rsidRPr="000C200F">
        <w:rPr>
          <w:rFonts w:ascii="Times New Roman" w:hAnsi="Times New Roman" w:cs="Times New Roman"/>
          <w:sz w:val="24"/>
          <w:szCs w:val="24"/>
        </w:rPr>
        <w:t xml:space="preserve">la matière exploitée et </w:t>
      </w:r>
    </w:p>
    <w:p w14:paraId="5C6C6334" w14:textId="77777777" w:rsidR="00EF293C" w:rsidRDefault="00EF293C" w:rsidP="000738D3">
      <w:pPr>
        <w:pStyle w:val="Paragraphedeliste"/>
        <w:numPr>
          <w:ilvl w:val="0"/>
          <w:numId w:val="31"/>
        </w:numPr>
        <w:ind w:left="709" w:hanging="283"/>
        <w:jc w:val="both"/>
        <w:rPr>
          <w:rFonts w:ascii="Times New Roman" w:hAnsi="Times New Roman" w:cs="Times New Roman"/>
          <w:sz w:val="24"/>
          <w:szCs w:val="24"/>
        </w:rPr>
      </w:pPr>
      <w:r w:rsidRPr="000C200F">
        <w:rPr>
          <w:rFonts w:ascii="Times New Roman" w:hAnsi="Times New Roman" w:cs="Times New Roman"/>
          <w:sz w:val="24"/>
          <w:szCs w:val="24"/>
        </w:rPr>
        <w:t>la région d’extraction.</w:t>
      </w:r>
    </w:p>
    <w:p w14:paraId="4526AE03" w14:textId="77777777" w:rsidR="00EF293C" w:rsidRDefault="00EF293C" w:rsidP="00EF293C">
      <w:pPr>
        <w:jc w:val="both"/>
        <w:rPr>
          <w:rFonts w:ascii="Times New Roman" w:hAnsi="Times New Roman"/>
          <w:sz w:val="24"/>
          <w:szCs w:val="24"/>
        </w:rPr>
      </w:pPr>
      <w:r w:rsidRPr="00E239D4">
        <w:rPr>
          <w:rFonts w:ascii="Times New Roman" w:hAnsi="Times New Roman"/>
          <w:sz w:val="24"/>
          <w:szCs w:val="24"/>
        </w:rPr>
        <w:t xml:space="preserve">Le Secrétariat Technique de l’ITIE et le Secrétariat Général aux Hydrocarbures sont en train de travailler là-dessus pour compléter les informations manquantes, notamment la date de demande de permis qui n’est nulle part renseignée et les NIF de certains opérateurs. </w:t>
      </w:r>
    </w:p>
    <w:p w14:paraId="77EE870C" w14:textId="77777777" w:rsidR="00990DCA" w:rsidRPr="00E239D4" w:rsidRDefault="00990DCA" w:rsidP="00EF293C">
      <w:pPr>
        <w:jc w:val="both"/>
        <w:rPr>
          <w:rFonts w:ascii="Times New Roman" w:hAnsi="Times New Roman"/>
          <w:sz w:val="24"/>
          <w:szCs w:val="24"/>
        </w:rPr>
      </w:pPr>
    </w:p>
    <w:p w14:paraId="14BFCF06" w14:textId="77777777" w:rsidR="00990DCA" w:rsidRPr="00D6058E" w:rsidRDefault="00990DCA" w:rsidP="0027285F">
      <w:pPr>
        <w:tabs>
          <w:tab w:val="left" w:pos="8505"/>
        </w:tabs>
        <w:autoSpaceDE w:val="0"/>
        <w:autoSpaceDN w:val="0"/>
        <w:adjustRightInd w:val="0"/>
        <w:spacing w:before="240" w:after="120"/>
        <w:jc w:val="both"/>
        <w:rPr>
          <w:rFonts w:ascii="Times New Roman" w:eastAsiaTheme="majorEastAsia" w:hAnsi="Times New Roman"/>
          <w:b/>
          <w:caps/>
          <w:color w:val="3B3838" w:themeColor="background2" w:themeShade="40"/>
          <w:spacing w:val="14"/>
          <w:sz w:val="24"/>
          <w:szCs w:val="24"/>
          <w:u w:val="single"/>
        </w:rPr>
      </w:pPr>
      <w:r w:rsidRPr="00D6058E">
        <w:rPr>
          <w:rFonts w:ascii="Times New Roman" w:eastAsiaTheme="majorEastAsia" w:hAnsi="Times New Roman"/>
          <w:b/>
          <w:caps/>
          <w:color w:val="3B3838" w:themeColor="background2" w:themeShade="40"/>
          <w:spacing w:val="14"/>
          <w:sz w:val="24"/>
          <w:szCs w:val="24"/>
          <w:u w:val="single"/>
        </w:rPr>
        <w:t>ELEMENT SYNTHESE DU REGISTRE PETROLIER</w:t>
      </w:r>
    </w:p>
    <w:tbl>
      <w:tblPr>
        <w:tblStyle w:val="TableauGrille1Clair1"/>
        <w:tblW w:w="9834" w:type="dxa"/>
        <w:tblLayout w:type="fixed"/>
        <w:tblLook w:val="04A0" w:firstRow="1" w:lastRow="0" w:firstColumn="1" w:lastColumn="0" w:noHBand="0" w:noVBand="1"/>
      </w:tblPr>
      <w:tblGrid>
        <w:gridCol w:w="6912"/>
        <w:gridCol w:w="1636"/>
        <w:gridCol w:w="1286"/>
      </w:tblGrid>
      <w:tr w:rsidR="00990DCA" w:rsidRPr="00D6058E" w14:paraId="0A5AA367" w14:textId="77777777" w:rsidTr="00D6058E">
        <w:trPr>
          <w:cnfStyle w:val="100000000000" w:firstRow="1" w:lastRow="0" w:firstColumn="0" w:lastColumn="0" w:oddVBand="0" w:evenVBand="0" w:oddHBand="0" w:evenHBand="0" w:firstRowFirstColumn="0" w:firstRowLastColumn="0" w:lastRowFirstColumn="0" w:lastRowLastColumn="0"/>
          <w:trHeight w:val="540"/>
          <w:tblHeader/>
        </w:trPr>
        <w:tc>
          <w:tcPr>
            <w:cnfStyle w:val="001000000000" w:firstRow="0" w:lastRow="0" w:firstColumn="1" w:lastColumn="0" w:oddVBand="0" w:evenVBand="0" w:oddHBand="0" w:evenHBand="0" w:firstRowFirstColumn="0" w:firstRowLastColumn="0" w:lastRowFirstColumn="0" w:lastRowLastColumn="0"/>
            <w:tcW w:w="6912" w:type="dxa"/>
            <w:noWrap/>
            <w:vAlign w:val="center"/>
            <w:hideMark/>
          </w:tcPr>
          <w:p w14:paraId="1D75CFCE" w14:textId="77777777" w:rsidR="00990DCA" w:rsidRPr="00D6058E" w:rsidRDefault="00990DCA" w:rsidP="00D6058E">
            <w:pPr>
              <w:jc w:val="center"/>
              <w:rPr>
                <w:rFonts w:ascii="Times New Roman" w:eastAsia="Times New Roman" w:hAnsi="Times New Roman"/>
                <w:bCs w:val="0"/>
                <w:color w:val="000000"/>
                <w:sz w:val="20"/>
                <w:szCs w:val="20"/>
                <w:lang w:eastAsia="fr-FR"/>
              </w:rPr>
            </w:pPr>
            <w:r w:rsidRPr="00D6058E">
              <w:rPr>
                <w:rFonts w:ascii="Times New Roman" w:eastAsia="Times New Roman" w:hAnsi="Times New Roman"/>
                <w:bCs w:val="0"/>
                <w:color w:val="000000"/>
                <w:sz w:val="20"/>
                <w:szCs w:val="20"/>
                <w:lang w:eastAsia="fr-FR"/>
              </w:rPr>
              <w:t>Type de Contrat</w:t>
            </w:r>
          </w:p>
        </w:tc>
        <w:tc>
          <w:tcPr>
            <w:tcW w:w="1636" w:type="dxa"/>
            <w:noWrap/>
            <w:vAlign w:val="center"/>
            <w:hideMark/>
          </w:tcPr>
          <w:p w14:paraId="4BB1D545" w14:textId="77777777" w:rsidR="00990DCA" w:rsidRPr="00D6058E" w:rsidRDefault="00990DCA" w:rsidP="00D6058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color w:val="000000"/>
                <w:sz w:val="20"/>
                <w:szCs w:val="20"/>
                <w:lang w:eastAsia="fr-FR"/>
              </w:rPr>
            </w:pPr>
            <w:r w:rsidRPr="00D6058E">
              <w:rPr>
                <w:rFonts w:ascii="Times New Roman" w:eastAsia="Times New Roman" w:hAnsi="Times New Roman"/>
                <w:bCs w:val="0"/>
                <w:color w:val="000000"/>
                <w:sz w:val="20"/>
                <w:szCs w:val="20"/>
                <w:lang w:eastAsia="fr-FR"/>
              </w:rPr>
              <w:t>Type de Permis</w:t>
            </w:r>
          </w:p>
        </w:tc>
        <w:tc>
          <w:tcPr>
            <w:tcW w:w="1286" w:type="dxa"/>
            <w:noWrap/>
            <w:vAlign w:val="center"/>
            <w:hideMark/>
          </w:tcPr>
          <w:p w14:paraId="004FA431" w14:textId="77777777" w:rsidR="00990DCA" w:rsidRPr="00D6058E" w:rsidRDefault="00990DCA" w:rsidP="00D6058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color w:val="000000"/>
                <w:sz w:val="20"/>
                <w:szCs w:val="20"/>
                <w:lang w:eastAsia="fr-FR"/>
              </w:rPr>
            </w:pPr>
            <w:r w:rsidRPr="00D6058E">
              <w:rPr>
                <w:rFonts w:ascii="Times New Roman" w:eastAsia="Times New Roman" w:hAnsi="Times New Roman"/>
                <w:bCs w:val="0"/>
                <w:color w:val="000000"/>
                <w:sz w:val="20"/>
                <w:szCs w:val="20"/>
                <w:lang w:eastAsia="fr-FR"/>
              </w:rPr>
              <w:t>Opérateur</w:t>
            </w:r>
          </w:p>
        </w:tc>
      </w:tr>
      <w:tr w:rsidR="00990DCA" w:rsidRPr="00D6058E" w14:paraId="5259B7C7" w14:textId="77777777" w:rsidTr="00D6058E">
        <w:trPr>
          <w:trHeight w:val="720"/>
        </w:trPr>
        <w:tc>
          <w:tcPr>
            <w:cnfStyle w:val="001000000000" w:firstRow="0" w:lastRow="0" w:firstColumn="1" w:lastColumn="0" w:oddVBand="0" w:evenVBand="0" w:oddHBand="0" w:evenHBand="0" w:firstRowFirstColumn="0" w:firstRowLastColumn="0" w:lastRowFirstColumn="0" w:lastRowLastColumn="0"/>
            <w:tcW w:w="6912" w:type="dxa"/>
            <w:vAlign w:val="center"/>
            <w:hideMark/>
          </w:tcPr>
          <w:p w14:paraId="523B515A" w14:textId="77777777" w:rsidR="00990DCA" w:rsidRPr="00D6058E" w:rsidRDefault="00990DCA" w:rsidP="00D6058E">
            <w:pPr>
              <w:rPr>
                <w:rFonts w:ascii="Times New Roman" w:eastAsia="Times New Roman" w:hAnsi="Times New Roman"/>
                <w:b w:val="0"/>
                <w:color w:val="000000"/>
                <w:sz w:val="20"/>
                <w:szCs w:val="20"/>
                <w:lang w:eastAsia="fr-FR"/>
              </w:rPr>
            </w:pPr>
            <w:r w:rsidRPr="00D6058E">
              <w:rPr>
                <w:rFonts w:ascii="Times New Roman" w:eastAsia="Times New Roman" w:hAnsi="Times New Roman"/>
                <w:b w:val="0"/>
                <w:color w:val="000000"/>
                <w:sz w:val="20"/>
                <w:szCs w:val="20"/>
                <w:lang w:eastAsia="fr-FR"/>
              </w:rPr>
              <w:t>Demande d'accès aux données géologiques, géophysiques et géochimiques sur le bloc YEMA du bassin côtier</w:t>
            </w:r>
          </w:p>
        </w:tc>
        <w:tc>
          <w:tcPr>
            <w:tcW w:w="1636" w:type="dxa"/>
            <w:vAlign w:val="center"/>
            <w:hideMark/>
          </w:tcPr>
          <w:p w14:paraId="48ACD4FC"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Autorisation d'accès aux données</w:t>
            </w:r>
          </w:p>
        </w:tc>
        <w:tc>
          <w:tcPr>
            <w:tcW w:w="1286" w:type="dxa"/>
            <w:vAlign w:val="center"/>
            <w:hideMark/>
          </w:tcPr>
          <w:p w14:paraId="2973964C"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ARIANA OIL &amp; GAS</w:t>
            </w:r>
          </w:p>
        </w:tc>
      </w:tr>
      <w:tr w:rsidR="00990DCA" w:rsidRPr="00D6058E" w14:paraId="21186382" w14:textId="77777777" w:rsidTr="00D6058E">
        <w:trPr>
          <w:trHeight w:val="645"/>
        </w:trPr>
        <w:tc>
          <w:tcPr>
            <w:cnfStyle w:val="001000000000" w:firstRow="0" w:lastRow="0" w:firstColumn="1" w:lastColumn="0" w:oddVBand="0" w:evenVBand="0" w:oddHBand="0" w:evenHBand="0" w:firstRowFirstColumn="0" w:firstRowLastColumn="0" w:lastRowFirstColumn="0" w:lastRowLastColumn="0"/>
            <w:tcW w:w="6912" w:type="dxa"/>
            <w:vAlign w:val="center"/>
            <w:hideMark/>
          </w:tcPr>
          <w:p w14:paraId="56EC22C9" w14:textId="77777777" w:rsidR="00990DCA" w:rsidRPr="00D6058E" w:rsidRDefault="00990DCA" w:rsidP="00D6058E">
            <w:pPr>
              <w:rPr>
                <w:rFonts w:ascii="Times New Roman" w:eastAsia="Times New Roman" w:hAnsi="Times New Roman"/>
                <w:b w:val="0"/>
                <w:color w:val="000000"/>
                <w:sz w:val="20"/>
                <w:szCs w:val="20"/>
                <w:lang w:eastAsia="fr-FR"/>
              </w:rPr>
            </w:pPr>
            <w:r w:rsidRPr="00D6058E">
              <w:rPr>
                <w:rFonts w:ascii="Times New Roman" w:eastAsia="Times New Roman" w:hAnsi="Times New Roman"/>
                <w:b w:val="0"/>
                <w:color w:val="000000"/>
                <w:sz w:val="20"/>
                <w:szCs w:val="20"/>
                <w:lang w:eastAsia="fr-FR"/>
              </w:rPr>
              <w:t>Demande d'accès aux données géologiques, géophysiques, géochimiques et bathymétriques sur la concession gazière GOMA du lac Kivu</w:t>
            </w:r>
          </w:p>
        </w:tc>
        <w:tc>
          <w:tcPr>
            <w:tcW w:w="1636" w:type="dxa"/>
            <w:vAlign w:val="center"/>
            <w:hideMark/>
          </w:tcPr>
          <w:p w14:paraId="3BFF5C86"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Autorisation d'accès aux données</w:t>
            </w:r>
          </w:p>
        </w:tc>
        <w:tc>
          <w:tcPr>
            <w:tcW w:w="1286" w:type="dxa"/>
            <w:vAlign w:val="center"/>
            <w:hideMark/>
          </w:tcPr>
          <w:p w14:paraId="4E8D62E9"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EPPM</w:t>
            </w:r>
          </w:p>
        </w:tc>
      </w:tr>
      <w:tr w:rsidR="00990DCA" w:rsidRPr="00D6058E" w14:paraId="5CD5B3A7" w14:textId="77777777" w:rsidTr="00D6058E">
        <w:trPr>
          <w:trHeight w:val="615"/>
        </w:trPr>
        <w:tc>
          <w:tcPr>
            <w:cnfStyle w:val="001000000000" w:firstRow="0" w:lastRow="0" w:firstColumn="1" w:lastColumn="0" w:oddVBand="0" w:evenVBand="0" w:oddHBand="0" w:evenHBand="0" w:firstRowFirstColumn="0" w:firstRowLastColumn="0" w:lastRowFirstColumn="0" w:lastRowLastColumn="0"/>
            <w:tcW w:w="6912" w:type="dxa"/>
            <w:vAlign w:val="center"/>
            <w:hideMark/>
          </w:tcPr>
          <w:p w14:paraId="3FAE240E" w14:textId="77777777" w:rsidR="00990DCA" w:rsidRPr="00D6058E" w:rsidRDefault="00990DCA" w:rsidP="00D6058E">
            <w:pPr>
              <w:rPr>
                <w:rFonts w:ascii="Times New Roman" w:eastAsia="Times New Roman" w:hAnsi="Times New Roman"/>
                <w:b w:val="0"/>
                <w:color w:val="000000"/>
                <w:sz w:val="20"/>
                <w:szCs w:val="20"/>
                <w:lang w:eastAsia="fr-FR"/>
              </w:rPr>
            </w:pPr>
            <w:r w:rsidRPr="00D6058E">
              <w:rPr>
                <w:rFonts w:ascii="Times New Roman" w:eastAsia="Times New Roman" w:hAnsi="Times New Roman"/>
                <w:b w:val="0"/>
                <w:color w:val="000000"/>
                <w:sz w:val="20"/>
                <w:szCs w:val="20"/>
                <w:lang w:eastAsia="fr-FR"/>
              </w:rPr>
              <w:t>Demande d'accès aux données géologiques, géophysiques et géochimiques du Rendu du bloc YEMA du bassin côtier</w:t>
            </w:r>
          </w:p>
        </w:tc>
        <w:tc>
          <w:tcPr>
            <w:tcW w:w="1636" w:type="dxa"/>
            <w:vAlign w:val="center"/>
            <w:hideMark/>
          </w:tcPr>
          <w:p w14:paraId="16A9FEE9"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Autorisation d'accès aux données</w:t>
            </w:r>
          </w:p>
        </w:tc>
        <w:tc>
          <w:tcPr>
            <w:tcW w:w="1286" w:type="dxa"/>
            <w:vAlign w:val="center"/>
            <w:hideMark/>
          </w:tcPr>
          <w:p w14:paraId="12A4F19C"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LEDYA SPRL</w:t>
            </w:r>
          </w:p>
        </w:tc>
      </w:tr>
      <w:tr w:rsidR="00990DCA" w:rsidRPr="00D6058E" w14:paraId="0B82F4DE" w14:textId="77777777" w:rsidTr="00D6058E">
        <w:trPr>
          <w:trHeight w:val="660"/>
        </w:trPr>
        <w:tc>
          <w:tcPr>
            <w:cnfStyle w:val="001000000000" w:firstRow="0" w:lastRow="0" w:firstColumn="1" w:lastColumn="0" w:oddVBand="0" w:evenVBand="0" w:oddHBand="0" w:evenHBand="0" w:firstRowFirstColumn="0" w:firstRowLastColumn="0" w:lastRowFirstColumn="0" w:lastRowLastColumn="0"/>
            <w:tcW w:w="6912" w:type="dxa"/>
            <w:vAlign w:val="center"/>
            <w:hideMark/>
          </w:tcPr>
          <w:p w14:paraId="0D5A0089" w14:textId="77777777" w:rsidR="00990DCA" w:rsidRPr="00D6058E" w:rsidRDefault="00990DCA" w:rsidP="00D6058E">
            <w:pPr>
              <w:rPr>
                <w:rFonts w:ascii="Times New Roman" w:eastAsia="Times New Roman" w:hAnsi="Times New Roman"/>
                <w:b w:val="0"/>
                <w:color w:val="000000"/>
                <w:sz w:val="20"/>
                <w:szCs w:val="20"/>
                <w:lang w:eastAsia="fr-FR"/>
              </w:rPr>
            </w:pPr>
            <w:r w:rsidRPr="00D6058E">
              <w:rPr>
                <w:rFonts w:ascii="Times New Roman" w:eastAsia="Times New Roman" w:hAnsi="Times New Roman"/>
                <w:b w:val="0"/>
                <w:color w:val="000000"/>
                <w:sz w:val="20"/>
                <w:szCs w:val="20"/>
                <w:lang w:eastAsia="fr-FR"/>
              </w:rPr>
              <w:t>CPP RDC et Association SURESTREAM PETROLEUM LIMITED – La Congolaise des Hydrocarbures sur le  bloc NDUNDA, Bassin côtier</w:t>
            </w:r>
          </w:p>
        </w:tc>
        <w:tc>
          <w:tcPr>
            <w:tcW w:w="1636" w:type="dxa"/>
            <w:vAlign w:val="center"/>
            <w:hideMark/>
          </w:tcPr>
          <w:p w14:paraId="50D34CB4"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Permis d'exploration</w:t>
            </w:r>
          </w:p>
        </w:tc>
        <w:tc>
          <w:tcPr>
            <w:tcW w:w="1286" w:type="dxa"/>
            <w:vAlign w:val="center"/>
            <w:hideMark/>
          </w:tcPr>
          <w:p w14:paraId="5532736D"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SURESTREAM</w:t>
            </w:r>
          </w:p>
        </w:tc>
      </w:tr>
      <w:tr w:rsidR="00990DCA" w:rsidRPr="00D6058E" w14:paraId="3234E563" w14:textId="77777777" w:rsidTr="00D6058E">
        <w:trPr>
          <w:trHeight w:val="630"/>
        </w:trPr>
        <w:tc>
          <w:tcPr>
            <w:cnfStyle w:val="001000000000" w:firstRow="0" w:lastRow="0" w:firstColumn="1" w:lastColumn="0" w:oddVBand="0" w:evenVBand="0" w:oddHBand="0" w:evenHBand="0" w:firstRowFirstColumn="0" w:firstRowLastColumn="0" w:lastRowFirstColumn="0" w:lastRowLastColumn="0"/>
            <w:tcW w:w="6912" w:type="dxa"/>
            <w:vAlign w:val="center"/>
            <w:hideMark/>
          </w:tcPr>
          <w:p w14:paraId="39F89B13" w14:textId="77777777" w:rsidR="00990DCA" w:rsidRPr="00D6058E" w:rsidRDefault="00990DCA" w:rsidP="00D6058E">
            <w:pPr>
              <w:rPr>
                <w:rFonts w:ascii="Times New Roman" w:eastAsia="Times New Roman" w:hAnsi="Times New Roman"/>
                <w:b w:val="0"/>
                <w:color w:val="000000"/>
                <w:sz w:val="20"/>
                <w:szCs w:val="20"/>
                <w:lang w:eastAsia="fr-FR"/>
              </w:rPr>
            </w:pPr>
            <w:r w:rsidRPr="00D6058E">
              <w:rPr>
                <w:rFonts w:ascii="Times New Roman" w:eastAsia="Times New Roman" w:hAnsi="Times New Roman"/>
                <w:b w:val="0"/>
                <w:color w:val="000000"/>
                <w:sz w:val="20"/>
                <w:szCs w:val="20"/>
                <w:lang w:eastAsia="fr-FR"/>
              </w:rPr>
              <w:t xml:space="preserve">CPP RDC et Association South </w:t>
            </w:r>
            <w:proofErr w:type="spellStart"/>
            <w:r w:rsidRPr="00D6058E">
              <w:rPr>
                <w:rFonts w:ascii="Times New Roman" w:eastAsia="Times New Roman" w:hAnsi="Times New Roman"/>
                <w:b w:val="0"/>
                <w:color w:val="000000"/>
                <w:sz w:val="20"/>
                <w:szCs w:val="20"/>
                <w:lang w:eastAsia="fr-FR"/>
              </w:rPr>
              <w:t>Africa</w:t>
            </w:r>
            <w:proofErr w:type="spellEnd"/>
            <w:r w:rsidRPr="00D6058E">
              <w:rPr>
                <w:rFonts w:ascii="Times New Roman" w:eastAsia="Times New Roman" w:hAnsi="Times New Roman"/>
                <w:b w:val="0"/>
                <w:color w:val="000000"/>
                <w:sz w:val="20"/>
                <w:szCs w:val="20"/>
                <w:lang w:eastAsia="fr-FR"/>
              </w:rPr>
              <w:t xml:space="preserve"> Congo </w:t>
            </w:r>
            <w:proofErr w:type="spellStart"/>
            <w:r w:rsidRPr="00D6058E">
              <w:rPr>
                <w:rFonts w:ascii="Times New Roman" w:eastAsia="Times New Roman" w:hAnsi="Times New Roman"/>
                <w:b w:val="0"/>
                <w:color w:val="000000"/>
                <w:sz w:val="20"/>
                <w:szCs w:val="20"/>
                <w:lang w:eastAsia="fr-FR"/>
              </w:rPr>
              <w:t>Oil</w:t>
            </w:r>
            <w:proofErr w:type="spellEnd"/>
            <w:r w:rsidRPr="00D6058E">
              <w:rPr>
                <w:rFonts w:ascii="Times New Roman" w:eastAsia="Times New Roman" w:hAnsi="Times New Roman"/>
                <w:b w:val="0"/>
                <w:color w:val="000000"/>
                <w:sz w:val="20"/>
                <w:szCs w:val="20"/>
                <w:lang w:eastAsia="fr-FR"/>
              </w:rPr>
              <w:t xml:space="preserve"> (PTY) Ltd – La Congolaise des Hydrocarbures sur le Bloc III, Graben Albertine RDC</w:t>
            </w:r>
          </w:p>
        </w:tc>
        <w:tc>
          <w:tcPr>
            <w:tcW w:w="1636" w:type="dxa"/>
            <w:vAlign w:val="center"/>
            <w:hideMark/>
          </w:tcPr>
          <w:p w14:paraId="11620B1C"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Permis d'exploration</w:t>
            </w:r>
          </w:p>
        </w:tc>
        <w:tc>
          <w:tcPr>
            <w:tcW w:w="1286" w:type="dxa"/>
            <w:vAlign w:val="center"/>
            <w:hideMark/>
          </w:tcPr>
          <w:p w14:paraId="7950F787"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Total E&amp;P RDC</w:t>
            </w:r>
          </w:p>
        </w:tc>
      </w:tr>
      <w:tr w:rsidR="00990DCA" w:rsidRPr="00D6058E" w14:paraId="6F400783" w14:textId="77777777" w:rsidTr="00D6058E">
        <w:trPr>
          <w:trHeight w:val="630"/>
        </w:trPr>
        <w:tc>
          <w:tcPr>
            <w:cnfStyle w:val="001000000000" w:firstRow="0" w:lastRow="0" w:firstColumn="1" w:lastColumn="0" w:oddVBand="0" w:evenVBand="0" w:oddHBand="0" w:evenHBand="0" w:firstRowFirstColumn="0" w:firstRowLastColumn="0" w:lastRowFirstColumn="0" w:lastRowLastColumn="0"/>
            <w:tcW w:w="6912" w:type="dxa"/>
            <w:vAlign w:val="center"/>
            <w:hideMark/>
          </w:tcPr>
          <w:p w14:paraId="3250DDCF" w14:textId="77777777" w:rsidR="00990DCA" w:rsidRPr="00D6058E" w:rsidRDefault="00990DCA" w:rsidP="00D6058E">
            <w:pPr>
              <w:rPr>
                <w:rFonts w:ascii="Times New Roman" w:eastAsia="Times New Roman" w:hAnsi="Times New Roman"/>
                <w:b w:val="0"/>
                <w:color w:val="000000"/>
                <w:sz w:val="20"/>
                <w:szCs w:val="20"/>
                <w:lang w:eastAsia="fr-FR"/>
              </w:rPr>
            </w:pPr>
            <w:r w:rsidRPr="00D6058E">
              <w:rPr>
                <w:rFonts w:ascii="Times New Roman" w:eastAsia="Times New Roman" w:hAnsi="Times New Roman"/>
                <w:b w:val="0"/>
                <w:color w:val="000000"/>
                <w:sz w:val="20"/>
                <w:szCs w:val="20"/>
                <w:lang w:eastAsia="fr-FR"/>
              </w:rPr>
              <w:t>CPP RDC et Association SURESTREAM PETROLEUM LIMITED – La Congolaise des Hydrocarbures sur les  Blocs YEMA-MATAMBA MAKANZI, Bassin côtier</w:t>
            </w:r>
          </w:p>
        </w:tc>
        <w:tc>
          <w:tcPr>
            <w:tcW w:w="1636" w:type="dxa"/>
            <w:vAlign w:val="center"/>
            <w:hideMark/>
          </w:tcPr>
          <w:p w14:paraId="635A15AE"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Permis d'exploration</w:t>
            </w:r>
          </w:p>
        </w:tc>
        <w:tc>
          <w:tcPr>
            <w:tcW w:w="1286" w:type="dxa"/>
            <w:vAlign w:val="center"/>
            <w:hideMark/>
          </w:tcPr>
          <w:p w14:paraId="11FE98FE"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 xml:space="preserve">SURESTREAM </w:t>
            </w:r>
          </w:p>
        </w:tc>
      </w:tr>
      <w:tr w:rsidR="00990DCA" w:rsidRPr="00D6058E" w14:paraId="08C59546" w14:textId="77777777" w:rsidTr="00D6058E">
        <w:trPr>
          <w:trHeight w:val="885"/>
        </w:trPr>
        <w:tc>
          <w:tcPr>
            <w:cnfStyle w:val="001000000000" w:firstRow="0" w:lastRow="0" w:firstColumn="1" w:lastColumn="0" w:oddVBand="0" w:evenVBand="0" w:oddHBand="0" w:evenHBand="0" w:firstRowFirstColumn="0" w:firstRowLastColumn="0" w:lastRowFirstColumn="0" w:lastRowLastColumn="0"/>
            <w:tcW w:w="6912" w:type="dxa"/>
            <w:vAlign w:val="center"/>
            <w:hideMark/>
          </w:tcPr>
          <w:p w14:paraId="066D121F" w14:textId="77777777" w:rsidR="00990DCA" w:rsidRPr="00D6058E" w:rsidRDefault="00990DCA" w:rsidP="00D6058E">
            <w:pPr>
              <w:rPr>
                <w:rFonts w:ascii="Times New Roman" w:eastAsia="Times New Roman" w:hAnsi="Times New Roman"/>
                <w:b w:val="0"/>
                <w:color w:val="000000"/>
                <w:sz w:val="20"/>
                <w:szCs w:val="20"/>
                <w:lang w:eastAsia="fr-FR"/>
              </w:rPr>
            </w:pPr>
            <w:r w:rsidRPr="00D6058E">
              <w:rPr>
                <w:rFonts w:ascii="Times New Roman" w:eastAsia="Times New Roman" w:hAnsi="Times New Roman"/>
                <w:b w:val="0"/>
                <w:color w:val="000000"/>
                <w:sz w:val="20"/>
                <w:szCs w:val="20"/>
                <w:lang w:eastAsia="fr-FR"/>
              </w:rPr>
              <w:t>CPP RDC ET ASSOCIATION COMPAGNIE MINIERE CONGOLAISE SPRL ET LA CONGOLAISE DES HYDROCARBURES SUR LES BLOCS MBANDAKA.01, LOKORO.02 ET BUSIRA.03 DE LA CUVETTE CENTRALE</w:t>
            </w:r>
          </w:p>
        </w:tc>
        <w:tc>
          <w:tcPr>
            <w:tcW w:w="1636" w:type="dxa"/>
            <w:vAlign w:val="center"/>
            <w:hideMark/>
          </w:tcPr>
          <w:p w14:paraId="215CE789"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Permis d'exploration</w:t>
            </w:r>
          </w:p>
        </w:tc>
        <w:tc>
          <w:tcPr>
            <w:tcW w:w="1286" w:type="dxa"/>
            <w:vAlign w:val="center"/>
            <w:hideMark/>
          </w:tcPr>
          <w:p w14:paraId="042B360F"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COMICO SPRL</w:t>
            </w:r>
          </w:p>
        </w:tc>
      </w:tr>
      <w:tr w:rsidR="00990DCA" w:rsidRPr="00D6058E" w14:paraId="137FC697" w14:textId="77777777" w:rsidTr="00D6058E">
        <w:trPr>
          <w:trHeight w:val="615"/>
        </w:trPr>
        <w:tc>
          <w:tcPr>
            <w:cnfStyle w:val="001000000000" w:firstRow="0" w:lastRow="0" w:firstColumn="1" w:lastColumn="0" w:oddVBand="0" w:evenVBand="0" w:oddHBand="0" w:evenHBand="0" w:firstRowFirstColumn="0" w:firstRowLastColumn="0" w:lastRowFirstColumn="0" w:lastRowLastColumn="0"/>
            <w:tcW w:w="6912" w:type="dxa"/>
            <w:vAlign w:val="center"/>
            <w:hideMark/>
          </w:tcPr>
          <w:p w14:paraId="1EFC5E45" w14:textId="77777777" w:rsidR="00990DCA" w:rsidRPr="00D6058E" w:rsidRDefault="00990DCA" w:rsidP="00D6058E">
            <w:pPr>
              <w:rPr>
                <w:rFonts w:ascii="Times New Roman" w:eastAsia="Times New Roman" w:hAnsi="Times New Roman"/>
                <w:b w:val="0"/>
                <w:color w:val="000000"/>
                <w:sz w:val="20"/>
                <w:szCs w:val="20"/>
                <w:lang w:eastAsia="fr-FR"/>
              </w:rPr>
            </w:pPr>
            <w:r w:rsidRPr="00D6058E">
              <w:rPr>
                <w:rFonts w:ascii="Times New Roman" w:eastAsia="Times New Roman" w:hAnsi="Times New Roman"/>
                <w:b w:val="0"/>
                <w:color w:val="000000"/>
                <w:sz w:val="20"/>
                <w:szCs w:val="20"/>
                <w:lang w:eastAsia="fr-FR"/>
              </w:rPr>
              <w:lastRenderedPageBreak/>
              <w:t xml:space="preserve">CPP RDC et Association ENERGULF AFRICA Ltd – La Congolaise des Hydrocarbures sur le Bloc </w:t>
            </w:r>
            <w:proofErr w:type="spellStart"/>
            <w:r w:rsidRPr="00D6058E">
              <w:rPr>
                <w:rFonts w:ascii="Times New Roman" w:eastAsia="Times New Roman" w:hAnsi="Times New Roman"/>
                <w:b w:val="0"/>
                <w:color w:val="000000"/>
                <w:sz w:val="20"/>
                <w:szCs w:val="20"/>
                <w:lang w:eastAsia="fr-FR"/>
              </w:rPr>
              <w:t>Lotshi</w:t>
            </w:r>
            <w:proofErr w:type="spellEnd"/>
            <w:r w:rsidRPr="00D6058E">
              <w:rPr>
                <w:rFonts w:ascii="Times New Roman" w:eastAsia="Times New Roman" w:hAnsi="Times New Roman"/>
                <w:b w:val="0"/>
                <w:color w:val="000000"/>
                <w:sz w:val="20"/>
                <w:szCs w:val="20"/>
                <w:lang w:eastAsia="fr-FR"/>
              </w:rPr>
              <w:t>, Bassin côtier</w:t>
            </w:r>
          </w:p>
        </w:tc>
        <w:tc>
          <w:tcPr>
            <w:tcW w:w="1636" w:type="dxa"/>
            <w:vAlign w:val="center"/>
            <w:hideMark/>
          </w:tcPr>
          <w:p w14:paraId="52B94D9D"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Permis d'exploration</w:t>
            </w:r>
          </w:p>
        </w:tc>
        <w:tc>
          <w:tcPr>
            <w:tcW w:w="1286" w:type="dxa"/>
            <w:vAlign w:val="center"/>
            <w:hideMark/>
          </w:tcPr>
          <w:p w14:paraId="29E363FE"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 xml:space="preserve">ENERGULF </w:t>
            </w:r>
          </w:p>
        </w:tc>
      </w:tr>
      <w:tr w:rsidR="00990DCA" w:rsidRPr="00D6058E" w14:paraId="3F03F1C0" w14:textId="77777777" w:rsidTr="00D6058E">
        <w:trPr>
          <w:trHeight w:val="510"/>
        </w:trPr>
        <w:tc>
          <w:tcPr>
            <w:cnfStyle w:val="001000000000" w:firstRow="0" w:lastRow="0" w:firstColumn="1" w:lastColumn="0" w:oddVBand="0" w:evenVBand="0" w:oddHBand="0" w:evenHBand="0" w:firstRowFirstColumn="0" w:firstRowLastColumn="0" w:lastRowFirstColumn="0" w:lastRowLastColumn="0"/>
            <w:tcW w:w="6912" w:type="dxa"/>
            <w:vAlign w:val="center"/>
            <w:hideMark/>
          </w:tcPr>
          <w:p w14:paraId="27F254FD" w14:textId="77777777" w:rsidR="00990DCA" w:rsidRPr="00D6058E" w:rsidRDefault="00990DCA" w:rsidP="00D6058E">
            <w:pPr>
              <w:rPr>
                <w:rFonts w:ascii="Times New Roman" w:eastAsia="Times New Roman" w:hAnsi="Times New Roman"/>
                <w:b w:val="0"/>
                <w:color w:val="000000"/>
                <w:sz w:val="20"/>
                <w:szCs w:val="20"/>
                <w:lang w:eastAsia="fr-FR"/>
              </w:rPr>
            </w:pPr>
            <w:r w:rsidRPr="00D6058E">
              <w:rPr>
                <w:rFonts w:ascii="Times New Roman" w:eastAsia="Times New Roman" w:hAnsi="Times New Roman"/>
                <w:b w:val="0"/>
                <w:color w:val="000000"/>
                <w:sz w:val="20"/>
                <w:szCs w:val="20"/>
                <w:lang w:eastAsia="fr-FR"/>
              </w:rPr>
              <w:t xml:space="preserve">CPP RDC et </w:t>
            </w:r>
            <w:proofErr w:type="spellStart"/>
            <w:r w:rsidRPr="00D6058E">
              <w:rPr>
                <w:rFonts w:ascii="Times New Roman" w:eastAsia="Times New Roman" w:hAnsi="Times New Roman"/>
                <w:b w:val="0"/>
                <w:color w:val="000000"/>
                <w:sz w:val="20"/>
                <w:szCs w:val="20"/>
                <w:lang w:eastAsia="fr-FR"/>
              </w:rPr>
              <w:t>Caprikat</w:t>
            </w:r>
            <w:proofErr w:type="spellEnd"/>
            <w:r w:rsidRPr="00D6058E">
              <w:rPr>
                <w:rFonts w:ascii="Times New Roman" w:eastAsia="Times New Roman" w:hAnsi="Times New Roman"/>
                <w:b w:val="0"/>
                <w:color w:val="000000"/>
                <w:sz w:val="20"/>
                <w:szCs w:val="20"/>
                <w:lang w:eastAsia="fr-FR"/>
              </w:rPr>
              <w:t xml:space="preserve"> Ltd et </w:t>
            </w:r>
            <w:proofErr w:type="spellStart"/>
            <w:r w:rsidRPr="00D6058E">
              <w:rPr>
                <w:rFonts w:ascii="Times New Roman" w:eastAsia="Times New Roman" w:hAnsi="Times New Roman"/>
                <w:b w:val="0"/>
                <w:color w:val="000000"/>
                <w:sz w:val="20"/>
                <w:szCs w:val="20"/>
                <w:lang w:eastAsia="fr-FR"/>
              </w:rPr>
              <w:t>Foxwhelp</w:t>
            </w:r>
            <w:proofErr w:type="spellEnd"/>
            <w:r w:rsidRPr="00D6058E">
              <w:rPr>
                <w:rFonts w:ascii="Times New Roman" w:eastAsia="Times New Roman" w:hAnsi="Times New Roman"/>
                <w:b w:val="0"/>
                <w:color w:val="000000"/>
                <w:sz w:val="20"/>
                <w:szCs w:val="20"/>
                <w:lang w:eastAsia="fr-FR"/>
              </w:rPr>
              <w:t xml:space="preserve"> Ltd sur les blocs I &amp; II du graben Albertine</w:t>
            </w:r>
          </w:p>
        </w:tc>
        <w:tc>
          <w:tcPr>
            <w:tcW w:w="1636" w:type="dxa"/>
            <w:vAlign w:val="center"/>
            <w:hideMark/>
          </w:tcPr>
          <w:p w14:paraId="16B3485A"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Permis d'exploration</w:t>
            </w:r>
          </w:p>
        </w:tc>
        <w:tc>
          <w:tcPr>
            <w:tcW w:w="1286" w:type="dxa"/>
            <w:vAlign w:val="center"/>
            <w:hideMark/>
          </w:tcPr>
          <w:p w14:paraId="76EB6162"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proofErr w:type="spellStart"/>
            <w:r w:rsidRPr="00D6058E">
              <w:rPr>
                <w:rFonts w:ascii="Times New Roman" w:eastAsia="Times New Roman" w:hAnsi="Times New Roman"/>
                <w:color w:val="000000"/>
                <w:sz w:val="20"/>
                <w:szCs w:val="20"/>
                <w:lang w:eastAsia="fr-FR"/>
              </w:rPr>
              <w:t>Oil</w:t>
            </w:r>
            <w:proofErr w:type="spellEnd"/>
            <w:r w:rsidRPr="00D6058E">
              <w:rPr>
                <w:rFonts w:ascii="Times New Roman" w:eastAsia="Times New Roman" w:hAnsi="Times New Roman"/>
                <w:color w:val="000000"/>
                <w:sz w:val="20"/>
                <w:szCs w:val="20"/>
                <w:lang w:eastAsia="fr-FR"/>
              </w:rPr>
              <w:t xml:space="preserve"> of DR Congo</w:t>
            </w:r>
          </w:p>
        </w:tc>
      </w:tr>
      <w:tr w:rsidR="00990DCA" w:rsidRPr="00D6058E" w14:paraId="30535B6F" w14:textId="77777777" w:rsidTr="00D6058E">
        <w:trPr>
          <w:trHeight w:val="480"/>
        </w:trPr>
        <w:tc>
          <w:tcPr>
            <w:cnfStyle w:val="001000000000" w:firstRow="0" w:lastRow="0" w:firstColumn="1" w:lastColumn="0" w:oddVBand="0" w:evenVBand="0" w:oddHBand="0" w:evenHBand="0" w:firstRowFirstColumn="0" w:firstRowLastColumn="0" w:lastRowFirstColumn="0" w:lastRowLastColumn="0"/>
            <w:tcW w:w="6912" w:type="dxa"/>
            <w:vAlign w:val="center"/>
            <w:hideMark/>
          </w:tcPr>
          <w:p w14:paraId="155E240D" w14:textId="77777777" w:rsidR="00990DCA" w:rsidRPr="00D6058E" w:rsidRDefault="00990DCA" w:rsidP="00D6058E">
            <w:pPr>
              <w:rPr>
                <w:rFonts w:ascii="Times New Roman" w:eastAsia="Times New Roman" w:hAnsi="Times New Roman"/>
                <w:b w:val="0"/>
                <w:color w:val="000000"/>
                <w:sz w:val="20"/>
                <w:szCs w:val="20"/>
                <w:lang w:eastAsia="fr-FR"/>
              </w:rPr>
            </w:pPr>
            <w:r w:rsidRPr="00D6058E">
              <w:rPr>
                <w:rFonts w:ascii="Times New Roman" w:eastAsia="Times New Roman" w:hAnsi="Times New Roman"/>
                <w:b w:val="0"/>
                <w:color w:val="000000"/>
                <w:sz w:val="20"/>
                <w:szCs w:val="20"/>
                <w:lang w:eastAsia="fr-FR"/>
              </w:rPr>
              <w:t xml:space="preserve">Convention du 11 août 1969 sur les Concessions  179 Est </w:t>
            </w:r>
            <w:proofErr w:type="spellStart"/>
            <w:r w:rsidRPr="00D6058E">
              <w:rPr>
                <w:rFonts w:ascii="Times New Roman" w:eastAsia="Times New Roman" w:hAnsi="Times New Roman"/>
                <w:b w:val="0"/>
                <w:color w:val="000000"/>
                <w:sz w:val="20"/>
                <w:szCs w:val="20"/>
                <w:lang w:eastAsia="fr-FR"/>
              </w:rPr>
              <w:t>Mibale</w:t>
            </w:r>
            <w:proofErr w:type="spellEnd"/>
            <w:r w:rsidRPr="00D6058E">
              <w:rPr>
                <w:rFonts w:ascii="Times New Roman" w:eastAsia="Times New Roman" w:hAnsi="Times New Roman"/>
                <w:b w:val="0"/>
                <w:color w:val="000000"/>
                <w:sz w:val="20"/>
                <w:szCs w:val="20"/>
                <w:lang w:eastAsia="fr-FR"/>
              </w:rPr>
              <w:t xml:space="preserve"> et 189 </w:t>
            </w:r>
            <w:proofErr w:type="spellStart"/>
            <w:r w:rsidRPr="00D6058E">
              <w:rPr>
                <w:rFonts w:ascii="Times New Roman" w:eastAsia="Times New Roman" w:hAnsi="Times New Roman"/>
                <w:b w:val="0"/>
                <w:color w:val="000000"/>
                <w:sz w:val="20"/>
                <w:szCs w:val="20"/>
                <w:lang w:eastAsia="fr-FR"/>
              </w:rPr>
              <w:t>Liawenda-Kinkazi</w:t>
            </w:r>
            <w:proofErr w:type="spellEnd"/>
            <w:r w:rsidRPr="00D6058E">
              <w:rPr>
                <w:rFonts w:ascii="Times New Roman" w:eastAsia="Times New Roman" w:hAnsi="Times New Roman"/>
                <w:b w:val="0"/>
                <w:color w:val="000000"/>
                <w:sz w:val="20"/>
                <w:szCs w:val="20"/>
                <w:lang w:eastAsia="fr-FR"/>
              </w:rPr>
              <w:t>, Bassin côtier</w:t>
            </w:r>
          </w:p>
        </w:tc>
        <w:tc>
          <w:tcPr>
            <w:tcW w:w="1636" w:type="dxa"/>
            <w:vAlign w:val="center"/>
            <w:hideMark/>
          </w:tcPr>
          <w:p w14:paraId="5799BD45"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Permis d'exploitation</w:t>
            </w:r>
          </w:p>
        </w:tc>
        <w:tc>
          <w:tcPr>
            <w:tcW w:w="1286" w:type="dxa"/>
            <w:vAlign w:val="center"/>
            <w:hideMark/>
          </w:tcPr>
          <w:p w14:paraId="3FFEE2E6"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PERENCO-REP</w:t>
            </w:r>
          </w:p>
        </w:tc>
      </w:tr>
      <w:tr w:rsidR="00990DCA" w:rsidRPr="00D6058E" w14:paraId="37F16D8F" w14:textId="77777777" w:rsidTr="00D6058E">
        <w:trPr>
          <w:trHeight w:val="480"/>
        </w:trPr>
        <w:tc>
          <w:tcPr>
            <w:cnfStyle w:val="001000000000" w:firstRow="0" w:lastRow="0" w:firstColumn="1" w:lastColumn="0" w:oddVBand="0" w:evenVBand="0" w:oddHBand="0" w:evenHBand="0" w:firstRowFirstColumn="0" w:firstRowLastColumn="0" w:lastRowFirstColumn="0" w:lastRowLastColumn="0"/>
            <w:tcW w:w="6912" w:type="dxa"/>
            <w:vAlign w:val="center"/>
            <w:hideMark/>
          </w:tcPr>
          <w:p w14:paraId="08E78EEA" w14:textId="77777777" w:rsidR="00990DCA" w:rsidRPr="00D6058E" w:rsidRDefault="00990DCA" w:rsidP="00D6058E">
            <w:pPr>
              <w:rPr>
                <w:rFonts w:ascii="Times New Roman" w:eastAsia="Times New Roman" w:hAnsi="Times New Roman"/>
                <w:b w:val="0"/>
                <w:color w:val="000000"/>
                <w:sz w:val="20"/>
                <w:szCs w:val="20"/>
                <w:lang w:eastAsia="fr-FR"/>
              </w:rPr>
            </w:pPr>
            <w:r w:rsidRPr="00D6058E">
              <w:rPr>
                <w:rFonts w:ascii="Times New Roman" w:eastAsia="Times New Roman" w:hAnsi="Times New Roman"/>
                <w:b w:val="0"/>
                <w:color w:val="000000"/>
                <w:sz w:val="20"/>
                <w:szCs w:val="20"/>
                <w:lang w:eastAsia="fr-FR"/>
              </w:rPr>
              <w:t xml:space="preserve">Convention du 09 août 1969 sur la Concession 177, Bassin côtier    </w:t>
            </w:r>
          </w:p>
        </w:tc>
        <w:tc>
          <w:tcPr>
            <w:tcW w:w="1636" w:type="dxa"/>
            <w:vAlign w:val="center"/>
            <w:hideMark/>
          </w:tcPr>
          <w:p w14:paraId="36625577"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Permis d'exploitation</w:t>
            </w:r>
          </w:p>
        </w:tc>
        <w:tc>
          <w:tcPr>
            <w:tcW w:w="1286" w:type="dxa"/>
            <w:vAlign w:val="center"/>
            <w:hideMark/>
          </w:tcPr>
          <w:p w14:paraId="75758161"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 xml:space="preserve">MIOC Ltd </w:t>
            </w:r>
          </w:p>
        </w:tc>
      </w:tr>
    </w:tbl>
    <w:p w14:paraId="4404E296" w14:textId="77777777" w:rsidR="00990DCA" w:rsidRPr="00D6058E" w:rsidRDefault="00990DCA">
      <w:pPr>
        <w:rPr>
          <w:rFonts w:ascii="Times New Roman" w:hAnsi="Times New Roman"/>
        </w:rPr>
      </w:pPr>
    </w:p>
    <w:p w14:paraId="0A7573F4" w14:textId="77777777" w:rsidR="00990DCA" w:rsidRDefault="00990DCA">
      <w:pPr>
        <w:rPr>
          <w:rFonts w:ascii="Times New Roman" w:hAnsi="Times New Roman"/>
        </w:rPr>
      </w:pPr>
    </w:p>
    <w:p w14:paraId="56EE1ADA" w14:textId="77777777" w:rsidR="00990DCA" w:rsidRPr="00D6058E" w:rsidRDefault="00990DCA" w:rsidP="00D6058E">
      <w:pPr>
        <w:tabs>
          <w:tab w:val="left" w:pos="8505"/>
        </w:tabs>
        <w:autoSpaceDE w:val="0"/>
        <w:autoSpaceDN w:val="0"/>
        <w:adjustRightInd w:val="0"/>
        <w:spacing w:before="240" w:after="120"/>
        <w:jc w:val="both"/>
        <w:rPr>
          <w:rFonts w:ascii="Times New Roman" w:eastAsiaTheme="majorEastAsia" w:hAnsi="Times New Roman"/>
          <w:b/>
          <w:caps/>
          <w:color w:val="3B3838" w:themeColor="background2" w:themeShade="40"/>
          <w:spacing w:val="14"/>
          <w:sz w:val="24"/>
          <w:szCs w:val="24"/>
          <w:u w:val="single"/>
        </w:rPr>
      </w:pPr>
      <w:r w:rsidRPr="00D6058E">
        <w:rPr>
          <w:rFonts w:ascii="Times New Roman" w:eastAsiaTheme="majorEastAsia" w:hAnsi="Times New Roman"/>
          <w:b/>
          <w:caps/>
          <w:color w:val="3B3838" w:themeColor="background2" w:themeShade="40"/>
          <w:spacing w:val="14"/>
          <w:sz w:val="24"/>
          <w:szCs w:val="24"/>
          <w:u w:val="single"/>
        </w:rPr>
        <w:t>Opérations intervenues</w:t>
      </w:r>
    </w:p>
    <w:tbl>
      <w:tblPr>
        <w:tblStyle w:val="TableauGrille1Clair"/>
        <w:tblW w:w="10173" w:type="dxa"/>
        <w:tblLook w:val="04A0" w:firstRow="1" w:lastRow="0" w:firstColumn="1" w:lastColumn="0" w:noHBand="0" w:noVBand="1"/>
      </w:tblPr>
      <w:tblGrid>
        <w:gridCol w:w="6912"/>
        <w:gridCol w:w="3261"/>
      </w:tblGrid>
      <w:tr w:rsidR="00990DCA" w:rsidRPr="00D6058E" w14:paraId="47D6ADC4" w14:textId="77777777" w:rsidTr="00D6058E">
        <w:trPr>
          <w:cnfStyle w:val="100000000000" w:firstRow="1" w:lastRow="0" w:firstColumn="0" w:lastColumn="0" w:oddVBand="0" w:evenVBand="0" w:oddHBand="0"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6912" w:type="dxa"/>
            <w:vAlign w:val="center"/>
          </w:tcPr>
          <w:p w14:paraId="0788F46A" w14:textId="77777777" w:rsidR="00990DCA" w:rsidRPr="00D6058E" w:rsidRDefault="00990DCA" w:rsidP="00D6058E">
            <w:pPr>
              <w:jc w:val="center"/>
              <w:rPr>
                <w:rFonts w:ascii="Times New Roman" w:hAnsi="Times New Roman"/>
                <w:sz w:val="20"/>
                <w:szCs w:val="20"/>
              </w:rPr>
            </w:pPr>
            <w:r w:rsidRPr="00D6058E">
              <w:rPr>
                <w:rFonts w:ascii="Times New Roman" w:hAnsi="Times New Roman"/>
                <w:sz w:val="20"/>
                <w:szCs w:val="20"/>
              </w:rPr>
              <w:t>opérations</w:t>
            </w:r>
          </w:p>
        </w:tc>
        <w:tc>
          <w:tcPr>
            <w:tcW w:w="3261" w:type="dxa"/>
            <w:vAlign w:val="center"/>
          </w:tcPr>
          <w:p w14:paraId="2C154A78" w14:textId="77777777" w:rsidR="00990DCA" w:rsidRPr="00D6058E" w:rsidRDefault="00990DCA" w:rsidP="00D6058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D6058E">
              <w:rPr>
                <w:rFonts w:ascii="Times New Roman" w:hAnsi="Times New Roman"/>
                <w:sz w:val="20"/>
                <w:szCs w:val="20"/>
              </w:rPr>
              <w:t>bénéficiaires</w:t>
            </w:r>
          </w:p>
        </w:tc>
      </w:tr>
      <w:tr w:rsidR="00990DCA" w:rsidRPr="00D6058E" w14:paraId="37B61E9D" w14:textId="77777777" w:rsidTr="00D6058E">
        <w:trPr>
          <w:trHeight w:val="564"/>
        </w:trPr>
        <w:tc>
          <w:tcPr>
            <w:cnfStyle w:val="001000000000" w:firstRow="0" w:lastRow="0" w:firstColumn="1" w:lastColumn="0" w:oddVBand="0" w:evenVBand="0" w:oddHBand="0" w:evenHBand="0" w:firstRowFirstColumn="0" w:firstRowLastColumn="0" w:lastRowFirstColumn="0" w:lastRowLastColumn="0"/>
            <w:tcW w:w="6912" w:type="dxa"/>
            <w:vAlign w:val="center"/>
          </w:tcPr>
          <w:p w14:paraId="11D51FAF" w14:textId="77777777" w:rsidR="00990DCA" w:rsidRPr="00D6058E" w:rsidRDefault="00990DCA" w:rsidP="00D6058E">
            <w:pPr>
              <w:rPr>
                <w:rFonts w:ascii="Times New Roman" w:hAnsi="Times New Roman"/>
                <w:b w:val="0"/>
                <w:sz w:val="20"/>
                <w:szCs w:val="20"/>
              </w:rPr>
            </w:pPr>
            <w:r w:rsidRPr="00D6058E">
              <w:rPr>
                <w:rFonts w:ascii="Times New Roman" w:hAnsi="Times New Roman"/>
                <w:b w:val="0"/>
                <w:sz w:val="20"/>
                <w:szCs w:val="20"/>
              </w:rPr>
              <w:t>Extension de Permis</w:t>
            </w:r>
          </w:p>
        </w:tc>
        <w:tc>
          <w:tcPr>
            <w:tcW w:w="3261" w:type="dxa"/>
            <w:vAlign w:val="center"/>
          </w:tcPr>
          <w:p w14:paraId="382D2A22"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6058E">
              <w:rPr>
                <w:rFonts w:ascii="Times New Roman" w:eastAsia="Times New Roman" w:hAnsi="Times New Roman"/>
                <w:color w:val="000000"/>
                <w:sz w:val="20"/>
                <w:szCs w:val="20"/>
                <w:lang w:eastAsia="fr-FR"/>
              </w:rPr>
              <w:t>Total E&amp;P RDC</w:t>
            </w:r>
          </w:p>
        </w:tc>
      </w:tr>
      <w:tr w:rsidR="00990DCA" w:rsidRPr="00D6058E" w14:paraId="600B4E29" w14:textId="77777777" w:rsidTr="00D6058E">
        <w:trPr>
          <w:trHeight w:val="686"/>
        </w:trPr>
        <w:tc>
          <w:tcPr>
            <w:cnfStyle w:val="001000000000" w:firstRow="0" w:lastRow="0" w:firstColumn="1" w:lastColumn="0" w:oddVBand="0" w:evenVBand="0" w:oddHBand="0" w:evenHBand="0" w:firstRowFirstColumn="0" w:firstRowLastColumn="0" w:lastRowFirstColumn="0" w:lastRowLastColumn="0"/>
            <w:tcW w:w="6912" w:type="dxa"/>
            <w:vAlign w:val="center"/>
          </w:tcPr>
          <w:p w14:paraId="60C132B7" w14:textId="77777777" w:rsidR="00990DCA" w:rsidRPr="00D6058E" w:rsidRDefault="00990DCA" w:rsidP="00D6058E">
            <w:pPr>
              <w:rPr>
                <w:rFonts w:ascii="Times New Roman" w:hAnsi="Times New Roman"/>
                <w:b w:val="0"/>
                <w:sz w:val="20"/>
                <w:szCs w:val="20"/>
              </w:rPr>
            </w:pPr>
            <w:r w:rsidRPr="00D6058E">
              <w:rPr>
                <w:rFonts w:ascii="Times New Roman" w:hAnsi="Times New Roman"/>
                <w:b w:val="0"/>
                <w:sz w:val="20"/>
                <w:szCs w:val="20"/>
              </w:rPr>
              <w:t>Renouvellement de la Concession et prorogation de la Convention du 09/08/1969 suivant l’avenant n° 8 offshore</w:t>
            </w:r>
          </w:p>
        </w:tc>
        <w:tc>
          <w:tcPr>
            <w:tcW w:w="3261" w:type="dxa"/>
            <w:vAlign w:val="center"/>
          </w:tcPr>
          <w:p w14:paraId="6EC393D5"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6058E">
              <w:rPr>
                <w:rFonts w:ascii="Times New Roman" w:hAnsi="Times New Roman"/>
                <w:sz w:val="20"/>
                <w:szCs w:val="20"/>
              </w:rPr>
              <w:t>Groupes PERENCO, TEIKOKU &amp; CHEVRON</w:t>
            </w:r>
          </w:p>
        </w:tc>
      </w:tr>
    </w:tbl>
    <w:p w14:paraId="72DD5606" w14:textId="77777777" w:rsidR="002942D7" w:rsidRDefault="002942D7">
      <w:pPr>
        <w:rPr>
          <w:rFonts w:ascii="Times New Roman" w:hAnsi="Times New Roman"/>
        </w:rPr>
      </w:pPr>
    </w:p>
    <w:p w14:paraId="2CC2576F" w14:textId="5A1FAC3B" w:rsidR="000B5866" w:rsidRDefault="002942D7">
      <w:pPr>
        <w:rPr>
          <w:rFonts w:ascii="Times New Roman" w:hAnsi="Times New Roman"/>
        </w:rPr>
      </w:pPr>
      <w:r>
        <w:rPr>
          <w:rFonts w:ascii="Times New Roman" w:hAnsi="Times New Roman"/>
          <w:noProof/>
          <w:lang w:eastAsia="fr-FR"/>
        </w:rPr>
        <mc:AlternateContent>
          <mc:Choice Requires="wps">
            <w:drawing>
              <wp:anchor distT="0" distB="0" distL="114300" distR="114300" simplePos="0" relativeHeight="251660288" behindDoc="0" locked="0" layoutInCell="1" allowOverlap="1" wp14:anchorId="0C1F32E5" wp14:editId="16E8F251">
                <wp:simplePos x="0" y="0"/>
                <wp:positionH relativeFrom="margin">
                  <wp:align>center</wp:align>
                </wp:positionH>
                <wp:positionV relativeFrom="paragraph">
                  <wp:posOffset>78740</wp:posOffset>
                </wp:positionV>
                <wp:extent cx="6405562" cy="1147233"/>
                <wp:effectExtent l="0" t="0" r="14605" b="15240"/>
                <wp:wrapNone/>
                <wp:docPr id="12" name="Zone de texte 12"/>
                <wp:cNvGraphicFramePr/>
                <a:graphic xmlns:a="http://schemas.openxmlformats.org/drawingml/2006/main">
                  <a:graphicData uri="http://schemas.microsoft.com/office/word/2010/wordprocessingShape">
                    <wps:wsp>
                      <wps:cNvSpPr txBox="1"/>
                      <wps:spPr>
                        <a:xfrm>
                          <a:off x="0" y="0"/>
                          <a:ext cx="6405562" cy="1147233"/>
                        </a:xfrm>
                        <a:prstGeom prst="rect">
                          <a:avLst/>
                        </a:prstGeom>
                        <a:solidFill>
                          <a:schemeClr val="accent1">
                            <a:lumMod val="20000"/>
                            <a:lumOff val="80000"/>
                          </a:schemeClr>
                        </a:solidFill>
                        <a:ln w="6350">
                          <a:solidFill>
                            <a:schemeClr val="accent1">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2A9BFB2A" w14:textId="62BC1093" w:rsidR="00E357DF" w:rsidRPr="002942D7" w:rsidRDefault="00E357DF" w:rsidP="002942D7">
                            <w:pPr>
                              <w:spacing w:after="0" w:line="240" w:lineRule="auto"/>
                              <w:jc w:val="both"/>
                              <w:rPr>
                                <w:rFonts w:ascii="Times New Roman" w:eastAsia="Times New Roman" w:hAnsi="Times New Roman"/>
                                <w:b/>
                                <w:color w:val="002060"/>
                                <w:sz w:val="24"/>
                                <w:szCs w:val="24"/>
                                <w:lang w:eastAsia="fr-FR"/>
                              </w:rPr>
                            </w:pPr>
                            <w:r>
                              <w:rPr>
                                <w:rFonts w:ascii="Times New Roman" w:eastAsia="Times New Roman" w:hAnsi="Times New Roman"/>
                                <w:b/>
                                <w:color w:val="002060"/>
                                <w:sz w:val="24"/>
                                <w:szCs w:val="24"/>
                                <w:u w:val="single"/>
                                <w:lang w:eastAsia="fr-FR"/>
                              </w:rPr>
                              <w:t>R</w:t>
                            </w:r>
                            <w:r w:rsidRPr="002942D7">
                              <w:rPr>
                                <w:rFonts w:ascii="Times New Roman" w:eastAsia="Times New Roman" w:hAnsi="Times New Roman"/>
                                <w:b/>
                                <w:color w:val="002060"/>
                                <w:sz w:val="24"/>
                                <w:szCs w:val="24"/>
                                <w:u w:val="single"/>
                                <w:lang w:eastAsia="fr-FR"/>
                              </w:rPr>
                              <w:t>ecommand</w:t>
                            </w:r>
                            <w:r>
                              <w:rPr>
                                <w:rFonts w:ascii="Times New Roman" w:eastAsia="Times New Roman" w:hAnsi="Times New Roman"/>
                                <w:b/>
                                <w:color w:val="002060"/>
                                <w:sz w:val="24"/>
                                <w:szCs w:val="24"/>
                                <w:u w:val="single"/>
                                <w:lang w:eastAsia="fr-FR"/>
                              </w:rPr>
                              <w:t>ation</w:t>
                            </w:r>
                            <w:r w:rsidRPr="002942D7">
                              <w:rPr>
                                <w:rFonts w:ascii="Times New Roman" w:eastAsia="Times New Roman" w:hAnsi="Times New Roman"/>
                                <w:b/>
                                <w:color w:val="002060"/>
                                <w:sz w:val="24"/>
                                <w:szCs w:val="24"/>
                                <w:lang w:eastAsia="fr-FR"/>
                              </w:rPr>
                              <w:t xml:space="preserve"> : </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p>
                          <w:p w14:paraId="3CFF40B1" w14:textId="77777777" w:rsidR="00E357DF" w:rsidRDefault="00E357DF" w:rsidP="002942D7">
                            <w:pPr>
                              <w:spacing w:after="0" w:line="240" w:lineRule="auto"/>
                              <w:jc w:val="both"/>
                              <w:rPr>
                                <w:rFonts w:ascii="Times New Roman" w:eastAsia="Times New Roman" w:hAnsi="Times New Roman"/>
                                <w:color w:val="000000"/>
                                <w:sz w:val="24"/>
                                <w:szCs w:val="24"/>
                                <w:lang w:eastAsia="fr-FR"/>
                              </w:rPr>
                            </w:pPr>
                          </w:p>
                          <w:p w14:paraId="0A2C5DC1" w14:textId="77777777" w:rsidR="00E357DF" w:rsidRDefault="00E357DF" w:rsidP="002942D7">
                            <w:pPr>
                              <w:spacing w:after="0" w:line="240" w:lineRule="auto"/>
                              <w:jc w:val="both"/>
                              <w:rPr>
                                <w:rFonts w:ascii="Times New Roman" w:eastAsia="Times New Roman" w:hAnsi="Times New Roman"/>
                                <w:b/>
                                <w:color w:val="000000"/>
                                <w:sz w:val="24"/>
                                <w:szCs w:val="24"/>
                                <w:lang w:eastAsia="fr-FR"/>
                              </w:rPr>
                            </w:pPr>
                            <w:r w:rsidRPr="003D4A27">
                              <w:rPr>
                                <w:rFonts w:ascii="Times New Roman" w:eastAsia="Times New Roman" w:hAnsi="Times New Roman"/>
                                <w:b/>
                                <w:color w:val="000000"/>
                                <w:sz w:val="24"/>
                                <w:szCs w:val="24"/>
                                <w:lang w:eastAsia="fr-FR"/>
                              </w:rPr>
                              <w:t>Au SGH de :</w:t>
                            </w:r>
                          </w:p>
                          <w:p w14:paraId="499640CB" w14:textId="298BE3F4" w:rsidR="00E357DF" w:rsidRPr="00855294" w:rsidRDefault="00E357DF" w:rsidP="00C520BA">
                            <w:pPr>
                              <w:pStyle w:val="Paragraphedeliste"/>
                              <w:spacing w:after="0" w:line="240" w:lineRule="auto"/>
                              <w:ind w:left="0"/>
                              <w:jc w:val="both"/>
                              <w:rPr>
                                <w:rFonts w:ascii="Times New Roman" w:eastAsia="Times New Roman" w:hAnsi="Times New Roman" w:cs="Times New Roman"/>
                                <w:color w:val="000000"/>
                                <w:sz w:val="24"/>
                                <w:szCs w:val="24"/>
                                <w:lang w:eastAsia="fr-FR"/>
                              </w:rPr>
                            </w:pPr>
                            <w:r w:rsidRPr="00855294">
                              <w:rPr>
                                <w:rFonts w:ascii="Times New Roman" w:eastAsia="Times New Roman" w:hAnsi="Times New Roman" w:cs="Times New Roman"/>
                                <w:color w:val="000000"/>
                                <w:sz w:val="24"/>
                                <w:szCs w:val="24"/>
                                <w:lang w:eastAsia="fr-FR"/>
                              </w:rPr>
                              <w:t xml:space="preserve">Compléter </w:t>
                            </w:r>
                            <w:r>
                              <w:rPr>
                                <w:rFonts w:ascii="Times New Roman" w:eastAsia="Times New Roman" w:hAnsi="Times New Roman" w:cs="Times New Roman"/>
                                <w:color w:val="000000"/>
                                <w:sz w:val="24"/>
                                <w:szCs w:val="24"/>
                                <w:lang w:eastAsia="fr-FR"/>
                              </w:rPr>
                              <w:t>le R</w:t>
                            </w:r>
                            <w:r w:rsidRPr="00855294">
                              <w:rPr>
                                <w:rFonts w:ascii="Times New Roman" w:eastAsia="Times New Roman" w:hAnsi="Times New Roman" w:cs="Times New Roman"/>
                                <w:color w:val="000000"/>
                                <w:sz w:val="24"/>
                                <w:szCs w:val="24"/>
                                <w:lang w:eastAsia="fr-FR"/>
                              </w:rPr>
                              <w:t xml:space="preserve">egistre des droits </w:t>
                            </w:r>
                            <w:r>
                              <w:rPr>
                                <w:rFonts w:ascii="Times New Roman" w:eastAsia="Times New Roman" w:hAnsi="Times New Roman" w:cs="Times New Roman"/>
                                <w:color w:val="000000"/>
                                <w:sz w:val="24"/>
                                <w:szCs w:val="24"/>
                                <w:lang w:eastAsia="fr-FR"/>
                              </w:rPr>
                              <w:t xml:space="preserve">pétroliers, </w:t>
                            </w:r>
                            <w:r w:rsidRPr="00855294">
                              <w:rPr>
                                <w:rFonts w:ascii="Times New Roman" w:eastAsia="Times New Roman" w:hAnsi="Times New Roman" w:cs="Times New Roman"/>
                                <w:color w:val="000000"/>
                                <w:sz w:val="24"/>
                                <w:szCs w:val="24"/>
                                <w:lang w:eastAsia="fr-FR"/>
                              </w:rPr>
                              <w:t xml:space="preserve">l’actualiser régulièrement et </w:t>
                            </w:r>
                            <w:r>
                              <w:rPr>
                                <w:rFonts w:ascii="Times New Roman" w:eastAsia="Times New Roman" w:hAnsi="Times New Roman" w:cs="Times New Roman"/>
                                <w:color w:val="000000"/>
                                <w:sz w:val="24"/>
                                <w:szCs w:val="24"/>
                                <w:lang w:eastAsia="fr-FR"/>
                              </w:rPr>
                              <w:t xml:space="preserve">le </w:t>
                            </w:r>
                            <w:r w:rsidRPr="00855294">
                              <w:rPr>
                                <w:rFonts w:ascii="Times New Roman" w:eastAsia="Times New Roman" w:hAnsi="Times New Roman" w:cs="Times New Roman"/>
                                <w:color w:val="000000"/>
                                <w:sz w:val="24"/>
                                <w:szCs w:val="24"/>
                                <w:lang w:eastAsia="fr-FR"/>
                              </w:rPr>
                              <w:t>mettre en ligne pour permettre au public d’accéder aux informations qu’il contient</w:t>
                            </w:r>
                            <w:r>
                              <w:rPr>
                                <w:rFonts w:ascii="Times New Roman" w:eastAsia="Times New Roman" w:hAnsi="Times New Roman" w:cs="Times New Roman"/>
                                <w:color w:val="000000"/>
                                <w:sz w:val="24"/>
                                <w:szCs w:val="24"/>
                                <w:lang w:eastAsia="fr-F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1F32E5" id="Zone de texte 12" o:spid="_x0000_s1028" type="#_x0000_t202" style="position:absolute;margin-left:0;margin-top:6.2pt;width:504.35pt;height:90.35pt;z-index:2516602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" fillcolor="#deeaf6 [660]" strokecolor="#deeaf6 [660]" strokeweight=".5pt">
                <v:textbox>
                  <w:txbxContent>
                    <w:p w14:paraId="2A9BFB2A" w14:textId="62BC1093" w:rsidR="00E357DF" w:rsidRPr="002942D7" w:rsidRDefault="00E357DF" w:rsidP="002942D7">
                      <w:pPr>
                        <w:spacing w:after="0" w:line="240" w:lineRule="auto"/>
                        <w:jc w:val="both"/>
                        <w:rPr>
                          <w:rFonts w:ascii="Times New Roman" w:eastAsia="Times New Roman" w:hAnsi="Times New Roman"/>
                          <w:b/>
                          <w:color w:val="002060"/>
                          <w:sz w:val="24"/>
                          <w:szCs w:val="24"/>
                          <w:lang w:eastAsia="fr-FR"/>
                        </w:rPr>
                      </w:pPr>
                      <w:r>
                        <w:rPr>
                          <w:rFonts w:ascii="Times New Roman" w:eastAsia="Times New Roman" w:hAnsi="Times New Roman"/>
                          <w:b/>
                          <w:color w:val="002060"/>
                          <w:sz w:val="24"/>
                          <w:szCs w:val="24"/>
                          <w:u w:val="single"/>
                          <w:lang w:eastAsia="fr-FR"/>
                        </w:rPr>
                        <w:t>R</w:t>
                      </w:r>
                      <w:r w:rsidRPr="002942D7">
                        <w:rPr>
                          <w:rFonts w:ascii="Times New Roman" w:eastAsia="Times New Roman" w:hAnsi="Times New Roman"/>
                          <w:b/>
                          <w:color w:val="002060"/>
                          <w:sz w:val="24"/>
                          <w:szCs w:val="24"/>
                          <w:u w:val="single"/>
                          <w:lang w:eastAsia="fr-FR"/>
                        </w:rPr>
                        <w:t>ecommand</w:t>
                      </w:r>
                      <w:r>
                        <w:rPr>
                          <w:rFonts w:ascii="Times New Roman" w:eastAsia="Times New Roman" w:hAnsi="Times New Roman"/>
                          <w:b/>
                          <w:color w:val="002060"/>
                          <w:sz w:val="24"/>
                          <w:szCs w:val="24"/>
                          <w:u w:val="single"/>
                          <w:lang w:eastAsia="fr-FR"/>
                        </w:rPr>
                        <w:t>ation</w:t>
                      </w:r>
                      <w:r w:rsidRPr="002942D7">
                        <w:rPr>
                          <w:rFonts w:ascii="Times New Roman" w:eastAsia="Times New Roman" w:hAnsi="Times New Roman"/>
                          <w:b/>
                          <w:color w:val="002060"/>
                          <w:sz w:val="24"/>
                          <w:szCs w:val="24"/>
                          <w:lang w:eastAsia="fr-FR"/>
                        </w:rPr>
                        <w:t xml:space="preserve"> : </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p>
                    <w:p w14:paraId="3CFF40B1" w14:textId="77777777" w:rsidR="00E357DF" w:rsidRDefault="00E357DF" w:rsidP="002942D7">
                      <w:pPr>
                        <w:spacing w:after="0" w:line="240" w:lineRule="auto"/>
                        <w:jc w:val="both"/>
                        <w:rPr>
                          <w:rFonts w:ascii="Times New Roman" w:eastAsia="Times New Roman" w:hAnsi="Times New Roman"/>
                          <w:color w:val="000000"/>
                          <w:sz w:val="24"/>
                          <w:szCs w:val="24"/>
                          <w:lang w:eastAsia="fr-FR"/>
                        </w:rPr>
                      </w:pPr>
                    </w:p>
                    <w:p w14:paraId="0A2C5DC1" w14:textId="77777777" w:rsidR="00E357DF" w:rsidRDefault="00E357DF" w:rsidP="002942D7">
                      <w:pPr>
                        <w:spacing w:after="0" w:line="240" w:lineRule="auto"/>
                        <w:jc w:val="both"/>
                        <w:rPr>
                          <w:rFonts w:ascii="Times New Roman" w:eastAsia="Times New Roman" w:hAnsi="Times New Roman"/>
                          <w:b/>
                          <w:color w:val="000000"/>
                          <w:sz w:val="24"/>
                          <w:szCs w:val="24"/>
                          <w:lang w:eastAsia="fr-FR"/>
                        </w:rPr>
                      </w:pPr>
                      <w:r w:rsidRPr="003D4A27">
                        <w:rPr>
                          <w:rFonts w:ascii="Times New Roman" w:eastAsia="Times New Roman" w:hAnsi="Times New Roman"/>
                          <w:b/>
                          <w:color w:val="000000"/>
                          <w:sz w:val="24"/>
                          <w:szCs w:val="24"/>
                          <w:lang w:eastAsia="fr-FR"/>
                        </w:rPr>
                        <w:t>Au SGH de :</w:t>
                      </w:r>
                    </w:p>
                    <w:p w14:paraId="499640CB" w14:textId="298BE3F4" w:rsidR="00E357DF" w:rsidRPr="00855294" w:rsidRDefault="00E357DF" w:rsidP="00C520BA">
                      <w:pPr>
                        <w:pStyle w:val="Paragraphedeliste"/>
                        <w:spacing w:after="0" w:line="240" w:lineRule="auto"/>
                        <w:ind w:left="0"/>
                        <w:jc w:val="both"/>
                        <w:rPr>
                          <w:rFonts w:ascii="Times New Roman" w:eastAsia="Times New Roman" w:hAnsi="Times New Roman" w:cs="Times New Roman"/>
                          <w:color w:val="000000"/>
                          <w:sz w:val="24"/>
                          <w:szCs w:val="24"/>
                          <w:lang w:eastAsia="fr-FR"/>
                        </w:rPr>
                      </w:pPr>
                      <w:r w:rsidRPr="00855294">
                        <w:rPr>
                          <w:rFonts w:ascii="Times New Roman" w:eastAsia="Times New Roman" w:hAnsi="Times New Roman" w:cs="Times New Roman"/>
                          <w:color w:val="000000"/>
                          <w:sz w:val="24"/>
                          <w:szCs w:val="24"/>
                          <w:lang w:eastAsia="fr-FR"/>
                        </w:rPr>
                        <w:t xml:space="preserve">Compléter </w:t>
                      </w:r>
                      <w:r>
                        <w:rPr>
                          <w:rFonts w:ascii="Times New Roman" w:eastAsia="Times New Roman" w:hAnsi="Times New Roman" w:cs="Times New Roman"/>
                          <w:color w:val="000000"/>
                          <w:sz w:val="24"/>
                          <w:szCs w:val="24"/>
                          <w:lang w:eastAsia="fr-FR"/>
                        </w:rPr>
                        <w:t>le R</w:t>
                      </w:r>
                      <w:r w:rsidRPr="00855294">
                        <w:rPr>
                          <w:rFonts w:ascii="Times New Roman" w:eastAsia="Times New Roman" w:hAnsi="Times New Roman" w:cs="Times New Roman"/>
                          <w:color w:val="000000"/>
                          <w:sz w:val="24"/>
                          <w:szCs w:val="24"/>
                          <w:lang w:eastAsia="fr-FR"/>
                        </w:rPr>
                        <w:t xml:space="preserve">egistre des droits </w:t>
                      </w:r>
                      <w:r>
                        <w:rPr>
                          <w:rFonts w:ascii="Times New Roman" w:eastAsia="Times New Roman" w:hAnsi="Times New Roman" w:cs="Times New Roman"/>
                          <w:color w:val="000000"/>
                          <w:sz w:val="24"/>
                          <w:szCs w:val="24"/>
                          <w:lang w:eastAsia="fr-FR"/>
                        </w:rPr>
                        <w:t xml:space="preserve">pétroliers, </w:t>
                      </w:r>
                      <w:r w:rsidRPr="00855294">
                        <w:rPr>
                          <w:rFonts w:ascii="Times New Roman" w:eastAsia="Times New Roman" w:hAnsi="Times New Roman" w:cs="Times New Roman"/>
                          <w:color w:val="000000"/>
                          <w:sz w:val="24"/>
                          <w:szCs w:val="24"/>
                          <w:lang w:eastAsia="fr-FR"/>
                        </w:rPr>
                        <w:t xml:space="preserve">l’actualiser régulièrement et </w:t>
                      </w:r>
                      <w:r>
                        <w:rPr>
                          <w:rFonts w:ascii="Times New Roman" w:eastAsia="Times New Roman" w:hAnsi="Times New Roman" w:cs="Times New Roman"/>
                          <w:color w:val="000000"/>
                          <w:sz w:val="24"/>
                          <w:szCs w:val="24"/>
                          <w:lang w:eastAsia="fr-FR"/>
                        </w:rPr>
                        <w:t xml:space="preserve">le </w:t>
                      </w:r>
                      <w:r w:rsidRPr="00855294">
                        <w:rPr>
                          <w:rFonts w:ascii="Times New Roman" w:eastAsia="Times New Roman" w:hAnsi="Times New Roman" w:cs="Times New Roman"/>
                          <w:color w:val="000000"/>
                          <w:sz w:val="24"/>
                          <w:szCs w:val="24"/>
                          <w:lang w:eastAsia="fr-FR"/>
                        </w:rPr>
                        <w:t>mettre en ligne pour permettre au public d’accéder aux informations qu’il contient</w:t>
                      </w:r>
                      <w:r>
                        <w:rPr>
                          <w:rFonts w:ascii="Times New Roman" w:eastAsia="Times New Roman" w:hAnsi="Times New Roman" w:cs="Times New Roman"/>
                          <w:color w:val="000000"/>
                          <w:sz w:val="24"/>
                          <w:szCs w:val="24"/>
                          <w:lang w:eastAsia="fr-FR"/>
                        </w:rPr>
                        <w:t>.</w:t>
                      </w:r>
                    </w:p>
                  </w:txbxContent>
                </v:textbox>
                <w10:wrap anchorx="margin"/>
              </v:shape>
            </w:pict>
          </mc:Fallback>
        </mc:AlternateContent>
      </w:r>
      <w:r w:rsidR="000B5866">
        <w:rPr>
          <w:rFonts w:ascii="Times New Roman" w:hAnsi="Times New Roman"/>
        </w:rPr>
        <w:br w:type="page"/>
      </w:r>
    </w:p>
    <w:p w14:paraId="36A0FD50" w14:textId="77777777" w:rsidR="00C579DE" w:rsidRPr="00840E13" w:rsidRDefault="00C579DE" w:rsidP="000738D3">
      <w:pPr>
        <w:pStyle w:val="Titre1"/>
        <w:numPr>
          <w:ilvl w:val="0"/>
          <w:numId w:val="4"/>
        </w:numPr>
        <w:ind w:left="567" w:hanging="425"/>
        <w:rPr>
          <w:rFonts w:ascii="Times New Roman" w:hAnsi="Times New Roman" w:cs="Times New Roman"/>
          <w:bCs/>
          <w:i/>
          <w:iCs/>
          <w:sz w:val="28"/>
          <w:szCs w:val="28"/>
        </w:rPr>
      </w:pPr>
      <w:bookmarkStart w:id="132" w:name="_Toc516047991"/>
      <w:bookmarkStart w:id="133" w:name="_Toc518468076"/>
      <w:r w:rsidRPr="00840E13">
        <w:rPr>
          <w:rFonts w:ascii="Times New Roman" w:hAnsi="Times New Roman" w:cs="Times New Roman"/>
          <w:sz w:val="28"/>
          <w:szCs w:val="28"/>
        </w:rPr>
        <w:lastRenderedPageBreak/>
        <w:t>POLITIQUE DE PUBLICATION DES CONTRATS MINIERS ET PETROLIERS</w:t>
      </w:r>
      <w:bookmarkEnd w:id="132"/>
      <w:bookmarkEnd w:id="133"/>
    </w:p>
    <w:p w14:paraId="5922C48C" w14:textId="77777777" w:rsidR="00C579DE" w:rsidRPr="00840E13" w:rsidRDefault="00C579DE" w:rsidP="00C579DE">
      <w:pPr>
        <w:tabs>
          <w:tab w:val="left" w:pos="720"/>
        </w:tabs>
        <w:spacing w:before="120" w:after="120"/>
        <w:jc w:val="both"/>
        <w:rPr>
          <w:rFonts w:ascii="Times New Roman" w:hAnsi="Times New Roman"/>
          <w:sz w:val="24"/>
          <w:szCs w:val="24"/>
        </w:rPr>
      </w:pPr>
      <w:r w:rsidRPr="00840E13">
        <w:rPr>
          <w:rFonts w:ascii="Times New Roman" w:hAnsi="Times New Roman"/>
          <w:sz w:val="24"/>
          <w:szCs w:val="24"/>
        </w:rPr>
        <w:t>La politique de divulgation des contrats exigée par la Norme ITIE (Exigence 2.4.b) est consacrée en RDC par le Décret du Premier Ministre n° 011/26 du 20 mai 2011 portant obligation de publier tout contrat ayant pour objet les ressources naturelles.</w:t>
      </w:r>
    </w:p>
    <w:p w14:paraId="25DB0A93" w14:textId="77777777" w:rsidR="00C579DE" w:rsidRPr="00840E13" w:rsidRDefault="00C579DE" w:rsidP="00C579DE">
      <w:pPr>
        <w:tabs>
          <w:tab w:val="left" w:pos="720"/>
        </w:tabs>
        <w:spacing w:before="120" w:after="120"/>
        <w:jc w:val="both"/>
        <w:rPr>
          <w:rFonts w:ascii="Times New Roman" w:hAnsi="Times New Roman"/>
          <w:i/>
          <w:sz w:val="24"/>
          <w:szCs w:val="24"/>
        </w:rPr>
      </w:pPr>
      <w:r w:rsidRPr="00840E13">
        <w:rPr>
          <w:rFonts w:ascii="Times New Roman" w:hAnsi="Times New Roman"/>
          <w:sz w:val="24"/>
          <w:szCs w:val="24"/>
        </w:rPr>
        <w:t>Aux termes de l’Article 2 dudit Décret, « </w:t>
      </w:r>
      <w:r w:rsidRPr="00840E13">
        <w:rPr>
          <w:rFonts w:ascii="Times New Roman" w:hAnsi="Times New Roman"/>
          <w:i/>
          <w:sz w:val="24"/>
          <w:szCs w:val="24"/>
        </w:rPr>
        <w:t>Tout contrat conclu entre l'Etat ou une Entreprise du Portefeuille et un ou plusieurs partenaires privés nationaux ou étrangers, de droit privé ou public, et ayant pour objet la recherche, l'exploration ou l'exploitation d'une des ressources naturelles, est publié par le Ministre en charge du secteur duquel relève l'administration de la ressource naturelle concernée dans les soixante (60) jours francs qui suivent la date de son entrée en vigueur.</w:t>
      </w:r>
    </w:p>
    <w:p w14:paraId="5F316977" w14:textId="77777777" w:rsidR="00C579DE" w:rsidRPr="00840E13" w:rsidRDefault="00C579DE" w:rsidP="00C579DE">
      <w:pPr>
        <w:tabs>
          <w:tab w:val="left" w:pos="720"/>
        </w:tabs>
        <w:spacing w:before="120" w:after="120"/>
        <w:jc w:val="both"/>
        <w:rPr>
          <w:rFonts w:ascii="Times New Roman" w:hAnsi="Times New Roman"/>
          <w:sz w:val="24"/>
          <w:szCs w:val="24"/>
        </w:rPr>
      </w:pPr>
      <w:r w:rsidRPr="00840E13">
        <w:rPr>
          <w:rFonts w:ascii="Times New Roman" w:hAnsi="Times New Roman"/>
          <w:i/>
          <w:sz w:val="24"/>
          <w:szCs w:val="24"/>
        </w:rPr>
        <w:t>La publication est faite au Journal Officiel, sur le site Internet du ministère concerné, dans une ou plusieurs revues spécialisées et dans au moins deux quotidiens locaux parmi ceux qui jouissent d'une large diffusion</w:t>
      </w:r>
      <w:r>
        <w:rPr>
          <w:rFonts w:ascii="Times New Roman" w:hAnsi="Times New Roman"/>
          <w:i/>
          <w:sz w:val="24"/>
          <w:szCs w:val="24"/>
        </w:rPr>
        <w:t xml:space="preserve"> </w:t>
      </w:r>
      <w:r w:rsidRPr="00840E13">
        <w:rPr>
          <w:rFonts w:ascii="Times New Roman" w:hAnsi="Times New Roman"/>
          <w:sz w:val="24"/>
          <w:szCs w:val="24"/>
        </w:rPr>
        <w:t>».</w:t>
      </w:r>
    </w:p>
    <w:p w14:paraId="05A7DFB0" w14:textId="77777777" w:rsidR="00C579DE" w:rsidRPr="00840E13" w:rsidRDefault="00C579DE" w:rsidP="00C579DE">
      <w:pPr>
        <w:autoSpaceDE w:val="0"/>
        <w:autoSpaceDN w:val="0"/>
        <w:adjustRightInd w:val="0"/>
        <w:spacing w:after="0"/>
        <w:jc w:val="both"/>
        <w:rPr>
          <w:rFonts w:ascii="Times New Roman" w:hAnsi="Times New Roman"/>
          <w:sz w:val="28"/>
          <w:szCs w:val="28"/>
        </w:rPr>
      </w:pPr>
      <w:r>
        <w:rPr>
          <w:rFonts w:ascii="Times New Roman" w:hAnsi="Times New Roman"/>
          <w:sz w:val="24"/>
          <w:szCs w:val="24"/>
        </w:rPr>
        <w:t xml:space="preserve"> L</w:t>
      </w:r>
      <w:r w:rsidRPr="00840E13">
        <w:rPr>
          <w:rFonts w:ascii="Times New Roman" w:hAnsi="Times New Roman"/>
          <w:sz w:val="24"/>
          <w:szCs w:val="24"/>
        </w:rPr>
        <w:t xml:space="preserve">a substance de ce Décret </w:t>
      </w:r>
      <w:r>
        <w:rPr>
          <w:rFonts w:ascii="Times New Roman" w:hAnsi="Times New Roman"/>
          <w:sz w:val="24"/>
          <w:szCs w:val="24"/>
        </w:rPr>
        <w:t xml:space="preserve"> a été versée</w:t>
      </w:r>
      <w:r w:rsidRPr="00840E13">
        <w:rPr>
          <w:rFonts w:ascii="Times New Roman" w:hAnsi="Times New Roman"/>
          <w:sz w:val="24"/>
          <w:szCs w:val="24"/>
        </w:rPr>
        <w:t xml:space="preserve"> d</w:t>
      </w:r>
      <w:r>
        <w:rPr>
          <w:rFonts w:ascii="Times New Roman" w:hAnsi="Times New Roman"/>
          <w:sz w:val="24"/>
          <w:szCs w:val="24"/>
        </w:rPr>
        <w:t>ans</w:t>
      </w:r>
      <w:r w:rsidRPr="00840E13">
        <w:rPr>
          <w:rFonts w:ascii="Times New Roman" w:hAnsi="Times New Roman"/>
          <w:sz w:val="24"/>
          <w:szCs w:val="24"/>
        </w:rPr>
        <w:t xml:space="preserve"> </w:t>
      </w:r>
      <w:r>
        <w:rPr>
          <w:rFonts w:ascii="Times New Roman" w:hAnsi="Times New Roman"/>
          <w:sz w:val="24"/>
          <w:szCs w:val="24"/>
        </w:rPr>
        <w:t xml:space="preserve">le </w:t>
      </w:r>
      <w:r w:rsidRPr="00840E13">
        <w:rPr>
          <w:rFonts w:ascii="Times New Roman" w:hAnsi="Times New Roman"/>
          <w:sz w:val="24"/>
          <w:szCs w:val="24"/>
        </w:rPr>
        <w:t xml:space="preserve">Code Minier tel que modifié et complété, </w:t>
      </w:r>
      <w:r>
        <w:rPr>
          <w:rFonts w:ascii="Times New Roman" w:hAnsi="Times New Roman"/>
          <w:sz w:val="24"/>
          <w:szCs w:val="24"/>
        </w:rPr>
        <w:t xml:space="preserve">en son </w:t>
      </w:r>
      <w:r w:rsidRPr="00840E13">
        <w:rPr>
          <w:rFonts w:ascii="Times New Roman" w:hAnsi="Times New Roman"/>
          <w:sz w:val="24"/>
          <w:szCs w:val="24"/>
        </w:rPr>
        <w:t>article 7 quater qui stipule : « </w:t>
      </w:r>
      <w:r w:rsidRPr="00840E13">
        <w:rPr>
          <w:rFonts w:ascii="Times New Roman" w:hAnsi="Times New Roman"/>
          <w:i/>
          <w:iCs/>
          <w:color w:val="000000"/>
          <w:sz w:val="24"/>
          <w:szCs w:val="24"/>
        </w:rPr>
        <w:t>Les contrats miniers, leurs annexes et avenants sont publiés au Journal officiel et sur le site web du</w:t>
      </w:r>
      <w:r w:rsidRPr="00840E13">
        <w:rPr>
          <w:rFonts w:ascii="Times New Roman" w:hAnsi="Times New Roman"/>
          <w:sz w:val="24"/>
          <w:szCs w:val="24"/>
        </w:rPr>
        <w:t xml:space="preserve"> </w:t>
      </w:r>
      <w:r w:rsidRPr="00840E13">
        <w:rPr>
          <w:rFonts w:ascii="Times New Roman" w:hAnsi="Times New Roman"/>
          <w:i/>
          <w:iCs/>
          <w:color w:val="000000"/>
          <w:sz w:val="24"/>
          <w:szCs w:val="24"/>
        </w:rPr>
        <w:t>Ministère des Mines endéans soixante jours de la</w:t>
      </w:r>
      <w:r w:rsidRPr="00840E13">
        <w:rPr>
          <w:rFonts w:ascii="Times New Roman" w:hAnsi="Times New Roman"/>
          <w:sz w:val="24"/>
          <w:szCs w:val="24"/>
        </w:rPr>
        <w:t xml:space="preserve"> </w:t>
      </w:r>
      <w:r w:rsidRPr="00840E13">
        <w:rPr>
          <w:rFonts w:ascii="Times New Roman" w:hAnsi="Times New Roman"/>
          <w:i/>
          <w:iCs/>
          <w:color w:val="000000"/>
          <w:sz w:val="24"/>
          <w:szCs w:val="24"/>
        </w:rPr>
        <w:t>date de leur signature</w:t>
      </w:r>
      <w:r>
        <w:rPr>
          <w:rFonts w:ascii="Times New Roman" w:hAnsi="Times New Roman"/>
          <w:i/>
          <w:iCs/>
          <w:color w:val="000000"/>
          <w:sz w:val="24"/>
          <w:szCs w:val="24"/>
        </w:rPr>
        <w:t xml:space="preserve"> </w:t>
      </w:r>
      <w:r w:rsidRPr="00840E13">
        <w:rPr>
          <w:rFonts w:ascii="Times New Roman" w:hAnsi="Times New Roman"/>
          <w:i/>
          <w:iCs/>
          <w:color w:val="000000"/>
          <w:sz w:val="28"/>
          <w:szCs w:val="28"/>
        </w:rPr>
        <w:t xml:space="preserve">».   </w:t>
      </w:r>
    </w:p>
    <w:p w14:paraId="143D142B" w14:textId="77777777" w:rsidR="00C579DE" w:rsidRDefault="00C579DE" w:rsidP="00C579DE">
      <w:pPr>
        <w:tabs>
          <w:tab w:val="left" w:pos="720"/>
        </w:tabs>
        <w:spacing w:before="120" w:after="120"/>
        <w:jc w:val="both"/>
        <w:rPr>
          <w:rFonts w:ascii="Times New Roman" w:hAnsi="Times New Roman"/>
          <w:sz w:val="24"/>
          <w:szCs w:val="24"/>
        </w:rPr>
      </w:pPr>
      <w:r w:rsidRPr="00840E13">
        <w:rPr>
          <w:rFonts w:ascii="Times New Roman" w:hAnsi="Times New Roman"/>
          <w:sz w:val="24"/>
          <w:szCs w:val="24"/>
        </w:rPr>
        <w:t>Cependant, dans la pratique, cette disposition n’est pas de stricte application</w:t>
      </w:r>
      <w:r>
        <w:rPr>
          <w:rFonts w:ascii="Times New Roman" w:hAnsi="Times New Roman"/>
          <w:sz w:val="24"/>
          <w:szCs w:val="24"/>
        </w:rPr>
        <w:t xml:space="preserve"> dans la mesure où certains contrats ne sont toujours pas publiés, et pour ceux qui sont publiés, le délai de soixante </w:t>
      </w:r>
      <w:r w:rsidR="000B5866">
        <w:rPr>
          <w:rFonts w:ascii="Times New Roman" w:hAnsi="Times New Roman"/>
          <w:sz w:val="24"/>
          <w:szCs w:val="24"/>
        </w:rPr>
        <w:t>jours</w:t>
      </w:r>
      <w:r>
        <w:rPr>
          <w:rFonts w:ascii="Times New Roman" w:hAnsi="Times New Roman"/>
          <w:sz w:val="24"/>
          <w:szCs w:val="24"/>
        </w:rPr>
        <w:t xml:space="preserve"> n’est généralement pas respecté</w:t>
      </w:r>
      <w:r w:rsidRPr="00840E13">
        <w:rPr>
          <w:rFonts w:ascii="Times New Roman" w:hAnsi="Times New Roman"/>
          <w:sz w:val="24"/>
          <w:szCs w:val="24"/>
        </w:rPr>
        <w:t xml:space="preserve">. </w:t>
      </w:r>
    </w:p>
    <w:p w14:paraId="063B7610" w14:textId="77777777" w:rsidR="00C579DE" w:rsidRPr="00840E13" w:rsidRDefault="00C579DE" w:rsidP="00C579DE">
      <w:pPr>
        <w:tabs>
          <w:tab w:val="left" w:pos="720"/>
        </w:tabs>
        <w:spacing w:before="120" w:after="120"/>
        <w:jc w:val="both"/>
        <w:rPr>
          <w:rFonts w:ascii="Times New Roman" w:hAnsi="Times New Roman"/>
          <w:sz w:val="24"/>
          <w:szCs w:val="24"/>
        </w:rPr>
      </w:pPr>
      <w:r w:rsidRPr="00840E13">
        <w:rPr>
          <w:rFonts w:ascii="Times New Roman" w:hAnsi="Times New Roman"/>
          <w:sz w:val="24"/>
          <w:szCs w:val="24"/>
        </w:rPr>
        <w:t xml:space="preserve">Dans le cadre des efforts concertés des Organisations de la société civile et du Secrétariat Technique, il a été constaté qu’un certain nombre de contrats miniers, avenants et annexes demeurait non publié à ce jour. Une liste de ces contrats a été dressée et communiquée à la CTCPM, qui est l’organe attitré du Ministère des mines, pour publication. </w:t>
      </w:r>
    </w:p>
    <w:p w14:paraId="322CFF62" w14:textId="77777777" w:rsidR="00C579DE" w:rsidRDefault="00C579DE" w:rsidP="00C579DE">
      <w:pPr>
        <w:tabs>
          <w:tab w:val="left" w:pos="720"/>
        </w:tabs>
        <w:spacing w:before="120" w:after="120"/>
        <w:jc w:val="both"/>
        <w:rPr>
          <w:rFonts w:ascii="Times New Roman" w:hAnsi="Times New Roman"/>
          <w:sz w:val="24"/>
          <w:szCs w:val="24"/>
        </w:rPr>
      </w:pPr>
      <w:r w:rsidRPr="00840E13">
        <w:rPr>
          <w:rFonts w:ascii="Times New Roman" w:hAnsi="Times New Roman"/>
          <w:sz w:val="24"/>
          <w:szCs w:val="24"/>
        </w:rPr>
        <w:t>En attendant le résultat de cette démarche, la liste en question peut être consultée sur le site de l’ITIE-RDC </w:t>
      </w:r>
      <w:r w:rsidRPr="00935E57">
        <w:rPr>
          <w:rFonts w:ascii="Times New Roman" w:hAnsi="Times New Roman"/>
          <w:sz w:val="24"/>
          <w:szCs w:val="24"/>
        </w:rPr>
        <w:t>(</w:t>
      </w:r>
      <w:hyperlink r:id="rId35" w:history="1">
        <w:r w:rsidRPr="00840E13">
          <w:rPr>
            <w:rStyle w:val="Lienhypertexte"/>
            <w:rFonts w:ascii="Times New Roman" w:hAnsi="Times New Roman"/>
            <w:sz w:val="24"/>
            <w:szCs w:val="24"/>
          </w:rPr>
          <w:t>Liste des contrats non publiés</w:t>
        </w:r>
      </w:hyperlink>
      <w:r w:rsidRPr="00840E13">
        <w:rPr>
          <w:rFonts w:ascii="Times New Roman" w:hAnsi="Times New Roman"/>
          <w:sz w:val="24"/>
          <w:szCs w:val="24"/>
        </w:rPr>
        <w:t>)</w:t>
      </w:r>
      <w:r>
        <w:rPr>
          <w:rFonts w:ascii="Times New Roman" w:hAnsi="Times New Roman"/>
          <w:sz w:val="24"/>
          <w:szCs w:val="24"/>
        </w:rPr>
        <w:t>.</w:t>
      </w:r>
    </w:p>
    <w:p w14:paraId="034E1597" w14:textId="77777777" w:rsidR="00C579DE" w:rsidRPr="000B5866" w:rsidRDefault="00C579DE" w:rsidP="001315A1">
      <w:pPr>
        <w:shd w:val="clear" w:color="auto" w:fill="FFFFFF"/>
        <w:spacing w:line="240" w:lineRule="auto"/>
        <w:jc w:val="both"/>
        <w:rPr>
          <w:rFonts w:ascii="Times New Roman" w:hAnsi="Times New Roman"/>
          <w:sz w:val="24"/>
          <w:szCs w:val="24"/>
        </w:rPr>
      </w:pPr>
      <w:r w:rsidRPr="000B5866">
        <w:rPr>
          <w:rFonts w:ascii="Times New Roman" w:hAnsi="Times New Roman"/>
          <w:sz w:val="24"/>
          <w:szCs w:val="24"/>
        </w:rPr>
        <w:t>A la suite de la publication de cette liste, la Gécamines a transmis au ST les contrats suivants, qui peuvent être consultés sur le site de l’ITIE-RDC:</w:t>
      </w:r>
    </w:p>
    <w:p w14:paraId="659F042A" w14:textId="77777777" w:rsidR="00C579DE" w:rsidRPr="000B5866" w:rsidRDefault="00C579DE" w:rsidP="000738D3">
      <w:pPr>
        <w:pStyle w:val="Paragraphedeliste"/>
        <w:numPr>
          <w:ilvl w:val="0"/>
          <w:numId w:val="11"/>
        </w:numPr>
        <w:shd w:val="clear" w:color="auto" w:fill="FFFFFF"/>
        <w:spacing w:after="0"/>
        <w:jc w:val="both"/>
        <w:rPr>
          <w:rFonts w:ascii="Times New Roman" w:eastAsia="Calibri" w:hAnsi="Times New Roman" w:cs="Times New Roman"/>
          <w:sz w:val="24"/>
          <w:szCs w:val="24"/>
        </w:rPr>
      </w:pPr>
      <w:r w:rsidRPr="000B5866">
        <w:rPr>
          <w:rFonts w:ascii="Times New Roman" w:eastAsia="Calibri" w:hAnsi="Times New Roman" w:cs="Times New Roman"/>
          <w:sz w:val="24"/>
          <w:szCs w:val="24"/>
        </w:rPr>
        <w:t xml:space="preserve">Contrat d’amodiation Divina </w:t>
      </w:r>
      <w:proofErr w:type="spellStart"/>
      <w:r w:rsidRPr="000B5866">
        <w:rPr>
          <w:rFonts w:ascii="Times New Roman" w:eastAsia="Calibri" w:hAnsi="Times New Roman" w:cs="Times New Roman"/>
          <w:sz w:val="24"/>
          <w:szCs w:val="24"/>
        </w:rPr>
        <w:t>Mining</w:t>
      </w:r>
      <w:proofErr w:type="spellEnd"/>
      <w:r w:rsidRPr="000B5866">
        <w:rPr>
          <w:rFonts w:ascii="Times New Roman" w:eastAsia="Calibri" w:hAnsi="Times New Roman" w:cs="Times New Roman"/>
          <w:sz w:val="24"/>
          <w:szCs w:val="24"/>
        </w:rPr>
        <w:t>-complet ;</w:t>
      </w:r>
    </w:p>
    <w:p w14:paraId="206FB5F3" w14:textId="77777777" w:rsidR="00C579DE" w:rsidRPr="000B5866" w:rsidRDefault="00C579DE" w:rsidP="000738D3">
      <w:pPr>
        <w:pStyle w:val="Paragraphedeliste"/>
        <w:numPr>
          <w:ilvl w:val="0"/>
          <w:numId w:val="11"/>
        </w:numPr>
        <w:shd w:val="clear" w:color="auto" w:fill="FFFFFF"/>
        <w:spacing w:after="0"/>
        <w:jc w:val="both"/>
        <w:rPr>
          <w:rFonts w:ascii="Times New Roman" w:eastAsia="Calibri" w:hAnsi="Times New Roman" w:cs="Times New Roman"/>
          <w:sz w:val="24"/>
          <w:szCs w:val="24"/>
        </w:rPr>
      </w:pPr>
      <w:r w:rsidRPr="000B5866">
        <w:rPr>
          <w:rFonts w:ascii="Times New Roman" w:eastAsia="Calibri" w:hAnsi="Times New Roman" w:cs="Times New Roman"/>
          <w:sz w:val="24"/>
          <w:szCs w:val="24"/>
        </w:rPr>
        <w:t>Contrat d’amodiation FRETIN CONSTRUCTION (</w:t>
      </w:r>
      <w:proofErr w:type="spellStart"/>
      <w:r w:rsidRPr="000B5866">
        <w:rPr>
          <w:rFonts w:ascii="Times New Roman" w:eastAsia="Calibri" w:hAnsi="Times New Roman" w:cs="Times New Roman"/>
          <w:sz w:val="24"/>
          <w:szCs w:val="24"/>
        </w:rPr>
        <w:t>Kalabi</w:t>
      </w:r>
      <w:proofErr w:type="spellEnd"/>
      <w:r w:rsidRPr="000B5866">
        <w:rPr>
          <w:rFonts w:ascii="Times New Roman" w:eastAsia="Calibri" w:hAnsi="Times New Roman" w:cs="Times New Roman"/>
          <w:sz w:val="24"/>
          <w:szCs w:val="24"/>
        </w:rPr>
        <w:t>) ;</w:t>
      </w:r>
    </w:p>
    <w:p w14:paraId="78A3EAF7" w14:textId="77777777" w:rsidR="00C579DE" w:rsidRPr="000B5866" w:rsidRDefault="00C579DE" w:rsidP="000738D3">
      <w:pPr>
        <w:pStyle w:val="Paragraphedeliste"/>
        <w:numPr>
          <w:ilvl w:val="0"/>
          <w:numId w:val="11"/>
        </w:numPr>
        <w:shd w:val="clear" w:color="auto" w:fill="FFFFFF"/>
        <w:spacing w:after="0"/>
        <w:jc w:val="both"/>
        <w:rPr>
          <w:rFonts w:ascii="Times New Roman" w:eastAsia="Calibri" w:hAnsi="Times New Roman" w:cs="Times New Roman"/>
          <w:sz w:val="24"/>
          <w:szCs w:val="24"/>
        </w:rPr>
      </w:pPr>
      <w:r w:rsidRPr="000B5866">
        <w:rPr>
          <w:rFonts w:ascii="Times New Roman" w:eastAsia="Calibri" w:hAnsi="Times New Roman" w:cs="Times New Roman"/>
          <w:sz w:val="24"/>
          <w:szCs w:val="24"/>
        </w:rPr>
        <w:t>Contrat d’amodiation n° 1439-15759-SG-GC-014 (</w:t>
      </w:r>
      <w:proofErr w:type="spellStart"/>
      <w:r w:rsidRPr="000B5866">
        <w:rPr>
          <w:rFonts w:ascii="Times New Roman" w:eastAsia="Calibri" w:hAnsi="Times New Roman" w:cs="Times New Roman"/>
          <w:sz w:val="24"/>
          <w:szCs w:val="24"/>
        </w:rPr>
        <w:t>Sicomines</w:t>
      </w:r>
      <w:proofErr w:type="spellEnd"/>
      <w:r w:rsidRPr="000B5866">
        <w:rPr>
          <w:rFonts w:ascii="Times New Roman" w:eastAsia="Calibri" w:hAnsi="Times New Roman" w:cs="Times New Roman"/>
          <w:sz w:val="24"/>
          <w:szCs w:val="24"/>
        </w:rPr>
        <w:t>) ;</w:t>
      </w:r>
    </w:p>
    <w:p w14:paraId="4379EEB5" w14:textId="77777777" w:rsidR="00C579DE" w:rsidRPr="000B5866" w:rsidRDefault="00C579DE" w:rsidP="000738D3">
      <w:pPr>
        <w:pStyle w:val="Paragraphedeliste"/>
        <w:numPr>
          <w:ilvl w:val="0"/>
          <w:numId w:val="11"/>
        </w:numPr>
        <w:shd w:val="clear" w:color="auto" w:fill="FFFFFF"/>
        <w:spacing w:after="0"/>
        <w:jc w:val="both"/>
        <w:rPr>
          <w:rFonts w:ascii="Times New Roman" w:eastAsia="Calibri" w:hAnsi="Times New Roman" w:cs="Times New Roman"/>
          <w:sz w:val="24"/>
          <w:szCs w:val="24"/>
        </w:rPr>
      </w:pPr>
      <w:r w:rsidRPr="000B5866">
        <w:rPr>
          <w:rFonts w:ascii="Times New Roman" w:eastAsia="Calibri" w:hAnsi="Times New Roman" w:cs="Times New Roman"/>
          <w:sz w:val="24"/>
          <w:szCs w:val="24"/>
        </w:rPr>
        <w:t xml:space="preserve">Contrat d’amodiation </w:t>
      </w:r>
      <w:proofErr w:type="spellStart"/>
      <w:r w:rsidRPr="000B5866">
        <w:rPr>
          <w:rFonts w:ascii="Times New Roman" w:eastAsia="Calibri" w:hAnsi="Times New Roman" w:cs="Times New Roman"/>
          <w:sz w:val="24"/>
          <w:szCs w:val="24"/>
        </w:rPr>
        <w:t>Shangolowe</w:t>
      </w:r>
      <w:proofErr w:type="spellEnd"/>
      <w:r w:rsidRPr="000B5866">
        <w:rPr>
          <w:rFonts w:ascii="Times New Roman" w:eastAsia="Calibri" w:hAnsi="Times New Roman" w:cs="Times New Roman"/>
          <w:sz w:val="24"/>
          <w:szCs w:val="24"/>
        </w:rPr>
        <w:t xml:space="preserve"> pour MM </w:t>
      </w:r>
      <w:proofErr w:type="spellStart"/>
      <w:r w:rsidRPr="000B5866">
        <w:rPr>
          <w:rFonts w:ascii="Times New Roman" w:eastAsia="Calibri" w:hAnsi="Times New Roman" w:cs="Times New Roman"/>
          <w:sz w:val="24"/>
          <w:szCs w:val="24"/>
        </w:rPr>
        <w:t>Mining</w:t>
      </w:r>
      <w:proofErr w:type="spellEnd"/>
      <w:r w:rsidRPr="000B5866">
        <w:rPr>
          <w:rFonts w:ascii="Times New Roman" w:eastAsia="Calibri" w:hAnsi="Times New Roman" w:cs="Times New Roman"/>
          <w:sz w:val="24"/>
          <w:szCs w:val="24"/>
        </w:rPr>
        <w:t> ;</w:t>
      </w:r>
    </w:p>
    <w:p w14:paraId="37C75BAA" w14:textId="77777777" w:rsidR="00C579DE" w:rsidRPr="000B5866" w:rsidRDefault="00C579DE" w:rsidP="000738D3">
      <w:pPr>
        <w:pStyle w:val="Paragraphedeliste"/>
        <w:numPr>
          <w:ilvl w:val="0"/>
          <w:numId w:val="11"/>
        </w:numPr>
        <w:shd w:val="clear" w:color="auto" w:fill="FFFFFF"/>
        <w:spacing w:after="0"/>
        <w:jc w:val="both"/>
        <w:rPr>
          <w:rFonts w:ascii="Times New Roman" w:eastAsia="Calibri" w:hAnsi="Times New Roman" w:cs="Times New Roman"/>
          <w:sz w:val="24"/>
          <w:szCs w:val="24"/>
        </w:rPr>
      </w:pPr>
      <w:r w:rsidRPr="000B5866">
        <w:rPr>
          <w:rFonts w:ascii="Times New Roman" w:eastAsia="Calibri" w:hAnsi="Times New Roman" w:cs="Times New Roman"/>
          <w:sz w:val="24"/>
          <w:szCs w:val="24"/>
        </w:rPr>
        <w:t>Convention de JV Minalex-Gécamines-16062016 ;</w:t>
      </w:r>
    </w:p>
    <w:p w14:paraId="76144E4A" w14:textId="77777777" w:rsidR="00C579DE" w:rsidRPr="000B5866" w:rsidRDefault="00C579DE" w:rsidP="000738D3">
      <w:pPr>
        <w:pStyle w:val="Paragraphedeliste"/>
        <w:numPr>
          <w:ilvl w:val="0"/>
          <w:numId w:val="11"/>
        </w:numPr>
        <w:shd w:val="clear" w:color="auto" w:fill="FFFFFF"/>
        <w:spacing w:after="0"/>
        <w:jc w:val="both"/>
        <w:rPr>
          <w:rFonts w:ascii="Times New Roman" w:eastAsia="Calibri" w:hAnsi="Times New Roman" w:cs="Times New Roman"/>
          <w:sz w:val="24"/>
          <w:szCs w:val="24"/>
        </w:rPr>
      </w:pPr>
      <w:r w:rsidRPr="000B5866">
        <w:rPr>
          <w:rFonts w:ascii="Times New Roman" w:eastAsia="Calibri" w:hAnsi="Times New Roman" w:cs="Times New Roman"/>
          <w:sz w:val="24"/>
          <w:szCs w:val="24"/>
        </w:rPr>
        <w:t xml:space="preserve">Convention de JV SOMIDEZ </w:t>
      </w:r>
    </w:p>
    <w:p w14:paraId="040C5C4E" w14:textId="77777777" w:rsidR="00C579DE" w:rsidRPr="00840E13" w:rsidRDefault="00C579DE" w:rsidP="00C579DE">
      <w:pPr>
        <w:tabs>
          <w:tab w:val="left" w:pos="720"/>
        </w:tabs>
        <w:spacing w:before="120" w:after="120"/>
        <w:jc w:val="both"/>
        <w:rPr>
          <w:rFonts w:ascii="Times New Roman" w:hAnsi="Times New Roman"/>
          <w:sz w:val="24"/>
          <w:szCs w:val="24"/>
        </w:rPr>
      </w:pPr>
      <w:r w:rsidRPr="00840E13">
        <w:rPr>
          <w:rFonts w:ascii="Times New Roman" w:hAnsi="Times New Roman"/>
          <w:sz w:val="24"/>
          <w:szCs w:val="24"/>
        </w:rPr>
        <w:t>Les contrats miniers publiés sont disponibles sur le site web du Ministère des Mines au lien suivant :</w:t>
      </w:r>
    </w:p>
    <w:p w14:paraId="693DD3B5" w14:textId="77777777" w:rsidR="00C579DE" w:rsidRDefault="004735E0" w:rsidP="00C579DE">
      <w:pPr>
        <w:tabs>
          <w:tab w:val="left" w:pos="720"/>
        </w:tabs>
        <w:spacing w:before="120" w:after="120"/>
        <w:jc w:val="both"/>
        <w:rPr>
          <w:rStyle w:val="Lienhypertexte"/>
          <w:rFonts w:ascii="Times New Roman" w:hAnsi="Times New Roman"/>
        </w:rPr>
      </w:pPr>
      <w:hyperlink r:id="rId36" w:history="1">
        <w:r w:rsidR="00C579DE" w:rsidRPr="00840E13">
          <w:rPr>
            <w:rStyle w:val="Lienhypertexte"/>
            <w:rFonts w:ascii="Times New Roman" w:eastAsia="+mn-ea" w:hAnsi="Times New Roman"/>
            <w:sz w:val="24"/>
            <w:szCs w:val="24"/>
          </w:rPr>
          <w:t>http://mines-rdc.cd/fr/index.php/contrats-des-ressources-naturelles/contrats-miniers</w:t>
        </w:r>
      </w:hyperlink>
      <w:r w:rsidR="00C579DE" w:rsidRPr="00840E13">
        <w:rPr>
          <w:rStyle w:val="Lienhypertexte"/>
          <w:rFonts w:ascii="Times New Roman" w:eastAsia="+mn-ea" w:hAnsi="Times New Roman"/>
          <w:sz w:val="24"/>
          <w:szCs w:val="24"/>
        </w:rPr>
        <w:t xml:space="preserve"> </w:t>
      </w:r>
      <w:r w:rsidR="00C579DE" w:rsidRPr="00840E13">
        <w:rPr>
          <w:rFonts w:ascii="Times New Roman" w:eastAsia="+mn-ea" w:hAnsi="Times New Roman"/>
          <w:sz w:val="24"/>
          <w:szCs w:val="24"/>
        </w:rPr>
        <w:t xml:space="preserve">et sur le site web de l’ITIE-RDC au lien: </w:t>
      </w:r>
      <w:hyperlink r:id="rId37" w:history="1">
        <w:r w:rsidR="00C579DE" w:rsidRPr="00840E13">
          <w:rPr>
            <w:rStyle w:val="Lienhypertexte"/>
            <w:rFonts w:ascii="Times New Roman" w:hAnsi="Times New Roman"/>
          </w:rPr>
          <w:t>http://www.itierdc.net/contrats-miniers/</w:t>
        </w:r>
      </w:hyperlink>
    </w:p>
    <w:p w14:paraId="03EFA983" w14:textId="77777777" w:rsidR="00C579DE" w:rsidRPr="00840E13" w:rsidRDefault="00C579DE" w:rsidP="00C579DE">
      <w:pPr>
        <w:spacing w:after="120"/>
        <w:jc w:val="both"/>
        <w:rPr>
          <w:rFonts w:ascii="Times New Roman" w:hAnsi="Times New Roman"/>
          <w:sz w:val="24"/>
          <w:szCs w:val="24"/>
        </w:rPr>
      </w:pPr>
      <w:r w:rsidRPr="00840E13">
        <w:rPr>
          <w:rFonts w:ascii="Times New Roman" w:hAnsi="Times New Roman"/>
          <w:sz w:val="24"/>
          <w:szCs w:val="24"/>
        </w:rPr>
        <w:t xml:space="preserve">Comme pour le secteur minier, le Décret du Premier Ministre ci-dessus évoqué est aujourd’hui repris dans la loi (Code) des Hydrocarbures en son article 41 qui stipule que les contrats d’hydrocarbures </w:t>
      </w:r>
      <w:r w:rsidRPr="00840E13">
        <w:rPr>
          <w:rFonts w:ascii="Times New Roman" w:hAnsi="Times New Roman"/>
          <w:sz w:val="24"/>
          <w:szCs w:val="24"/>
        </w:rPr>
        <w:lastRenderedPageBreak/>
        <w:t>sont publiés au Journal Officiel de la République Démocratique du Congo et sur le site web du Ministère des Hydrocarbures endéans 60 jours à dater de leur approbation.</w:t>
      </w:r>
    </w:p>
    <w:p w14:paraId="1C46C981" w14:textId="77777777" w:rsidR="00C579DE" w:rsidRPr="00840E13" w:rsidRDefault="00C579DE" w:rsidP="00C579DE">
      <w:pPr>
        <w:jc w:val="both"/>
        <w:rPr>
          <w:rFonts w:ascii="Times New Roman" w:hAnsi="Times New Roman"/>
        </w:rPr>
      </w:pPr>
      <w:r w:rsidRPr="00840E13">
        <w:rPr>
          <w:rFonts w:ascii="Times New Roman" w:hAnsi="Times New Roman"/>
          <w:sz w:val="24"/>
          <w:szCs w:val="24"/>
        </w:rPr>
        <w:t>Et aussi, dans ses dispositions transitoires, le Code d’hydrocarbures dispose en son article 190 : « </w:t>
      </w:r>
      <w:r w:rsidRPr="00840E13">
        <w:rPr>
          <w:rFonts w:ascii="Times New Roman" w:hAnsi="Times New Roman"/>
          <w:i/>
          <w:sz w:val="24"/>
          <w:szCs w:val="24"/>
        </w:rPr>
        <w:t>Dans les 30 jours à compter de la promulgation de cette loi, le Ministre ayant les Hydrocarbures dans ses attributions rend publique la liste de tous les contrats d’hydrocarbures en cours de validité</w:t>
      </w:r>
      <w:r w:rsidRPr="00840E13">
        <w:rPr>
          <w:rFonts w:ascii="Times New Roman" w:hAnsi="Times New Roman"/>
          <w:sz w:val="24"/>
          <w:szCs w:val="24"/>
        </w:rPr>
        <w:t> ».</w:t>
      </w:r>
      <w:r>
        <w:rPr>
          <w:rFonts w:ascii="Times New Roman" w:hAnsi="Times New Roman"/>
          <w:sz w:val="24"/>
          <w:szCs w:val="24"/>
        </w:rPr>
        <w:t xml:space="preserve"> </w:t>
      </w:r>
    </w:p>
    <w:p w14:paraId="62AD1534" w14:textId="77777777" w:rsidR="00157F17" w:rsidRDefault="00C579DE" w:rsidP="00C579DE">
      <w:pPr>
        <w:tabs>
          <w:tab w:val="left" w:pos="720"/>
        </w:tabs>
        <w:spacing w:before="120" w:after="120"/>
        <w:jc w:val="both"/>
        <w:rPr>
          <w:rStyle w:val="Lienhypertexte"/>
          <w:rFonts w:ascii="Times New Roman" w:hAnsi="Times New Roman"/>
          <w:sz w:val="24"/>
          <w:szCs w:val="24"/>
        </w:rPr>
      </w:pPr>
      <w:r w:rsidRPr="00840E13">
        <w:rPr>
          <w:rFonts w:ascii="Times New Roman" w:hAnsi="Times New Roman"/>
          <w:sz w:val="24"/>
          <w:szCs w:val="24"/>
        </w:rPr>
        <w:t xml:space="preserve">Concernant </w:t>
      </w:r>
      <w:r>
        <w:rPr>
          <w:rFonts w:ascii="Times New Roman" w:hAnsi="Times New Roman"/>
          <w:sz w:val="24"/>
          <w:szCs w:val="24"/>
        </w:rPr>
        <w:t>la pratique de publication des contrats</w:t>
      </w:r>
      <w:r w:rsidRPr="00840E13">
        <w:rPr>
          <w:rFonts w:ascii="Times New Roman" w:hAnsi="Times New Roman"/>
          <w:sz w:val="24"/>
          <w:szCs w:val="24"/>
        </w:rPr>
        <w:t>,</w:t>
      </w:r>
      <w:r>
        <w:rPr>
          <w:rFonts w:ascii="Times New Roman" w:hAnsi="Times New Roman"/>
          <w:sz w:val="24"/>
          <w:szCs w:val="24"/>
        </w:rPr>
        <w:t xml:space="preserve"> le site du Ministère des Hydrocarbures, bien qu’opérationnel maintenant, n’est pas à jour. Ainsi, pour se conformer à la Norme ITIE, les </w:t>
      </w:r>
      <w:r w:rsidRPr="00840E13">
        <w:rPr>
          <w:rFonts w:ascii="Times New Roman" w:hAnsi="Times New Roman"/>
        </w:rPr>
        <w:t>contrats</w:t>
      </w:r>
      <w:r w:rsidRPr="00840E13">
        <w:rPr>
          <w:rStyle w:val="Lienhypertexte"/>
          <w:rFonts w:ascii="Times New Roman" w:hAnsi="Times New Roman"/>
          <w:sz w:val="24"/>
          <w:szCs w:val="24"/>
        </w:rPr>
        <w:t xml:space="preserve"> </w:t>
      </w:r>
      <w:r>
        <w:rPr>
          <w:rStyle w:val="Lienhypertexte"/>
          <w:rFonts w:ascii="Times New Roman" w:hAnsi="Times New Roman"/>
          <w:sz w:val="24"/>
          <w:szCs w:val="24"/>
        </w:rPr>
        <w:t xml:space="preserve">pétroliers </w:t>
      </w:r>
      <w:r w:rsidRPr="00840E13">
        <w:rPr>
          <w:rFonts w:ascii="Times New Roman" w:hAnsi="Times New Roman"/>
          <w:sz w:val="24"/>
          <w:szCs w:val="24"/>
        </w:rPr>
        <w:t>ainsi que leurs avenants sont publiés et accessibles sur le site web de l’ITIE-RDC</w:t>
      </w:r>
      <w:r>
        <w:rPr>
          <w:rFonts w:ascii="Times New Roman" w:hAnsi="Times New Roman"/>
          <w:sz w:val="24"/>
          <w:szCs w:val="24"/>
        </w:rPr>
        <w:t xml:space="preserve"> : Certains </w:t>
      </w:r>
      <w:r w:rsidRPr="00840E13">
        <w:rPr>
          <w:rFonts w:ascii="Times New Roman" w:hAnsi="Times New Roman"/>
          <w:sz w:val="24"/>
          <w:szCs w:val="24"/>
        </w:rPr>
        <w:t>de</w:t>
      </w:r>
      <w:r>
        <w:rPr>
          <w:rFonts w:ascii="Times New Roman" w:hAnsi="Times New Roman"/>
          <w:sz w:val="24"/>
          <w:szCs w:val="24"/>
        </w:rPr>
        <w:t xml:space="preserve"> ces</w:t>
      </w:r>
      <w:r w:rsidRPr="00840E13">
        <w:rPr>
          <w:rFonts w:ascii="Times New Roman" w:hAnsi="Times New Roman"/>
          <w:sz w:val="24"/>
          <w:szCs w:val="24"/>
        </w:rPr>
        <w:t xml:space="preserve"> contrats </w:t>
      </w:r>
      <w:r>
        <w:rPr>
          <w:rFonts w:ascii="Times New Roman" w:hAnsi="Times New Roman"/>
          <w:sz w:val="24"/>
          <w:szCs w:val="24"/>
        </w:rPr>
        <w:t>sont aussi</w:t>
      </w:r>
      <w:r w:rsidRPr="00840E13">
        <w:rPr>
          <w:rFonts w:ascii="Times New Roman" w:hAnsi="Times New Roman"/>
          <w:sz w:val="24"/>
          <w:szCs w:val="24"/>
        </w:rPr>
        <w:t xml:space="preserve"> publié</w:t>
      </w:r>
      <w:r>
        <w:rPr>
          <w:rFonts w:ascii="Times New Roman" w:hAnsi="Times New Roman"/>
          <w:sz w:val="24"/>
          <w:szCs w:val="24"/>
        </w:rPr>
        <w:t>s</w:t>
      </w:r>
      <w:r w:rsidRPr="00840E13">
        <w:rPr>
          <w:rFonts w:ascii="Times New Roman" w:hAnsi="Times New Roman"/>
          <w:sz w:val="24"/>
          <w:szCs w:val="24"/>
        </w:rPr>
        <w:t xml:space="preserve"> sur le site web du Ministère des mines : </w:t>
      </w:r>
      <w:hyperlink r:id="rId38" w:history="1">
        <w:r w:rsidRPr="00840E13">
          <w:rPr>
            <w:rStyle w:val="Lienhypertexte"/>
            <w:rFonts w:ascii="Times New Roman" w:eastAsia="+mn-ea" w:hAnsi="Times New Roman"/>
            <w:sz w:val="24"/>
            <w:szCs w:val="24"/>
          </w:rPr>
          <w:t>http://mines-rdc.cd/fr/index.php/contrats-des-ressources-naturelles/contrats-petroliers</w:t>
        </w:r>
      </w:hyperlink>
      <w:r w:rsidRPr="00840E13">
        <w:rPr>
          <w:rFonts w:ascii="Times New Roman" w:hAnsi="Times New Roman"/>
        </w:rPr>
        <w:t xml:space="preserve">, </w:t>
      </w:r>
      <w:r w:rsidRPr="00840E13">
        <w:rPr>
          <w:rFonts w:ascii="Times New Roman" w:hAnsi="Times New Roman"/>
          <w:sz w:val="24"/>
          <w:szCs w:val="24"/>
        </w:rPr>
        <w:t xml:space="preserve"> : </w:t>
      </w:r>
      <w:hyperlink r:id="rId39" w:history="1">
        <w:r w:rsidRPr="00840E13">
          <w:rPr>
            <w:rStyle w:val="Lienhypertexte"/>
            <w:rFonts w:ascii="Times New Roman" w:hAnsi="Times New Roman"/>
            <w:sz w:val="24"/>
            <w:szCs w:val="24"/>
          </w:rPr>
          <w:t>Contrats pétroliers et avenants</w:t>
        </w:r>
      </w:hyperlink>
    </w:p>
    <w:p w14:paraId="7A9BC04D" w14:textId="0CA7EABA" w:rsidR="00110AE7" w:rsidRDefault="00110AE7" w:rsidP="00C579DE">
      <w:pPr>
        <w:tabs>
          <w:tab w:val="left" w:pos="720"/>
        </w:tabs>
        <w:spacing w:before="120" w:after="120"/>
        <w:jc w:val="both"/>
        <w:rPr>
          <w:rStyle w:val="Lienhypertexte"/>
          <w:rFonts w:ascii="Times New Roman" w:hAnsi="Times New Roman"/>
          <w:sz w:val="24"/>
          <w:szCs w:val="24"/>
        </w:rPr>
      </w:pPr>
      <w:r>
        <w:rPr>
          <w:rFonts w:ascii="Times New Roman" w:hAnsi="Times New Roman"/>
          <w:noProof/>
          <w:color w:val="0000FF"/>
          <w:sz w:val="24"/>
          <w:szCs w:val="24"/>
          <w:u w:val="single"/>
          <w:lang w:eastAsia="fr-FR"/>
        </w:rPr>
        <mc:AlternateContent>
          <mc:Choice Requires="wps">
            <w:drawing>
              <wp:anchor distT="0" distB="0" distL="114300" distR="114300" simplePos="0" relativeHeight="251670528" behindDoc="0" locked="0" layoutInCell="1" allowOverlap="1" wp14:anchorId="20E49892" wp14:editId="67EF7C77">
                <wp:simplePos x="0" y="0"/>
                <wp:positionH relativeFrom="column">
                  <wp:posOffset>-13970</wp:posOffset>
                </wp:positionH>
                <wp:positionV relativeFrom="paragraph">
                  <wp:posOffset>137795</wp:posOffset>
                </wp:positionV>
                <wp:extent cx="6176963" cy="1495425"/>
                <wp:effectExtent l="0" t="0" r="14605" b="28575"/>
                <wp:wrapNone/>
                <wp:docPr id="22" name="Zone de texte 22"/>
                <wp:cNvGraphicFramePr/>
                <a:graphic xmlns:a="http://schemas.openxmlformats.org/drawingml/2006/main">
                  <a:graphicData uri="http://schemas.microsoft.com/office/word/2010/wordprocessingShape">
                    <wps:wsp>
                      <wps:cNvSpPr txBox="1"/>
                      <wps:spPr>
                        <a:xfrm>
                          <a:off x="0" y="0"/>
                          <a:ext cx="6176963" cy="1495425"/>
                        </a:xfrm>
                        <a:prstGeom prst="rect">
                          <a:avLst/>
                        </a:prstGeom>
                        <a:solidFill>
                          <a:schemeClr val="accent1">
                            <a:lumMod val="20000"/>
                            <a:lumOff val="80000"/>
                          </a:schemeClr>
                        </a:solidFill>
                        <a:ln w="6350">
                          <a:solidFill>
                            <a:schemeClr val="accent1">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76E4B9E4" w14:textId="0165F32D" w:rsidR="00E357DF" w:rsidRDefault="00E357DF" w:rsidP="00110AE7">
                            <w:pPr>
                              <w:spacing w:after="0" w:line="240" w:lineRule="auto"/>
                              <w:jc w:val="both"/>
                              <w:rPr>
                                <w:rFonts w:ascii="Times New Roman" w:eastAsia="Times New Roman" w:hAnsi="Times New Roman"/>
                                <w:b/>
                                <w:color w:val="1F3864" w:themeColor="accent5" w:themeShade="80"/>
                                <w:sz w:val="24"/>
                                <w:szCs w:val="24"/>
                                <w:u w:val="single"/>
                                <w:lang w:eastAsia="fr-FR"/>
                              </w:rPr>
                            </w:pPr>
                            <w:r w:rsidRPr="00110AE7">
                              <w:rPr>
                                <w:rFonts w:ascii="Times New Roman" w:eastAsia="Times New Roman" w:hAnsi="Times New Roman"/>
                                <w:b/>
                                <w:color w:val="1F3864" w:themeColor="accent5" w:themeShade="80"/>
                                <w:sz w:val="24"/>
                                <w:szCs w:val="24"/>
                                <w:u w:val="single"/>
                                <w:lang w:eastAsia="fr-FR"/>
                              </w:rPr>
                              <w:t>Recommandation</w:t>
                            </w:r>
                            <w:r w:rsidRPr="00D256CC">
                              <w:rPr>
                                <w:rFonts w:ascii="Times New Roman" w:eastAsia="Times New Roman" w:hAnsi="Times New Roman"/>
                                <w:b/>
                                <w:color w:val="1F3864" w:themeColor="accent5" w:themeShade="80"/>
                                <w:sz w:val="24"/>
                                <w:szCs w:val="24"/>
                                <w:lang w:eastAsia="fr-FR"/>
                              </w:rPr>
                              <w:t xml:space="preserve"> </w:t>
                            </w:r>
                            <w:r>
                              <w:rPr>
                                <w:rFonts w:ascii="Times New Roman" w:hAnsi="Times New Roman"/>
                                <w:b/>
                                <w:color w:val="44546A" w:themeColor="text2"/>
                                <w:sz w:val="24"/>
                                <w:szCs w:val="24"/>
                              </w:rPr>
                              <w:t xml:space="preserve">: </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p>
                          <w:p w14:paraId="356FCAAD" w14:textId="77777777" w:rsidR="00E357DF" w:rsidRPr="00110AE7" w:rsidRDefault="00E357DF" w:rsidP="00110AE7">
                            <w:pPr>
                              <w:spacing w:after="0" w:line="240" w:lineRule="auto"/>
                              <w:jc w:val="both"/>
                              <w:rPr>
                                <w:rFonts w:ascii="Times New Roman" w:eastAsia="Times New Roman" w:hAnsi="Times New Roman"/>
                                <w:b/>
                                <w:color w:val="1F3864" w:themeColor="accent5" w:themeShade="80"/>
                                <w:sz w:val="24"/>
                                <w:szCs w:val="24"/>
                                <w:u w:val="single"/>
                                <w:lang w:eastAsia="fr-FR"/>
                              </w:rPr>
                            </w:pPr>
                          </w:p>
                          <w:p w14:paraId="6652A499" w14:textId="5C0C20A8" w:rsidR="00E357DF" w:rsidRPr="00110AE7" w:rsidRDefault="00E357DF" w:rsidP="00110AE7">
                            <w:pPr>
                              <w:spacing w:after="0" w:line="360" w:lineRule="auto"/>
                              <w:jc w:val="both"/>
                              <w:rPr>
                                <w:rFonts w:ascii="Times New Roman" w:eastAsia="Times New Roman" w:hAnsi="Times New Roman"/>
                                <w:color w:val="3B3838" w:themeColor="background2" w:themeShade="40"/>
                                <w:sz w:val="24"/>
                                <w:szCs w:val="24"/>
                                <w:lang w:eastAsia="fr-FR"/>
                              </w:rPr>
                            </w:pPr>
                            <w:r w:rsidRPr="00110AE7">
                              <w:rPr>
                                <w:rFonts w:ascii="Times New Roman" w:eastAsia="Times New Roman" w:hAnsi="Times New Roman"/>
                                <w:b/>
                                <w:color w:val="3B3838" w:themeColor="background2" w:themeShade="40"/>
                                <w:sz w:val="24"/>
                                <w:szCs w:val="24"/>
                                <w:lang w:eastAsia="fr-FR"/>
                              </w:rPr>
                              <w:t>Aux Ministères du Portefeuille, des Mines et des Hydrocarbures de </w:t>
                            </w:r>
                            <w:r w:rsidRPr="00110AE7">
                              <w:rPr>
                                <w:rFonts w:ascii="Times New Roman" w:eastAsia="Times New Roman" w:hAnsi="Times New Roman"/>
                                <w:color w:val="3B3838" w:themeColor="background2" w:themeShade="40"/>
                                <w:sz w:val="24"/>
                                <w:szCs w:val="24"/>
                                <w:lang w:eastAsia="fr-FR"/>
                              </w:rPr>
                              <w:t xml:space="preserve">: </w:t>
                            </w:r>
                          </w:p>
                          <w:p w14:paraId="0B8180D0" w14:textId="775C4FF0" w:rsidR="00E357DF" w:rsidRPr="00110AE7" w:rsidRDefault="00E357DF" w:rsidP="00110AE7">
                            <w:pPr>
                              <w:spacing w:after="0" w:line="240" w:lineRule="auto"/>
                              <w:ind w:left="66"/>
                              <w:jc w:val="both"/>
                              <w:rPr>
                                <w:rFonts w:ascii="Times New Roman" w:hAnsi="Times New Roman"/>
                                <w:color w:val="3B3838" w:themeColor="background2" w:themeShade="40"/>
                                <w:sz w:val="24"/>
                                <w:szCs w:val="24"/>
                              </w:rPr>
                            </w:pPr>
                            <w:r w:rsidRPr="00110AE7">
                              <w:rPr>
                                <w:rFonts w:ascii="Times New Roman" w:eastAsia="Times New Roman" w:hAnsi="Times New Roman"/>
                                <w:color w:val="3B3838" w:themeColor="background2" w:themeShade="40"/>
                                <w:sz w:val="24"/>
                                <w:szCs w:val="24"/>
                                <w:lang w:eastAsia="fr-FR"/>
                              </w:rPr>
                              <w:t xml:space="preserve">Veiller de manière particulière au respect des articles </w:t>
                            </w:r>
                            <w:r w:rsidRPr="00110AE7">
                              <w:rPr>
                                <w:rFonts w:ascii="Times New Roman" w:hAnsi="Times New Roman"/>
                                <w:color w:val="3B3838" w:themeColor="background2" w:themeShade="40"/>
                                <w:sz w:val="24"/>
                                <w:szCs w:val="24"/>
                              </w:rPr>
                              <w:t>7 quater</w:t>
                            </w:r>
                            <w:r w:rsidRPr="00110AE7">
                              <w:rPr>
                                <w:rFonts w:ascii="Times New Roman" w:eastAsia="Times New Roman" w:hAnsi="Times New Roman"/>
                                <w:color w:val="3B3838" w:themeColor="background2" w:themeShade="40"/>
                                <w:sz w:val="24"/>
                                <w:szCs w:val="24"/>
                                <w:lang w:eastAsia="fr-FR"/>
                              </w:rPr>
                              <w:t xml:space="preserve"> du </w:t>
                            </w:r>
                            <w:r w:rsidRPr="00110AE7">
                              <w:rPr>
                                <w:rFonts w:ascii="Times New Roman" w:hAnsi="Times New Roman"/>
                                <w:color w:val="3B3838" w:themeColor="background2" w:themeShade="40"/>
                                <w:sz w:val="24"/>
                                <w:szCs w:val="24"/>
                              </w:rPr>
                              <w:t>Code Minier et 41 du Code d’Hydrocarbures qui obligent la publication d</w:t>
                            </w:r>
                            <w:r w:rsidRPr="00110AE7">
                              <w:rPr>
                                <w:rFonts w:ascii="Times New Roman" w:hAnsi="Times New Roman"/>
                                <w:iCs/>
                                <w:color w:val="3B3838" w:themeColor="background2" w:themeShade="40"/>
                                <w:sz w:val="24"/>
                                <w:szCs w:val="24"/>
                              </w:rPr>
                              <w:t>es contrats miniers et pétroliers, leurs annexes et avenants au Journal officiel et sur les sites web des Ministères concernés endéans soixante jours de la</w:t>
                            </w:r>
                            <w:r w:rsidRPr="00110AE7">
                              <w:rPr>
                                <w:rFonts w:ascii="Times New Roman" w:hAnsi="Times New Roman"/>
                                <w:color w:val="3B3838" w:themeColor="background2" w:themeShade="40"/>
                                <w:sz w:val="24"/>
                                <w:szCs w:val="24"/>
                              </w:rPr>
                              <w:t xml:space="preserve"> </w:t>
                            </w:r>
                            <w:r w:rsidRPr="00110AE7">
                              <w:rPr>
                                <w:rFonts w:ascii="Times New Roman" w:hAnsi="Times New Roman"/>
                                <w:iCs/>
                                <w:color w:val="3B3838" w:themeColor="background2" w:themeShade="40"/>
                                <w:sz w:val="24"/>
                                <w:szCs w:val="24"/>
                              </w:rPr>
                              <w:t xml:space="preserve">date de leur signature.   </w:t>
                            </w:r>
                          </w:p>
                          <w:p w14:paraId="12FC3E5E" w14:textId="77777777" w:rsidR="00E357DF" w:rsidRDefault="00E357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E49892" id="Zone de texte 22" o:spid="_x0000_s1029" type="#_x0000_t202" style="position:absolute;left:0;text-align:left;margin-left:-1.1pt;margin-top:10.85pt;width:486.4pt;height:117.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" fillcolor="#deeaf6 [660]" strokecolor="#deeaf6 [660]" strokeweight=".5pt">
                <v:textbox>
                  <w:txbxContent>
                    <w:p w14:paraId="76E4B9E4" w14:textId="0165F32D" w:rsidR="00E357DF" w:rsidRDefault="00E357DF" w:rsidP="00110AE7">
                      <w:pPr>
                        <w:spacing w:after="0" w:line="240" w:lineRule="auto"/>
                        <w:jc w:val="both"/>
                        <w:rPr>
                          <w:rFonts w:ascii="Times New Roman" w:eastAsia="Times New Roman" w:hAnsi="Times New Roman"/>
                          <w:b/>
                          <w:color w:val="1F3864" w:themeColor="accent5" w:themeShade="80"/>
                          <w:sz w:val="24"/>
                          <w:szCs w:val="24"/>
                          <w:u w:val="single"/>
                          <w:lang w:eastAsia="fr-FR"/>
                        </w:rPr>
                      </w:pPr>
                      <w:r w:rsidRPr="00110AE7">
                        <w:rPr>
                          <w:rFonts w:ascii="Times New Roman" w:eastAsia="Times New Roman" w:hAnsi="Times New Roman"/>
                          <w:b/>
                          <w:color w:val="1F3864" w:themeColor="accent5" w:themeShade="80"/>
                          <w:sz w:val="24"/>
                          <w:szCs w:val="24"/>
                          <w:u w:val="single"/>
                          <w:lang w:eastAsia="fr-FR"/>
                        </w:rPr>
                        <w:t>Recommandation</w:t>
                      </w:r>
                      <w:r w:rsidRPr="00D256CC">
                        <w:rPr>
                          <w:rFonts w:ascii="Times New Roman" w:eastAsia="Times New Roman" w:hAnsi="Times New Roman"/>
                          <w:b/>
                          <w:color w:val="1F3864" w:themeColor="accent5" w:themeShade="80"/>
                          <w:sz w:val="24"/>
                          <w:szCs w:val="24"/>
                          <w:lang w:eastAsia="fr-FR"/>
                        </w:rPr>
                        <w:t xml:space="preserve"> </w:t>
                      </w:r>
                      <w:r>
                        <w:rPr>
                          <w:rFonts w:ascii="Times New Roman" w:hAnsi="Times New Roman"/>
                          <w:b/>
                          <w:color w:val="44546A" w:themeColor="text2"/>
                          <w:sz w:val="24"/>
                          <w:szCs w:val="24"/>
                        </w:rPr>
                        <w:t xml:space="preserve">: </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p>
                    <w:p w14:paraId="356FCAAD" w14:textId="77777777" w:rsidR="00E357DF" w:rsidRPr="00110AE7" w:rsidRDefault="00E357DF" w:rsidP="00110AE7">
                      <w:pPr>
                        <w:spacing w:after="0" w:line="240" w:lineRule="auto"/>
                        <w:jc w:val="both"/>
                        <w:rPr>
                          <w:rFonts w:ascii="Times New Roman" w:eastAsia="Times New Roman" w:hAnsi="Times New Roman"/>
                          <w:b/>
                          <w:color w:val="1F3864" w:themeColor="accent5" w:themeShade="80"/>
                          <w:sz w:val="24"/>
                          <w:szCs w:val="24"/>
                          <w:u w:val="single"/>
                          <w:lang w:eastAsia="fr-FR"/>
                        </w:rPr>
                      </w:pPr>
                    </w:p>
                    <w:p w14:paraId="6652A499" w14:textId="5C0C20A8" w:rsidR="00E357DF" w:rsidRPr="00110AE7" w:rsidRDefault="00E357DF" w:rsidP="00110AE7">
                      <w:pPr>
                        <w:spacing w:after="0" w:line="360" w:lineRule="auto"/>
                        <w:jc w:val="both"/>
                        <w:rPr>
                          <w:rFonts w:ascii="Times New Roman" w:eastAsia="Times New Roman" w:hAnsi="Times New Roman"/>
                          <w:color w:val="3B3838" w:themeColor="background2" w:themeShade="40"/>
                          <w:sz w:val="24"/>
                          <w:szCs w:val="24"/>
                          <w:lang w:eastAsia="fr-FR"/>
                        </w:rPr>
                      </w:pPr>
                      <w:r w:rsidRPr="00110AE7">
                        <w:rPr>
                          <w:rFonts w:ascii="Times New Roman" w:eastAsia="Times New Roman" w:hAnsi="Times New Roman"/>
                          <w:b/>
                          <w:color w:val="3B3838" w:themeColor="background2" w:themeShade="40"/>
                          <w:sz w:val="24"/>
                          <w:szCs w:val="24"/>
                          <w:lang w:eastAsia="fr-FR"/>
                        </w:rPr>
                        <w:t>Aux Ministères du Portefeuille, des Mines et des Hydrocarbures de </w:t>
                      </w:r>
                      <w:r w:rsidRPr="00110AE7">
                        <w:rPr>
                          <w:rFonts w:ascii="Times New Roman" w:eastAsia="Times New Roman" w:hAnsi="Times New Roman"/>
                          <w:color w:val="3B3838" w:themeColor="background2" w:themeShade="40"/>
                          <w:sz w:val="24"/>
                          <w:szCs w:val="24"/>
                          <w:lang w:eastAsia="fr-FR"/>
                        </w:rPr>
                        <w:t xml:space="preserve">: </w:t>
                      </w:r>
                    </w:p>
                    <w:p w14:paraId="0B8180D0" w14:textId="775C4FF0" w:rsidR="00E357DF" w:rsidRPr="00110AE7" w:rsidRDefault="00E357DF" w:rsidP="00110AE7">
                      <w:pPr>
                        <w:spacing w:after="0" w:line="240" w:lineRule="auto"/>
                        <w:ind w:left="66"/>
                        <w:jc w:val="both"/>
                        <w:rPr>
                          <w:rFonts w:ascii="Times New Roman" w:hAnsi="Times New Roman"/>
                          <w:color w:val="3B3838" w:themeColor="background2" w:themeShade="40"/>
                          <w:sz w:val="24"/>
                          <w:szCs w:val="24"/>
                        </w:rPr>
                      </w:pPr>
                      <w:r w:rsidRPr="00110AE7">
                        <w:rPr>
                          <w:rFonts w:ascii="Times New Roman" w:eastAsia="Times New Roman" w:hAnsi="Times New Roman"/>
                          <w:color w:val="3B3838" w:themeColor="background2" w:themeShade="40"/>
                          <w:sz w:val="24"/>
                          <w:szCs w:val="24"/>
                          <w:lang w:eastAsia="fr-FR"/>
                        </w:rPr>
                        <w:t xml:space="preserve">Veiller de manière particulière au respect des articles </w:t>
                      </w:r>
                      <w:r w:rsidRPr="00110AE7">
                        <w:rPr>
                          <w:rFonts w:ascii="Times New Roman" w:hAnsi="Times New Roman"/>
                          <w:color w:val="3B3838" w:themeColor="background2" w:themeShade="40"/>
                          <w:sz w:val="24"/>
                          <w:szCs w:val="24"/>
                        </w:rPr>
                        <w:t>7 quater</w:t>
                      </w:r>
                      <w:r w:rsidRPr="00110AE7">
                        <w:rPr>
                          <w:rFonts w:ascii="Times New Roman" w:eastAsia="Times New Roman" w:hAnsi="Times New Roman"/>
                          <w:color w:val="3B3838" w:themeColor="background2" w:themeShade="40"/>
                          <w:sz w:val="24"/>
                          <w:szCs w:val="24"/>
                          <w:lang w:eastAsia="fr-FR"/>
                        </w:rPr>
                        <w:t xml:space="preserve"> du </w:t>
                      </w:r>
                      <w:r w:rsidRPr="00110AE7">
                        <w:rPr>
                          <w:rFonts w:ascii="Times New Roman" w:hAnsi="Times New Roman"/>
                          <w:color w:val="3B3838" w:themeColor="background2" w:themeShade="40"/>
                          <w:sz w:val="24"/>
                          <w:szCs w:val="24"/>
                        </w:rPr>
                        <w:t>Code Minier et 41 du Code d’Hydrocarbures qui obligent la publication d</w:t>
                      </w:r>
                      <w:r w:rsidRPr="00110AE7">
                        <w:rPr>
                          <w:rFonts w:ascii="Times New Roman" w:hAnsi="Times New Roman"/>
                          <w:iCs/>
                          <w:color w:val="3B3838" w:themeColor="background2" w:themeShade="40"/>
                          <w:sz w:val="24"/>
                          <w:szCs w:val="24"/>
                        </w:rPr>
                        <w:t>es contrats miniers et pétroliers, leurs annexes et avenants au Journal officiel et sur les sites web des Ministères concernés endéans soixante jours de la</w:t>
                      </w:r>
                      <w:r w:rsidRPr="00110AE7">
                        <w:rPr>
                          <w:rFonts w:ascii="Times New Roman" w:hAnsi="Times New Roman"/>
                          <w:color w:val="3B3838" w:themeColor="background2" w:themeShade="40"/>
                          <w:sz w:val="24"/>
                          <w:szCs w:val="24"/>
                        </w:rPr>
                        <w:t xml:space="preserve"> </w:t>
                      </w:r>
                      <w:r w:rsidRPr="00110AE7">
                        <w:rPr>
                          <w:rFonts w:ascii="Times New Roman" w:hAnsi="Times New Roman"/>
                          <w:iCs/>
                          <w:color w:val="3B3838" w:themeColor="background2" w:themeShade="40"/>
                          <w:sz w:val="24"/>
                          <w:szCs w:val="24"/>
                        </w:rPr>
                        <w:t xml:space="preserve">date de leur signature.   </w:t>
                      </w:r>
                    </w:p>
                    <w:p w14:paraId="12FC3E5E" w14:textId="77777777" w:rsidR="00E357DF" w:rsidRDefault="00E357DF"/>
                  </w:txbxContent>
                </v:textbox>
              </v:shape>
            </w:pict>
          </mc:Fallback>
        </mc:AlternateContent>
      </w:r>
    </w:p>
    <w:p w14:paraId="251366B3" w14:textId="602F5372" w:rsidR="00691D72" w:rsidRPr="009520BE" w:rsidRDefault="00157F17" w:rsidP="000738D3">
      <w:pPr>
        <w:pStyle w:val="Titre1"/>
        <w:numPr>
          <w:ilvl w:val="0"/>
          <w:numId w:val="4"/>
        </w:numPr>
        <w:ind w:left="426" w:hanging="425"/>
        <w:rPr>
          <w:rFonts w:ascii="Times New Roman" w:hAnsi="Times New Roman" w:cs="Times New Roman"/>
          <w:b/>
        </w:rPr>
      </w:pPr>
      <w:r>
        <w:rPr>
          <w:rStyle w:val="Lienhypertexte"/>
          <w:rFonts w:ascii="Times New Roman" w:hAnsi="Times New Roman"/>
          <w:sz w:val="24"/>
          <w:szCs w:val="24"/>
        </w:rPr>
        <w:br w:type="page"/>
      </w:r>
      <w:bookmarkStart w:id="134" w:name="_Toc516764331"/>
      <w:bookmarkStart w:id="135" w:name="_Toc518468077"/>
      <w:r w:rsidR="00B41722" w:rsidRPr="00691D72">
        <w:rPr>
          <w:rFonts w:ascii="Times New Roman" w:hAnsi="Times New Roman" w:cs="Times New Roman"/>
          <w:caps w:val="0"/>
          <w:sz w:val="28"/>
          <w:szCs w:val="28"/>
        </w:rPr>
        <w:lastRenderedPageBreak/>
        <w:t>PROPRIETE REELLE</w:t>
      </w:r>
      <w:bookmarkEnd w:id="134"/>
      <w:bookmarkEnd w:id="135"/>
    </w:p>
    <w:p w14:paraId="7457AFB3" w14:textId="22402E85" w:rsidR="009520BE" w:rsidRPr="008E38DE" w:rsidRDefault="009520BE" w:rsidP="00D6058E">
      <w:pPr>
        <w:pStyle w:val="Titre2"/>
        <w:ind w:left="142"/>
        <w:rPr>
          <w:b/>
        </w:rPr>
      </w:pPr>
      <w:bookmarkStart w:id="136" w:name="_Toc518468078"/>
      <w:r w:rsidRPr="008E38DE">
        <w:rPr>
          <w:rStyle w:val="Lienhypertexte"/>
          <w:rFonts w:ascii="Times New Roman" w:hAnsi="Times New Roman"/>
          <w:b/>
          <w:color w:val="5B9BD5" w:themeColor="accent1"/>
          <w:sz w:val="24"/>
          <w:szCs w:val="24"/>
          <w:u w:val="none"/>
        </w:rPr>
        <w:t>V.1. C</w:t>
      </w:r>
      <w:r w:rsidR="008E38DE" w:rsidRPr="008E38DE">
        <w:rPr>
          <w:rStyle w:val="Lienhypertexte"/>
          <w:rFonts w:ascii="Times New Roman" w:hAnsi="Times New Roman"/>
          <w:b/>
          <w:caps w:val="0"/>
          <w:color w:val="5B9BD5" w:themeColor="accent1"/>
          <w:sz w:val="24"/>
          <w:szCs w:val="24"/>
          <w:u w:val="none"/>
        </w:rPr>
        <w:t>ontexte</w:t>
      </w:r>
      <w:bookmarkEnd w:id="136"/>
    </w:p>
    <w:p w14:paraId="62FC5B97" w14:textId="77777777" w:rsidR="00691D72" w:rsidRDefault="00691D72" w:rsidP="00D6058E">
      <w:pPr>
        <w:spacing w:line="276" w:lineRule="auto"/>
        <w:ind w:left="142"/>
        <w:jc w:val="both"/>
        <w:rPr>
          <w:rFonts w:ascii="Times New Roman" w:hAnsi="Times New Roman"/>
          <w:sz w:val="24"/>
          <w:szCs w:val="24"/>
        </w:rPr>
      </w:pPr>
      <w:r w:rsidRPr="00E72FDF">
        <w:rPr>
          <w:rFonts w:ascii="Times New Roman" w:hAnsi="Times New Roman"/>
          <w:sz w:val="24"/>
          <w:szCs w:val="24"/>
        </w:rPr>
        <w:t>En République Démocratique du Congo (RDC), la divulgation de la propriété réelle est aujourd’hui entrée dans la pratique courante des entreprises au même titre que la divulgation de toutes les autres informations, financières et contextuelles, requises par la Norme ITIE</w:t>
      </w:r>
      <w:r>
        <w:rPr>
          <w:rFonts w:ascii="Times New Roman" w:hAnsi="Times New Roman"/>
          <w:sz w:val="24"/>
          <w:szCs w:val="24"/>
        </w:rPr>
        <w:t>, bien sûr qu’il se pose encore un problème d’exhaustivité comme le montre le tableau ci-dessous</w:t>
      </w:r>
      <w:r w:rsidRPr="00E72FDF">
        <w:rPr>
          <w:rFonts w:ascii="Times New Roman" w:hAnsi="Times New Roman"/>
          <w:sz w:val="24"/>
          <w:szCs w:val="24"/>
        </w:rPr>
        <w:t xml:space="preserve">. </w:t>
      </w:r>
    </w:p>
    <w:p w14:paraId="0652898C" w14:textId="77777777" w:rsidR="00691D72" w:rsidRDefault="00691D72" w:rsidP="00D6058E">
      <w:pPr>
        <w:spacing w:line="276" w:lineRule="auto"/>
        <w:ind w:left="142"/>
        <w:jc w:val="both"/>
        <w:rPr>
          <w:rFonts w:ascii="Times New Roman" w:hAnsi="Times New Roman"/>
          <w:sz w:val="24"/>
          <w:szCs w:val="24"/>
        </w:rPr>
      </w:pPr>
      <w:r>
        <w:rPr>
          <w:rFonts w:ascii="Times New Roman" w:hAnsi="Times New Roman"/>
          <w:sz w:val="24"/>
          <w:szCs w:val="24"/>
        </w:rPr>
        <w:t>L</w:t>
      </w:r>
      <w:r w:rsidRPr="00E72FDF">
        <w:rPr>
          <w:rFonts w:ascii="Times New Roman" w:hAnsi="Times New Roman"/>
          <w:sz w:val="24"/>
          <w:szCs w:val="24"/>
        </w:rPr>
        <w:t xml:space="preserve">es Organisations de la Société civile de la RDC se sont approprié la question </w:t>
      </w:r>
      <w:r>
        <w:rPr>
          <w:rFonts w:ascii="Times New Roman" w:hAnsi="Times New Roman"/>
          <w:sz w:val="24"/>
          <w:szCs w:val="24"/>
        </w:rPr>
        <w:t>au point qu’elles organisent et soutiennent des activités sur la divulgation de la propriété réelle à travers le pays, comme on peut le voir plus bas.</w:t>
      </w:r>
    </w:p>
    <w:p w14:paraId="27738399" w14:textId="77777777" w:rsidR="00691D72" w:rsidRPr="00E72FDF" w:rsidRDefault="00691D72" w:rsidP="00D6058E">
      <w:pPr>
        <w:spacing w:line="276" w:lineRule="auto"/>
        <w:ind w:left="142"/>
        <w:jc w:val="both"/>
        <w:rPr>
          <w:rFonts w:ascii="Times New Roman" w:hAnsi="Times New Roman"/>
          <w:sz w:val="24"/>
          <w:szCs w:val="24"/>
        </w:rPr>
      </w:pPr>
      <w:r w:rsidRPr="00E72FDF">
        <w:rPr>
          <w:rFonts w:ascii="Times New Roman" w:hAnsi="Times New Roman"/>
          <w:sz w:val="24"/>
          <w:szCs w:val="24"/>
        </w:rPr>
        <w:t>Toutefois, malgré les progrès réalisés, le pays fait encore face à un c</w:t>
      </w:r>
      <w:r>
        <w:rPr>
          <w:rFonts w:ascii="Times New Roman" w:hAnsi="Times New Roman"/>
          <w:sz w:val="24"/>
          <w:szCs w:val="24"/>
        </w:rPr>
        <w:t>ertain nombre de</w:t>
      </w:r>
      <w:r w:rsidRPr="00E72FDF">
        <w:rPr>
          <w:rFonts w:ascii="Times New Roman" w:hAnsi="Times New Roman"/>
          <w:sz w:val="24"/>
          <w:szCs w:val="24"/>
        </w:rPr>
        <w:t xml:space="preserve"> défis </w:t>
      </w:r>
      <w:r>
        <w:rPr>
          <w:rFonts w:ascii="Times New Roman" w:hAnsi="Times New Roman"/>
          <w:sz w:val="24"/>
          <w:szCs w:val="24"/>
        </w:rPr>
        <w:t>à relever, notamment l’absence du cadre légal et institutionnel ainsi qu’une définition adaptée à la Norme ITIE en vigueur.</w:t>
      </w:r>
    </w:p>
    <w:p w14:paraId="158C3FDA" w14:textId="77777777" w:rsidR="00691D72" w:rsidRPr="00E72FDF" w:rsidRDefault="00691D72" w:rsidP="00D6058E">
      <w:pPr>
        <w:spacing w:line="276" w:lineRule="auto"/>
        <w:ind w:left="142"/>
        <w:jc w:val="both"/>
        <w:rPr>
          <w:rFonts w:ascii="Times New Roman" w:hAnsi="Times New Roman"/>
          <w:sz w:val="24"/>
          <w:szCs w:val="24"/>
        </w:rPr>
      </w:pPr>
      <w:r w:rsidRPr="00E72FDF">
        <w:rPr>
          <w:rFonts w:ascii="Times New Roman" w:hAnsi="Times New Roman"/>
          <w:sz w:val="24"/>
          <w:szCs w:val="24"/>
        </w:rPr>
        <w:t>C’est pourquoi, le Comité Exécutif avait publié une Feuille de route (FDR) qui décrit les objectifs à atteindre et les activités à réaliser pour relever ces défis et parvenir ainsi à une divulgation complète des propriétaires réels à partir du 1</w:t>
      </w:r>
      <w:r w:rsidRPr="00E72FDF">
        <w:rPr>
          <w:rFonts w:ascii="Times New Roman" w:hAnsi="Times New Roman"/>
          <w:sz w:val="24"/>
          <w:szCs w:val="24"/>
          <w:vertAlign w:val="superscript"/>
        </w:rPr>
        <w:t>er</w:t>
      </w:r>
      <w:r w:rsidRPr="00E72FDF">
        <w:rPr>
          <w:rFonts w:ascii="Times New Roman" w:hAnsi="Times New Roman"/>
          <w:sz w:val="24"/>
          <w:szCs w:val="24"/>
        </w:rPr>
        <w:t xml:space="preserve"> janvier 2020. Cette FDR est disponible sur le site de l’ITIE-RDC</w:t>
      </w:r>
      <w:r>
        <w:rPr>
          <w:rStyle w:val="Appelnotedebasdep"/>
          <w:rFonts w:ascii="Times New Roman" w:hAnsi="Times New Roman"/>
          <w:sz w:val="24"/>
          <w:szCs w:val="24"/>
        </w:rPr>
        <w:footnoteReference w:id="21"/>
      </w:r>
      <w:r>
        <w:rPr>
          <w:rFonts w:ascii="Times New Roman" w:hAnsi="Times New Roman"/>
          <w:sz w:val="24"/>
          <w:szCs w:val="24"/>
        </w:rPr>
        <w:t>.</w:t>
      </w:r>
    </w:p>
    <w:p w14:paraId="407A5BAC" w14:textId="77777777" w:rsidR="00691D72" w:rsidRDefault="00691D72" w:rsidP="00D6058E">
      <w:pPr>
        <w:spacing w:line="276" w:lineRule="auto"/>
        <w:ind w:left="142"/>
        <w:jc w:val="both"/>
        <w:rPr>
          <w:rFonts w:ascii="Times New Roman" w:hAnsi="Times New Roman"/>
          <w:sz w:val="24"/>
          <w:szCs w:val="24"/>
        </w:rPr>
      </w:pPr>
      <w:r w:rsidRPr="00E72FDF">
        <w:rPr>
          <w:rFonts w:ascii="Times New Roman" w:hAnsi="Times New Roman"/>
          <w:sz w:val="24"/>
          <w:szCs w:val="24"/>
        </w:rPr>
        <w:t>Dans le cadre de l’élaboration de cette FDR, les parties prenantes avaient engagé des discussions autour, notamment, de la définition d’un propriétaire réel d’une entreprise extractive et d’une PPE, de la création d’un registre public des propriétaires réels et de l’Institution qui sera appelée à gérer ce registre. La discussion avait aussi porté sur le seuil de participation, le degré de détail de l’information, le mécanisme de collecte et de fiabilisation, ainsi que sur la ponctualité de l’information. Comme le prévoit la FDR, des Commissions seront mises en place pour traiter de toutes ces questions et lever des options pertinentes à soumettre au GMP.</w:t>
      </w:r>
      <w:r>
        <w:rPr>
          <w:rFonts w:ascii="Times New Roman" w:hAnsi="Times New Roman"/>
          <w:sz w:val="24"/>
          <w:szCs w:val="24"/>
        </w:rPr>
        <w:t xml:space="preserve"> Parmi ces Commissions figure celle chargée d’actualiser la définition du propriétaire réel. </w:t>
      </w:r>
    </w:p>
    <w:p w14:paraId="311BA848" w14:textId="77777777" w:rsidR="00691D72" w:rsidRPr="00BD4598" w:rsidRDefault="00691D72" w:rsidP="00D6058E">
      <w:pPr>
        <w:tabs>
          <w:tab w:val="left" w:pos="720"/>
        </w:tabs>
        <w:spacing w:before="120" w:after="120" w:line="276" w:lineRule="auto"/>
        <w:ind w:left="142"/>
        <w:rPr>
          <w:rFonts w:ascii="Times New Roman" w:hAnsi="Times New Roman"/>
          <w:color w:val="000000"/>
          <w:sz w:val="24"/>
          <w:szCs w:val="24"/>
        </w:rPr>
      </w:pPr>
      <w:r>
        <w:rPr>
          <w:rFonts w:ascii="Times New Roman" w:hAnsi="Times New Roman"/>
          <w:sz w:val="24"/>
          <w:szCs w:val="24"/>
        </w:rPr>
        <w:t xml:space="preserve">En effet, </w:t>
      </w:r>
      <w:r>
        <w:rPr>
          <w:rFonts w:ascii="Times New Roman" w:hAnsi="Times New Roman"/>
          <w:color w:val="000000"/>
          <w:sz w:val="24"/>
          <w:szCs w:val="24"/>
        </w:rPr>
        <w:t>d</w:t>
      </w:r>
      <w:r w:rsidRPr="00BD4598">
        <w:rPr>
          <w:rFonts w:ascii="Times New Roman" w:hAnsi="Times New Roman"/>
          <w:color w:val="000000"/>
          <w:sz w:val="24"/>
          <w:szCs w:val="24"/>
        </w:rPr>
        <w:t>ans le cadre du projet pilote</w:t>
      </w:r>
      <w:r>
        <w:rPr>
          <w:rFonts w:ascii="Times New Roman" w:hAnsi="Times New Roman"/>
          <w:color w:val="000000"/>
          <w:sz w:val="24"/>
          <w:szCs w:val="24"/>
        </w:rPr>
        <w:t xml:space="preserve"> sur la divulgation des propriétaires réels des industries extractives en </w:t>
      </w:r>
      <w:proofErr w:type="gramStart"/>
      <w:r>
        <w:rPr>
          <w:rFonts w:ascii="Times New Roman" w:hAnsi="Times New Roman"/>
          <w:color w:val="000000"/>
          <w:sz w:val="24"/>
          <w:szCs w:val="24"/>
        </w:rPr>
        <w:t xml:space="preserve">RDC </w:t>
      </w:r>
      <w:proofErr w:type="gramEnd"/>
      <w:r>
        <w:rPr>
          <w:rStyle w:val="Appelnotedebasdep"/>
          <w:rFonts w:ascii="Times New Roman" w:hAnsi="Times New Roman"/>
          <w:color w:val="000000"/>
          <w:sz w:val="24"/>
          <w:szCs w:val="24"/>
        </w:rPr>
        <w:footnoteReference w:id="22"/>
      </w:r>
      <w:r w:rsidRPr="00BD4598">
        <w:rPr>
          <w:rFonts w:ascii="Times New Roman" w:hAnsi="Times New Roman"/>
          <w:color w:val="000000"/>
          <w:sz w:val="24"/>
          <w:szCs w:val="24"/>
        </w:rPr>
        <w:t xml:space="preserve">, le Comité Exécutif avait engagé un consultant qui lui avait proposé une définition de « propriétaires réels » et « bénéficiaires </w:t>
      </w:r>
      <w:r w:rsidRPr="00BD4598">
        <w:rPr>
          <w:rFonts w:ascii="Times New Roman" w:hAnsi="Times New Roman"/>
          <w:sz w:val="24"/>
          <w:szCs w:val="24"/>
        </w:rPr>
        <w:t>effectifs</w:t>
      </w:r>
      <w:r w:rsidRPr="00BD4598">
        <w:rPr>
          <w:rFonts w:ascii="Times New Roman" w:hAnsi="Times New Roman"/>
          <w:color w:val="000000"/>
          <w:sz w:val="24"/>
          <w:szCs w:val="24"/>
        </w:rPr>
        <w:t xml:space="preserve"> » de sociétés. </w:t>
      </w:r>
    </w:p>
    <w:p w14:paraId="0D13A0FC" w14:textId="77777777" w:rsidR="00691D72" w:rsidRPr="00BD4598" w:rsidRDefault="00691D72" w:rsidP="00D6058E">
      <w:pPr>
        <w:tabs>
          <w:tab w:val="left" w:pos="720"/>
        </w:tabs>
        <w:spacing w:before="120" w:after="120" w:line="276" w:lineRule="auto"/>
        <w:ind w:left="142"/>
        <w:rPr>
          <w:rFonts w:ascii="Times New Roman" w:hAnsi="Times New Roman"/>
          <w:b/>
          <w:color w:val="000000"/>
          <w:sz w:val="24"/>
          <w:szCs w:val="24"/>
        </w:rPr>
      </w:pPr>
      <w:r w:rsidRPr="00BD4598">
        <w:rPr>
          <w:rFonts w:ascii="Times New Roman" w:hAnsi="Times New Roman"/>
          <w:color w:val="000000"/>
          <w:sz w:val="24"/>
          <w:szCs w:val="24"/>
        </w:rPr>
        <w:t xml:space="preserve">En attendant une définition actualisée qui sera proposée par </w:t>
      </w:r>
      <w:r>
        <w:rPr>
          <w:rFonts w:ascii="Times New Roman" w:hAnsi="Times New Roman"/>
          <w:color w:val="000000"/>
          <w:sz w:val="24"/>
          <w:szCs w:val="24"/>
        </w:rPr>
        <w:t>une</w:t>
      </w:r>
      <w:r w:rsidRPr="00BD4598">
        <w:rPr>
          <w:rFonts w:ascii="Times New Roman" w:hAnsi="Times New Roman"/>
          <w:color w:val="000000"/>
          <w:sz w:val="24"/>
          <w:szCs w:val="24"/>
        </w:rPr>
        <w:t xml:space="preserve"> Commission</w:t>
      </w:r>
      <w:r>
        <w:rPr>
          <w:rFonts w:ascii="Times New Roman" w:hAnsi="Times New Roman"/>
          <w:color w:val="000000"/>
          <w:sz w:val="24"/>
          <w:szCs w:val="24"/>
        </w:rPr>
        <w:t xml:space="preserve"> ad hoc</w:t>
      </w:r>
      <w:r w:rsidRPr="00BD4598">
        <w:rPr>
          <w:rFonts w:ascii="Times New Roman" w:hAnsi="Times New Roman"/>
          <w:color w:val="000000"/>
          <w:sz w:val="24"/>
          <w:szCs w:val="24"/>
        </w:rPr>
        <w:t xml:space="preserve">, </w:t>
      </w:r>
      <w:r w:rsidRPr="00BD4598">
        <w:rPr>
          <w:rFonts w:ascii="Times New Roman" w:hAnsi="Times New Roman"/>
          <w:sz w:val="24"/>
          <w:szCs w:val="24"/>
        </w:rPr>
        <w:t>le Comité Exécutif a décidé de divulguer la propriété réelle sur la base de la définition suivante :</w:t>
      </w:r>
      <w:r w:rsidRPr="00BD4598">
        <w:rPr>
          <w:rFonts w:ascii="Times New Roman" w:hAnsi="Times New Roman"/>
          <w:b/>
          <w:color w:val="000000"/>
          <w:sz w:val="24"/>
          <w:szCs w:val="24"/>
        </w:rPr>
        <w:t xml:space="preserve"> </w:t>
      </w:r>
    </w:p>
    <w:p w14:paraId="45139A52" w14:textId="77777777" w:rsidR="00691D72" w:rsidRPr="00BD4598" w:rsidRDefault="00691D72" w:rsidP="00D6058E">
      <w:pPr>
        <w:tabs>
          <w:tab w:val="left" w:pos="720"/>
        </w:tabs>
        <w:spacing w:before="120" w:after="120" w:line="276" w:lineRule="auto"/>
        <w:ind w:left="142"/>
        <w:rPr>
          <w:rFonts w:ascii="Times New Roman" w:hAnsi="Times New Roman"/>
          <w:sz w:val="24"/>
          <w:szCs w:val="24"/>
        </w:rPr>
      </w:pPr>
      <w:r w:rsidRPr="009520BE">
        <w:rPr>
          <w:rFonts w:ascii="Times New Roman" w:hAnsi="Times New Roman"/>
          <w:color w:val="000000"/>
          <w:sz w:val="24"/>
          <w:szCs w:val="24"/>
        </w:rPr>
        <w:t>O</w:t>
      </w:r>
      <w:r w:rsidRPr="00BD4598">
        <w:rPr>
          <w:rFonts w:ascii="Times New Roman" w:hAnsi="Times New Roman"/>
          <w:color w:val="000000"/>
          <w:sz w:val="24"/>
          <w:szCs w:val="24"/>
        </w:rPr>
        <w:t xml:space="preserve">n entend par « </w:t>
      </w:r>
      <w:r w:rsidRPr="00BD4598">
        <w:rPr>
          <w:rFonts w:ascii="Times New Roman" w:hAnsi="Times New Roman"/>
          <w:b/>
          <w:color w:val="000000"/>
          <w:sz w:val="24"/>
          <w:szCs w:val="24"/>
        </w:rPr>
        <w:t>propriétaire réel</w:t>
      </w:r>
      <w:r w:rsidRPr="00BD4598">
        <w:rPr>
          <w:rFonts w:ascii="Times New Roman" w:hAnsi="Times New Roman"/>
          <w:color w:val="000000"/>
          <w:sz w:val="24"/>
          <w:szCs w:val="24"/>
        </w:rPr>
        <w:t xml:space="preserve">» d'une société minière, pétrolière ou gazière, </w:t>
      </w:r>
      <w:r w:rsidRPr="00BD4598">
        <w:rPr>
          <w:rFonts w:ascii="Times New Roman" w:hAnsi="Times New Roman"/>
          <w:b/>
          <w:color w:val="000000"/>
          <w:sz w:val="24"/>
          <w:szCs w:val="24"/>
        </w:rPr>
        <w:t>tout bénéficiaire effectif </w:t>
      </w:r>
      <w:r w:rsidRPr="00BD4598">
        <w:rPr>
          <w:rFonts w:ascii="Times New Roman" w:hAnsi="Times New Roman"/>
          <w:color w:val="000000"/>
          <w:sz w:val="24"/>
          <w:szCs w:val="24"/>
        </w:rPr>
        <w:t>:</w:t>
      </w:r>
    </w:p>
    <w:p w14:paraId="1C140D2A" w14:textId="77777777" w:rsidR="00691D72" w:rsidRPr="00BD4598" w:rsidRDefault="00691D72" w:rsidP="000738D3">
      <w:pPr>
        <w:pStyle w:val="Paragraphedeliste"/>
        <w:numPr>
          <w:ilvl w:val="0"/>
          <w:numId w:val="34"/>
        </w:numPr>
        <w:autoSpaceDE w:val="0"/>
        <w:autoSpaceDN w:val="0"/>
        <w:adjustRightInd w:val="0"/>
        <w:spacing w:after="120"/>
        <w:ind w:left="714" w:hanging="357"/>
        <w:contextualSpacing w:val="0"/>
        <w:jc w:val="both"/>
        <w:rPr>
          <w:rFonts w:ascii="Times New Roman" w:hAnsi="Times New Roman" w:cs="Times New Roman"/>
          <w:color w:val="000000"/>
          <w:sz w:val="24"/>
          <w:szCs w:val="24"/>
        </w:rPr>
      </w:pPr>
      <w:r w:rsidRPr="00BD4598">
        <w:rPr>
          <w:rFonts w:ascii="Times New Roman" w:hAnsi="Times New Roman" w:cs="Times New Roman"/>
          <w:color w:val="000000"/>
          <w:sz w:val="24"/>
          <w:szCs w:val="24"/>
        </w:rPr>
        <w:t>des revenus générés ou réalisés des ventes, cessions ou aliénations des produits marchands par les titulaires ou détenteur d'une licence, d'une autorisation ou d'un permis d'exploitation minière ou d'un agrément au titre d'entité de traitement et de transformation en vertu de ces licences, autorisations, permis ou agréments;</w:t>
      </w:r>
    </w:p>
    <w:p w14:paraId="4849C1C6" w14:textId="77777777" w:rsidR="00691D72" w:rsidRPr="00BD4598" w:rsidRDefault="00691D72" w:rsidP="000738D3">
      <w:pPr>
        <w:pStyle w:val="Paragraphedeliste"/>
        <w:numPr>
          <w:ilvl w:val="0"/>
          <w:numId w:val="34"/>
        </w:numPr>
        <w:autoSpaceDE w:val="0"/>
        <w:autoSpaceDN w:val="0"/>
        <w:adjustRightInd w:val="0"/>
        <w:spacing w:after="120"/>
        <w:ind w:left="714" w:hanging="357"/>
        <w:contextualSpacing w:val="0"/>
        <w:jc w:val="both"/>
        <w:rPr>
          <w:rFonts w:ascii="Times New Roman" w:hAnsi="Times New Roman" w:cs="Times New Roman"/>
          <w:color w:val="000000"/>
          <w:sz w:val="24"/>
          <w:szCs w:val="24"/>
        </w:rPr>
      </w:pPr>
      <w:r w:rsidRPr="00BD4598">
        <w:rPr>
          <w:rFonts w:ascii="Times New Roman" w:hAnsi="Times New Roman" w:cs="Times New Roman"/>
          <w:color w:val="000000"/>
          <w:sz w:val="24"/>
          <w:szCs w:val="24"/>
        </w:rPr>
        <w:lastRenderedPageBreak/>
        <w:t>des revenus générés ou réalisés des ventes, cessions ou aliénations des parts des hydrocarbures liquides par les contractants ou des parts d'intérêt d'un contractant en vertu des conventions pétrolières ou gazières ;</w:t>
      </w:r>
    </w:p>
    <w:p w14:paraId="509BA7A3" w14:textId="77777777" w:rsidR="00691D72" w:rsidRPr="00BD4598" w:rsidRDefault="00691D72" w:rsidP="000738D3">
      <w:pPr>
        <w:pStyle w:val="Paragraphedeliste"/>
        <w:numPr>
          <w:ilvl w:val="0"/>
          <w:numId w:val="34"/>
        </w:numPr>
        <w:autoSpaceDE w:val="0"/>
        <w:autoSpaceDN w:val="0"/>
        <w:adjustRightInd w:val="0"/>
        <w:spacing w:after="0"/>
        <w:jc w:val="both"/>
        <w:rPr>
          <w:rFonts w:ascii="Times New Roman" w:hAnsi="Times New Roman" w:cs="Times New Roman"/>
          <w:color w:val="000000"/>
          <w:sz w:val="24"/>
          <w:szCs w:val="24"/>
        </w:rPr>
      </w:pPr>
      <w:r w:rsidRPr="00BD4598">
        <w:rPr>
          <w:rFonts w:ascii="Times New Roman" w:hAnsi="Times New Roman" w:cs="Times New Roman"/>
          <w:color w:val="000000"/>
          <w:sz w:val="24"/>
          <w:szCs w:val="24"/>
        </w:rPr>
        <w:t>des revenus de tous genres, autre que les coûts pétroliers, réalisés ou générés par la société opératrice dans les blocs pétroliers ou gaziers en exécution des termes des conventions, des lois ou règlements applicables aux travaux pétroliers ou gaziers réalisés par ladite société.</w:t>
      </w:r>
    </w:p>
    <w:p w14:paraId="7E7B08D4" w14:textId="77777777" w:rsidR="00691D72" w:rsidRPr="00BD4598" w:rsidRDefault="00691D72" w:rsidP="00D6058E">
      <w:pPr>
        <w:tabs>
          <w:tab w:val="left" w:pos="720"/>
        </w:tabs>
        <w:spacing w:before="120" w:after="120" w:line="276" w:lineRule="auto"/>
        <w:rPr>
          <w:rFonts w:ascii="Times New Roman" w:hAnsi="Times New Roman"/>
          <w:sz w:val="24"/>
          <w:szCs w:val="24"/>
        </w:rPr>
      </w:pPr>
      <w:r w:rsidRPr="00BD4598">
        <w:rPr>
          <w:rFonts w:ascii="Times New Roman" w:hAnsi="Times New Roman"/>
          <w:color w:val="000000"/>
          <w:sz w:val="24"/>
          <w:szCs w:val="24"/>
        </w:rPr>
        <w:t xml:space="preserve">Par </w:t>
      </w:r>
      <w:r w:rsidRPr="00BD4598">
        <w:rPr>
          <w:rFonts w:ascii="Times New Roman" w:hAnsi="Times New Roman"/>
          <w:sz w:val="24"/>
          <w:szCs w:val="24"/>
        </w:rPr>
        <w:t>bénéficiaire</w:t>
      </w:r>
      <w:r w:rsidRPr="00BD4598">
        <w:rPr>
          <w:rFonts w:ascii="Times New Roman" w:hAnsi="Times New Roman"/>
          <w:color w:val="000000"/>
          <w:sz w:val="24"/>
          <w:szCs w:val="24"/>
        </w:rPr>
        <w:t xml:space="preserve"> effectif, on entend toute personne physique qui, directement ou indirectement, par tous procédés et même par des artifices légalement admis :</w:t>
      </w:r>
    </w:p>
    <w:p w14:paraId="510EAD71" w14:textId="77777777" w:rsidR="00691D72" w:rsidRPr="00BD4598" w:rsidRDefault="00691D72" w:rsidP="000738D3">
      <w:pPr>
        <w:pStyle w:val="Paragraphedeliste"/>
        <w:numPr>
          <w:ilvl w:val="0"/>
          <w:numId w:val="35"/>
        </w:numPr>
        <w:autoSpaceDE w:val="0"/>
        <w:autoSpaceDN w:val="0"/>
        <w:adjustRightInd w:val="0"/>
        <w:jc w:val="both"/>
        <w:rPr>
          <w:rFonts w:ascii="Times New Roman" w:hAnsi="Times New Roman" w:cs="Times New Roman"/>
          <w:color w:val="000000"/>
          <w:sz w:val="24"/>
          <w:szCs w:val="24"/>
        </w:rPr>
      </w:pPr>
      <w:r w:rsidRPr="00BD4598">
        <w:rPr>
          <w:rFonts w:ascii="Times New Roman" w:hAnsi="Times New Roman" w:cs="Times New Roman"/>
          <w:color w:val="000000"/>
          <w:sz w:val="24"/>
          <w:szCs w:val="24"/>
        </w:rPr>
        <w:t>exerce en dernier ressort un contrôle effectif sur une société, ou</w:t>
      </w:r>
    </w:p>
    <w:p w14:paraId="3B20AEC7" w14:textId="1B9ECB21" w:rsidR="00691D72" w:rsidRPr="00BD4598" w:rsidRDefault="00691D72" w:rsidP="000738D3">
      <w:pPr>
        <w:pStyle w:val="Paragraphedeliste"/>
        <w:numPr>
          <w:ilvl w:val="0"/>
          <w:numId w:val="35"/>
        </w:numPr>
        <w:autoSpaceDE w:val="0"/>
        <w:autoSpaceDN w:val="0"/>
        <w:adjustRightInd w:val="0"/>
        <w:spacing w:after="0"/>
        <w:jc w:val="both"/>
        <w:rPr>
          <w:rFonts w:ascii="Times New Roman" w:hAnsi="Times New Roman" w:cs="Times New Roman"/>
          <w:sz w:val="24"/>
          <w:szCs w:val="24"/>
        </w:rPr>
      </w:pPr>
      <w:r w:rsidRPr="00BD4598">
        <w:rPr>
          <w:rFonts w:ascii="Times New Roman" w:hAnsi="Times New Roman" w:cs="Times New Roman"/>
          <w:color w:val="000000"/>
          <w:sz w:val="24"/>
          <w:szCs w:val="24"/>
        </w:rPr>
        <w:t>détient un intérêt q</w:t>
      </w:r>
      <w:r w:rsidR="00CA5921">
        <w:rPr>
          <w:rFonts w:ascii="Times New Roman" w:hAnsi="Times New Roman" w:cs="Times New Roman"/>
          <w:color w:val="000000"/>
          <w:sz w:val="24"/>
          <w:szCs w:val="24"/>
        </w:rPr>
        <w:t>uelconque ou tire un avantage pé</w:t>
      </w:r>
      <w:r w:rsidR="00CA5921" w:rsidRPr="00BD4598">
        <w:rPr>
          <w:rFonts w:ascii="Times New Roman" w:hAnsi="Times New Roman" w:cs="Times New Roman"/>
          <w:color w:val="000000"/>
          <w:sz w:val="24"/>
          <w:szCs w:val="24"/>
        </w:rPr>
        <w:t>cuniaire</w:t>
      </w:r>
      <w:r w:rsidRPr="00BD4598">
        <w:rPr>
          <w:rFonts w:ascii="Times New Roman" w:hAnsi="Times New Roman" w:cs="Times New Roman"/>
          <w:color w:val="000000"/>
          <w:sz w:val="24"/>
          <w:szCs w:val="24"/>
        </w:rPr>
        <w:t xml:space="preserve"> substantiel de la société, au détriment d’autres actionnaires ou associés.</w:t>
      </w:r>
    </w:p>
    <w:p w14:paraId="6FDDE341" w14:textId="77777777" w:rsidR="00691D72" w:rsidRPr="00BD4598" w:rsidRDefault="00691D72" w:rsidP="00D6058E">
      <w:pPr>
        <w:tabs>
          <w:tab w:val="left" w:pos="720"/>
        </w:tabs>
        <w:spacing w:before="120" w:after="120" w:line="276" w:lineRule="auto"/>
        <w:rPr>
          <w:rFonts w:ascii="Times New Roman" w:hAnsi="Times New Roman"/>
          <w:color w:val="000000"/>
          <w:sz w:val="24"/>
          <w:szCs w:val="24"/>
        </w:rPr>
      </w:pPr>
      <w:r w:rsidRPr="00BD4598">
        <w:rPr>
          <w:rFonts w:ascii="Times New Roman" w:hAnsi="Times New Roman"/>
          <w:color w:val="000000"/>
          <w:sz w:val="24"/>
          <w:szCs w:val="24"/>
        </w:rPr>
        <w:t xml:space="preserve">Par contrôle effectif, on entend le fait pour : </w:t>
      </w:r>
    </w:p>
    <w:p w14:paraId="2E642216" w14:textId="77777777" w:rsidR="00691D72" w:rsidRPr="00BD4598" w:rsidRDefault="00691D72" w:rsidP="000738D3">
      <w:pPr>
        <w:pStyle w:val="Paragraphedeliste"/>
        <w:numPr>
          <w:ilvl w:val="0"/>
          <w:numId w:val="36"/>
        </w:numPr>
        <w:autoSpaceDE w:val="0"/>
        <w:autoSpaceDN w:val="0"/>
        <w:adjustRightInd w:val="0"/>
        <w:spacing w:before="120" w:after="120"/>
        <w:ind w:left="714" w:hanging="357"/>
        <w:contextualSpacing w:val="0"/>
        <w:jc w:val="both"/>
        <w:rPr>
          <w:rFonts w:ascii="Times New Roman" w:hAnsi="Times New Roman" w:cs="Times New Roman"/>
          <w:sz w:val="24"/>
          <w:szCs w:val="24"/>
        </w:rPr>
      </w:pPr>
      <w:r w:rsidRPr="00BD4598">
        <w:rPr>
          <w:rFonts w:ascii="Times New Roman" w:hAnsi="Times New Roman" w:cs="Times New Roman"/>
          <w:color w:val="000000"/>
          <w:sz w:val="24"/>
          <w:szCs w:val="24"/>
        </w:rPr>
        <w:t xml:space="preserve">la ou les personnes physiques qui, en dernier lieu, possèdent ou contrôlent directement ou indirectement un pourcentage suffisant d’actions ou de droits de vote dans cette entité juridique, y compris par le biais d’actions au porteur, autre qu’une société cotée sur un marché réglementé qui est soumise à des obligations de publicité conformes aux normes internationales équivalentes. Un pourcentage de </w:t>
      </w:r>
      <w:r w:rsidRPr="000E0A51">
        <w:rPr>
          <w:rFonts w:ascii="Times New Roman" w:hAnsi="Times New Roman" w:cs="Times New Roman"/>
          <w:color w:val="000000"/>
          <w:sz w:val="24"/>
          <w:szCs w:val="24"/>
        </w:rPr>
        <w:t>25%</w:t>
      </w:r>
      <w:r w:rsidRPr="00BD4598">
        <w:rPr>
          <w:rFonts w:ascii="Times New Roman" w:hAnsi="Times New Roman" w:cs="Times New Roman"/>
          <w:color w:val="000000"/>
          <w:sz w:val="24"/>
          <w:szCs w:val="24"/>
        </w:rPr>
        <w:t xml:space="preserve"> des actions est une preuve de propriété ou de contrôle par participation, qui s’applique à tout niveau de participation directe ou indirecte ;</w:t>
      </w:r>
    </w:p>
    <w:p w14:paraId="527C6801" w14:textId="77777777" w:rsidR="00691D72" w:rsidRPr="00BD4598" w:rsidRDefault="00691D72" w:rsidP="000738D3">
      <w:pPr>
        <w:pStyle w:val="Paragraphedeliste"/>
        <w:numPr>
          <w:ilvl w:val="0"/>
          <w:numId w:val="36"/>
        </w:numPr>
        <w:autoSpaceDE w:val="0"/>
        <w:autoSpaceDN w:val="0"/>
        <w:adjustRightInd w:val="0"/>
        <w:spacing w:before="120" w:after="120"/>
        <w:ind w:left="714" w:hanging="357"/>
        <w:contextualSpacing w:val="0"/>
        <w:jc w:val="both"/>
        <w:rPr>
          <w:rFonts w:ascii="Times New Roman" w:hAnsi="Times New Roman" w:cs="Times New Roman"/>
          <w:color w:val="000000"/>
          <w:sz w:val="24"/>
          <w:szCs w:val="24"/>
        </w:rPr>
      </w:pPr>
      <w:r w:rsidRPr="00BD4598">
        <w:rPr>
          <w:rFonts w:ascii="Times New Roman" w:hAnsi="Times New Roman" w:cs="Times New Roman"/>
          <w:color w:val="000000"/>
          <w:sz w:val="24"/>
          <w:szCs w:val="24"/>
        </w:rPr>
        <w:t>la ou les personnes physiques qui, en dernier lieu, sans posséder un pourcentage suffisant d’actions ou de droits de vote dans une entité juridique, contrôlent  directement ou indirectement la société par la possession des actions de priorité, des actions privilégiées ou actions de préférence et/ou par la possession des actions à vote double ou à vote multiple ;</w:t>
      </w:r>
    </w:p>
    <w:p w14:paraId="09AEC92E" w14:textId="77777777" w:rsidR="00691D72" w:rsidRPr="00BD4598" w:rsidRDefault="00691D72" w:rsidP="000738D3">
      <w:pPr>
        <w:pStyle w:val="Paragraphedeliste"/>
        <w:numPr>
          <w:ilvl w:val="0"/>
          <w:numId w:val="36"/>
        </w:numPr>
        <w:autoSpaceDE w:val="0"/>
        <w:autoSpaceDN w:val="0"/>
        <w:adjustRightInd w:val="0"/>
        <w:spacing w:after="0" w:line="240" w:lineRule="auto"/>
        <w:jc w:val="both"/>
        <w:rPr>
          <w:rFonts w:ascii="Times New Roman" w:hAnsi="Times New Roman" w:cs="Times New Roman"/>
          <w:color w:val="000000"/>
          <w:sz w:val="24"/>
          <w:szCs w:val="24"/>
        </w:rPr>
      </w:pPr>
      <w:r w:rsidRPr="00BD4598">
        <w:rPr>
          <w:rFonts w:ascii="Times New Roman" w:hAnsi="Times New Roman" w:cs="Times New Roman"/>
          <w:color w:val="000000"/>
          <w:sz w:val="24"/>
          <w:szCs w:val="24"/>
        </w:rPr>
        <w:t>s’il n’est pas certain que les personnes visées aux points ci-dessus soient les bénéficiaires effectifs, la ou les personnes physiques qui exercent le contrôle sur la direction de l’entité juridique par d’autres moyens ou procédés.</w:t>
      </w:r>
    </w:p>
    <w:p w14:paraId="1168A2E2" w14:textId="77777777" w:rsidR="00691D72" w:rsidRDefault="00691D72" w:rsidP="0054038F">
      <w:bookmarkStart w:id="137" w:name="_Toc516764332"/>
    </w:p>
    <w:p w14:paraId="763D8247" w14:textId="5C68106F" w:rsidR="00691D72" w:rsidRPr="0003496C" w:rsidRDefault="009520BE" w:rsidP="0003496C">
      <w:pPr>
        <w:rPr>
          <w:rFonts w:ascii="Times New Roman" w:eastAsiaTheme="minorHAnsi" w:hAnsi="Times New Roman"/>
          <w:color w:val="000000"/>
          <w:sz w:val="24"/>
          <w:szCs w:val="24"/>
        </w:rPr>
      </w:pPr>
      <w:r w:rsidRPr="0003496C">
        <w:rPr>
          <w:rFonts w:ascii="Times New Roman" w:eastAsiaTheme="minorHAnsi" w:hAnsi="Times New Roman"/>
          <w:color w:val="000000"/>
          <w:sz w:val="24"/>
          <w:szCs w:val="24"/>
        </w:rPr>
        <w:t xml:space="preserve">Toujours dans le cadre du projet pilote, le Comité Exécutif avait </w:t>
      </w:r>
      <w:r w:rsidR="0003496C" w:rsidRPr="0003496C">
        <w:rPr>
          <w:rFonts w:ascii="Times New Roman" w:eastAsiaTheme="minorHAnsi" w:hAnsi="Times New Roman"/>
          <w:color w:val="000000"/>
          <w:sz w:val="24"/>
          <w:szCs w:val="24"/>
        </w:rPr>
        <w:t>décidé</w:t>
      </w:r>
      <w:r w:rsidRPr="0003496C">
        <w:rPr>
          <w:rFonts w:ascii="Times New Roman" w:eastAsiaTheme="minorHAnsi" w:hAnsi="Times New Roman"/>
          <w:color w:val="000000"/>
          <w:sz w:val="24"/>
          <w:szCs w:val="24"/>
        </w:rPr>
        <w:t xml:space="preserve"> ce qui suit, et qui s’applique pour les rapports actuels :</w:t>
      </w:r>
    </w:p>
    <w:p w14:paraId="30BBD741" w14:textId="77777777" w:rsidR="00691D72" w:rsidRPr="007348F3" w:rsidRDefault="00691D72" w:rsidP="000738D3">
      <w:pPr>
        <w:pStyle w:val="Paragraphedeliste"/>
        <w:numPr>
          <w:ilvl w:val="0"/>
          <w:numId w:val="37"/>
        </w:numPr>
        <w:spacing w:after="0" w:line="259" w:lineRule="auto"/>
        <w:ind w:left="1134"/>
        <w:rPr>
          <w:rFonts w:ascii="Times New Roman" w:hAnsi="Times New Roman" w:cs="Times New Roman"/>
          <w:sz w:val="24"/>
          <w:szCs w:val="24"/>
        </w:rPr>
      </w:pPr>
      <w:r w:rsidRPr="007348F3">
        <w:rPr>
          <w:rFonts w:ascii="Times New Roman" w:hAnsi="Times New Roman" w:cs="Times New Roman"/>
          <w:sz w:val="24"/>
          <w:szCs w:val="24"/>
        </w:rPr>
        <w:t>le seuil de divulgation est fixé à 25% de participation ;</w:t>
      </w:r>
    </w:p>
    <w:p w14:paraId="313D9D06" w14:textId="77777777" w:rsidR="00691D72" w:rsidRPr="007348F3" w:rsidRDefault="00691D72" w:rsidP="000738D3">
      <w:pPr>
        <w:pStyle w:val="Paragraphedeliste"/>
        <w:numPr>
          <w:ilvl w:val="0"/>
          <w:numId w:val="37"/>
        </w:numPr>
        <w:spacing w:after="0" w:line="259" w:lineRule="auto"/>
        <w:ind w:left="1134"/>
        <w:rPr>
          <w:rFonts w:ascii="Times New Roman" w:hAnsi="Times New Roman" w:cs="Times New Roman"/>
          <w:sz w:val="24"/>
          <w:szCs w:val="24"/>
        </w:rPr>
      </w:pPr>
      <w:r w:rsidRPr="007348F3">
        <w:rPr>
          <w:rFonts w:ascii="Times New Roman" w:hAnsi="Times New Roman" w:cs="Times New Roman"/>
          <w:sz w:val="24"/>
          <w:szCs w:val="24"/>
        </w:rPr>
        <w:t xml:space="preserve">la collecte des informations sur la propriété réelle se fait au moyen d’un formulaire, qui peut être consulté sur </w:t>
      </w:r>
      <w:r w:rsidRPr="001A4C8B">
        <w:rPr>
          <w:rFonts w:ascii="Times New Roman" w:hAnsi="Times New Roman" w:cs="Times New Roman"/>
          <w:sz w:val="24"/>
          <w:szCs w:val="24"/>
        </w:rPr>
        <w:t>le site de l’ITIE-RDC</w:t>
      </w:r>
      <w:r>
        <w:rPr>
          <w:rStyle w:val="Appelnotedebasdep"/>
          <w:rFonts w:ascii="Times New Roman" w:hAnsi="Times New Roman" w:cs="Times New Roman"/>
          <w:sz w:val="24"/>
          <w:szCs w:val="24"/>
        </w:rPr>
        <w:footnoteReference w:id="23"/>
      </w:r>
      <w:r w:rsidRPr="001A4C8B">
        <w:rPr>
          <w:rFonts w:ascii="Times New Roman" w:hAnsi="Times New Roman" w:cs="Times New Roman"/>
          <w:sz w:val="24"/>
          <w:szCs w:val="24"/>
        </w:rPr>
        <w:t> </w:t>
      </w:r>
      <w:r w:rsidRPr="007348F3">
        <w:rPr>
          <w:rFonts w:ascii="Times New Roman" w:hAnsi="Times New Roman" w:cs="Times New Roman"/>
          <w:sz w:val="24"/>
          <w:szCs w:val="24"/>
        </w:rPr>
        <w:t>;</w:t>
      </w:r>
    </w:p>
    <w:p w14:paraId="23BDC2CD" w14:textId="77777777" w:rsidR="00691D72" w:rsidRPr="007348F3" w:rsidRDefault="00691D72" w:rsidP="000738D3">
      <w:pPr>
        <w:pStyle w:val="Paragraphedeliste"/>
        <w:numPr>
          <w:ilvl w:val="0"/>
          <w:numId w:val="37"/>
        </w:numPr>
        <w:spacing w:after="0" w:line="259" w:lineRule="auto"/>
        <w:ind w:left="1134"/>
        <w:rPr>
          <w:rFonts w:ascii="Times New Roman" w:hAnsi="Times New Roman" w:cs="Times New Roman"/>
          <w:sz w:val="24"/>
          <w:szCs w:val="24"/>
        </w:rPr>
      </w:pPr>
      <w:r w:rsidRPr="007348F3">
        <w:rPr>
          <w:rFonts w:ascii="Times New Roman" w:hAnsi="Times New Roman" w:cs="Times New Roman"/>
          <w:sz w:val="24"/>
          <w:szCs w:val="24"/>
        </w:rPr>
        <w:t>seules les entreprises du périmètre du rapport ITIE reçoivent le formulaire de déclaration ;</w:t>
      </w:r>
    </w:p>
    <w:p w14:paraId="41E70139" w14:textId="77777777" w:rsidR="00691D72" w:rsidRPr="007348F3" w:rsidRDefault="00691D72" w:rsidP="000738D3">
      <w:pPr>
        <w:pStyle w:val="Paragraphedeliste"/>
        <w:numPr>
          <w:ilvl w:val="0"/>
          <w:numId w:val="37"/>
        </w:numPr>
        <w:spacing w:after="0" w:line="259" w:lineRule="auto"/>
        <w:ind w:left="1134"/>
        <w:rPr>
          <w:rFonts w:ascii="Times New Roman" w:hAnsi="Times New Roman" w:cs="Times New Roman"/>
          <w:sz w:val="24"/>
          <w:szCs w:val="24"/>
        </w:rPr>
      </w:pPr>
      <w:r w:rsidRPr="007348F3">
        <w:rPr>
          <w:rFonts w:ascii="Times New Roman" w:hAnsi="Times New Roman" w:cs="Times New Roman"/>
          <w:sz w:val="24"/>
          <w:szCs w:val="24"/>
        </w:rPr>
        <w:t>les informations sont certifiées par la signature du formulaire de déclaration par un haut responsable de l’entreprise ;</w:t>
      </w:r>
    </w:p>
    <w:p w14:paraId="5626BDE0" w14:textId="77777777" w:rsidR="00691D72" w:rsidRDefault="00691D72" w:rsidP="000738D3">
      <w:pPr>
        <w:pStyle w:val="Paragraphedeliste"/>
        <w:numPr>
          <w:ilvl w:val="0"/>
          <w:numId w:val="37"/>
        </w:numPr>
        <w:spacing w:after="0" w:line="259" w:lineRule="auto"/>
        <w:ind w:left="1134"/>
        <w:rPr>
          <w:rFonts w:ascii="Times New Roman" w:hAnsi="Times New Roman" w:cs="Times New Roman"/>
          <w:sz w:val="24"/>
          <w:szCs w:val="24"/>
        </w:rPr>
      </w:pPr>
      <w:r w:rsidRPr="007348F3">
        <w:rPr>
          <w:rFonts w:ascii="Times New Roman" w:hAnsi="Times New Roman" w:cs="Times New Roman"/>
          <w:sz w:val="24"/>
          <w:szCs w:val="24"/>
        </w:rPr>
        <w:t>les informations divulguées sont celles valables au moment de la collecte des données pour la production du rapport ITIE.</w:t>
      </w:r>
    </w:p>
    <w:p w14:paraId="40ED0966" w14:textId="0A93CC06" w:rsidR="00691D72" w:rsidRPr="009520BE" w:rsidRDefault="009520BE" w:rsidP="009520BE">
      <w:pPr>
        <w:pStyle w:val="Titre2"/>
        <w:ind w:left="142"/>
        <w:rPr>
          <w:rFonts w:ascii="Times New Roman" w:hAnsi="Times New Roman" w:cs="Times New Roman"/>
          <w:sz w:val="24"/>
          <w:szCs w:val="24"/>
        </w:rPr>
      </w:pPr>
      <w:bookmarkStart w:id="138" w:name="_Toc518468079"/>
      <w:r>
        <w:rPr>
          <w:rFonts w:ascii="Times New Roman" w:hAnsi="Times New Roman" w:cs="Times New Roman"/>
          <w:sz w:val="24"/>
          <w:szCs w:val="24"/>
        </w:rPr>
        <w:lastRenderedPageBreak/>
        <w:t xml:space="preserve">V.2. </w:t>
      </w:r>
      <w:r w:rsidR="00232958" w:rsidRPr="009520BE">
        <w:rPr>
          <w:rFonts w:ascii="Times New Roman" w:hAnsi="Times New Roman" w:cs="Times New Roman"/>
          <w:caps w:val="0"/>
          <w:sz w:val="24"/>
          <w:szCs w:val="24"/>
        </w:rPr>
        <w:t>Niveau d’exécution</w:t>
      </w:r>
      <w:r w:rsidR="00232958">
        <w:rPr>
          <w:rFonts w:ascii="Times New Roman" w:hAnsi="Times New Roman" w:cs="Times New Roman"/>
          <w:caps w:val="0"/>
          <w:sz w:val="24"/>
          <w:szCs w:val="24"/>
        </w:rPr>
        <w:t xml:space="preserve"> de la F</w:t>
      </w:r>
      <w:r w:rsidR="00232958" w:rsidRPr="009520BE">
        <w:rPr>
          <w:rFonts w:ascii="Times New Roman" w:hAnsi="Times New Roman" w:cs="Times New Roman"/>
          <w:caps w:val="0"/>
          <w:sz w:val="24"/>
          <w:szCs w:val="24"/>
        </w:rPr>
        <w:t>euille de route</w:t>
      </w:r>
      <w:bookmarkEnd w:id="137"/>
      <w:bookmarkEnd w:id="138"/>
    </w:p>
    <w:p w14:paraId="608E6CEA" w14:textId="77777777" w:rsidR="00691D72" w:rsidRPr="00E72FDF" w:rsidRDefault="00691D72" w:rsidP="009520BE">
      <w:pPr>
        <w:ind w:left="142"/>
        <w:jc w:val="both"/>
        <w:rPr>
          <w:rFonts w:ascii="Times New Roman" w:hAnsi="Times New Roman"/>
          <w:sz w:val="24"/>
          <w:szCs w:val="24"/>
        </w:rPr>
      </w:pPr>
      <w:r w:rsidRPr="00E72FDF">
        <w:rPr>
          <w:rFonts w:ascii="Times New Roman" w:hAnsi="Times New Roman"/>
          <w:sz w:val="24"/>
          <w:szCs w:val="24"/>
        </w:rPr>
        <w:t>Au terme des circonstances qui ont retardé le démarrage de l’exécution de la FDR, les activités suivantes ont été réalisées :</w:t>
      </w:r>
    </w:p>
    <w:p w14:paraId="52F52533" w14:textId="77777777" w:rsidR="00691D72" w:rsidRPr="00E72FDF" w:rsidRDefault="00691D72" w:rsidP="000738D3">
      <w:pPr>
        <w:pStyle w:val="Paragraphedeliste"/>
        <w:numPr>
          <w:ilvl w:val="0"/>
          <w:numId w:val="33"/>
        </w:numPr>
        <w:ind w:left="993"/>
        <w:jc w:val="both"/>
        <w:rPr>
          <w:rFonts w:ascii="Times New Roman" w:hAnsi="Times New Roman" w:cs="Times New Roman"/>
          <w:sz w:val="24"/>
          <w:szCs w:val="24"/>
        </w:rPr>
      </w:pPr>
      <w:r w:rsidRPr="00E72FDF">
        <w:rPr>
          <w:rFonts w:ascii="Times New Roman" w:hAnsi="Times New Roman" w:cs="Times New Roman"/>
          <w:sz w:val="24"/>
          <w:szCs w:val="24"/>
        </w:rPr>
        <w:t>Vulgarisation de la FDR relative à la divulgation de la propriété réelle (réalisée à Lubumbashi les 29 et 30 janvier 2018) ;</w:t>
      </w:r>
    </w:p>
    <w:p w14:paraId="21A0E75A" w14:textId="77777777" w:rsidR="00691D72" w:rsidRPr="00E72FDF" w:rsidRDefault="00691D72" w:rsidP="00691D72">
      <w:pPr>
        <w:ind w:left="993"/>
        <w:jc w:val="both"/>
        <w:rPr>
          <w:rFonts w:ascii="Times New Roman" w:hAnsi="Times New Roman"/>
          <w:sz w:val="24"/>
          <w:szCs w:val="24"/>
        </w:rPr>
      </w:pPr>
      <w:r w:rsidRPr="00E72FDF">
        <w:rPr>
          <w:rFonts w:ascii="Times New Roman" w:hAnsi="Times New Roman"/>
          <w:sz w:val="24"/>
          <w:szCs w:val="24"/>
        </w:rPr>
        <w:t>Cette vulgarisation a permis aux parties prenantes de s’approprier la FDR, de comprendre leur rôle et de s’engager à participer activement à sa mise en œuvre.</w:t>
      </w:r>
    </w:p>
    <w:p w14:paraId="34D828A9" w14:textId="77777777" w:rsidR="00691D72" w:rsidRPr="00E72FDF" w:rsidRDefault="00691D72" w:rsidP="000738D3">
      <w:pPr>
        <w:pStyle w:val="Paragraphedeliste"/>
        <w:numPr>
          <w:ilvl w:val="0"/>
          <w:numId w:val="33"/>
        </w:numPr>
        <w:ind w:left="993"/>
        <w:jc w:val="both"/>
        <w:rPr>
          <w:rFonts w:ascii="Times New Roman" w:hAnsi="Times New Roman" w:cs="Times New Roman"/>
          <w:sz w:val="24"/>
          <w:szCs w:val="24"/>
        </w:rPr>
      </w:pPr>
      <w:r w:rsidRPr="00E72FDF">
        <w:rPr>
          <w:rFonts w:ascii="Times New Roman" w:hAnsi="Times New Roman" w:cs="Times New Roman"/>
          <w:sz w:val="24"/>
          <w:szCs w:val="24"/>
        </w:rPr>
        <w:t xml:space="preserve">Identification des défis à la divulgation de la propriété réelle et proposition </w:t>
      </w:r>
      <w:r>
        <w:rPr>
          <w:rFonts w:ascii="Times New Roman" w:hAnsi="Times New Roman" w:cs="Times New Roman"/>
          <w:sz w:val="24"/>
          <w:szCs w:val="24"/>
        </w:rPr>
        <w:t>d’</w:t>
      </w:r>
      <w:r w:rsidRPr="00E72FDF">
        <w:rPr>
          <w:rFonts w:ascii="Times New Roman" w:hAnsi="Times New Roman" w:cs="Times New Roman"/>
          <w:sz w:val="24"/>
          <w:szCs w:val="24"/>
        </w:rPr>
        <w:t xml:space="preserve">actions prioritaires </w:t>
      </w:r>
      <w:r>
        <w:rPr>
          <w:rFonts w:ascii="Times New Roman" w:hAnsi="Times New Roman" w:cs="Times New Roman"/>
          <w:sz w:val="24"/>
          <w:szCs w:val="24"/>
        </w:rPr>
        <w:t>et/</w:t>
      </w:r>
      <w:r w:rsidRPr="00E72FDF">
        <w:rPr>
          <w:rFonts w:ascii="Times New Roman" w:hAnsi="Times New Roman" w:cs="Times New Roman"/>
          <w:sz w:val="24"/>
          <w:szCs w:val="24"/>
        </w:rPr>
        <w:t>ou des réformes (réalisée à Kinshasa les 28 et 29 mars 2018).</w:t>
      </w:r>
    </w:p>
    <w:p w14:paraId="639CA160" w14:textId="77777777" w:rsidR="00691D72" w:rsidRPr="00E72FDF" w:rsidRDefault="00691D72" w:rsidP="009520BE">
      <w:pPr>
        <w:spacing w:line="276" w:lineRule="auto"/>
        <w:ind w:left="142"/>
        <w:jc w:val="both"/>
        <w:rPr>
          <w:rFonts w:ascii="Times New Roman" w:hAnsi="Times New Roman"/>
          <w:sz w:val="24"/>
          <w:szCs w:val="24"/>
          <w:lang w:eastAsia="fr-FR"/>
        </w:rPr>
      </w:pPr>
      <w:r w:rsidRPr="00E72FDF">
        <w:rPr>
          <w:rFonts w:ascii="Times New Roman" w:hAnsi="Times New Roman"/>
          <w:sz w:val="24"/>
          <w:szCs w:val="24"/>
        </w:rPr>
        <w:t>Cette activité, réalisée en collaboration avec NRGI,  a permis aux parties prenantes de d</w:t>
      </w:r>
      <w:r w:rsidRPr="00E72FDF">
        <w:rPr>
          <w:rFonts w:ascii="Times New Roman" w:hAnsi="Times New Roman"/>
          <w:sz w:val="24"/>
          <w:szCs w:val="24"/>
          <w:lang w:eastAsia="fr-FR"/>
        </w:rPr>
        <w:t xml:space="preserve">resser, </w:t>
      </w:r>
      <w:r w:rsidRPr="00E72FDF">
        <w:rPr>
          <w:rFonts w:ascii="Times New Roman" w:hAnsi="Times New Roman"/>
          <w:sz w:val="24"/>
          <w:szCs w:val="24"/>
        </w:rPr>
        <w:t>d’une part,</w:t>
      </w:r>
      <w:r w:rsidRPr="00E72FDF">
        <w:rPr>
          <w:rFonts w:ascii="Times New Roman" w:hAnsi="Times New Roman"/>
          <w:sz w:val="24"/>
          <w:szCs w:val="24"/>
          <w:lang w:eastAsia="fr-FR"/>
        </w:rPr>
        <w:t xml:space="preserve"> la liste des défis, lacunes ou obstacles à la divulgation de la propriété réelle, et d’autre part, </w:t>
      </w:r>
      <w:r w:rsidRPr="00E72FDF">
        <w:rPr>
          <w:rFonts w:ascii="Times New Roman" w:hAnsi="Times New Roman"/>
          <w:sz w:val="24"/>
          <w:szCs w:val="24"/>
        </w:rPr>
        <w:t xml:space="preserve">la </w:t>
      </w:r>
      <w:r w:rsidRPr="00E72FDF">
        <w:rPr>
          <w:rFonts w:ascii="Times New Roman" w:hAnsi="Times New Roman"/>
          <w:sz w:val="24"/>
          <w:szCs w:val="24"/>
          <w:lang w:eastAsia="fr-FR"/>
        </w:rPr>
        <w:t>liste des réformes ou actions prioritaires à entreprendre pour l’effectivité de la divulgation de la propriété</w:t>
      </w:r>
      <w:r w:rsidRPr="00E72FDF">
        <w:rPr>
          <w:rFonts w:ascii="Times New Roman" w:hAnsi="Times New Roman"/>
          <w:sz w:val="24"/>
          <w:szCs w:val="24"/>
        </w:rPr>
        <w:t xml:space="preserve"> avant janvier 2020</w:t>
      </w:r>
      <w:r w:rsidRPr="00E72FDF">
        <w:rPr>
          <w:rFonts w:ascii="Times New Roman" w:hAnsi="Times New Roman"/>
          <w:sz w:val="24"/>
          <w:szCs w:val="24"/>
          <w:lang w:eastAsia="fr-FR"/>
        </w:rPr>
        <w:t>.</w:t>
      </w:r>
    </w:p>
    <w:p w14:paraId="0AE7D2BE" w14:textId="77777777" w:rsidR="00691D72" w:rsidRPr="003A3785" w:rsidRDefault="00691D72" w:rsidP="009520BE">
      <w:pPr>
        <w:spacing w:line="276" w:lineRule="auto"/>
        <w:ind w:left="142"/>
        <w:jc w:val="both"/>
        <w:rPr>
          <w:rFonts w:ascii="Times New Roman" w:hAnsi="Times New Roman"/>
          <w:i/>
          <w:sz w:val="24"/>
          <w:szCs w:val="24"/>
          <w:lang w:eastAsia="fr-FR"/>
        </w:rPr>
      </w:pPr>
      <w:r w:rsidRPr="00E72FDF">
        <w:rPr>
          <w:rFonts w:ascii="Times New Roman" w:eastAsia="Times New Roman" w:hAnsi="Times New Roman"/>
          <w:color w:val="333333"/>
          <w:sz w:val="24"/>
          <w:szCs w:val="24"/>
          <w:lang w:eastAsia="fr-FR"/>
        </w:rPr>
        <w:t xml:space="preserve">Par ailleurs, une Commission a été constituée pour proposer une définition actualisée de la propriété réelle, incluant l’obligation de divulguer les PPE, le seuil de divulgation, le degré de détail de l’information, </w:t>
      </w:r>
      <w:r>
        <w:rPr>
          <w:rFonts w:ascii="Times New Roman" w:eastAsia="Times New Roman" w:hAnsi="Times New Roman"/>
          <w:color w:val="333333"/>
          <w:sz w:val="24"/>
          <w:szCs w:val="24"/>
          <w:lang w:eastAsia="fr-FR"/>
        </w:rPr>
        <w:t>sans s’y limiter</w:t>
      </w:r>
      <w:r w:rsidRPr="00E72FDF">
        <w:rPr>
          <w:rFonts w:ascii="Times New Roman" w:eastAsia="Times New Roman" w:hAnsi="Times New Roman"/>
          <w:color w:val="333333"/>
          <w:sz w:val="24"/>
          <w:szCs w:val="24"/>
          <w:lang w:eastAsia="fr-FR"/>
        </w:rPr>
        <w:t>. Cette Commission sera convoquée incessamment.</w:t>
      </w:r>
    </w:p>
    <w:p w14:paraId="7A8C87F4" w14:textId="77777777" w:rsidR="00691D72" w:rsidRPr="00E72FDF" w:rsidRDefault="00691D72" w:rsidP="009520BE">
      <w:pPr>
        <w:spacing w:after="0" w:line="276" w:lineRule="auto"/>
        <w:ind w:left="142"/>
        <w:jc w:val="both"/>
        <w:rPr>
          <w:rFonts w:ascii="Times New Roman" w:eastAsia="Times New Roman" w:hAnsi="Times New Roman"/>
          <w:i/>
          <w:color w:val="333333"/>
          <w:sz w:val="24"/>
          <w:szCs w:val="24"/>
          <w:lang w:eastAsia="fr-FR"/>
        </w:rPr>
      </w:pPr>
      <w:r>
        <w:rPr>
          <w:rFonts w:ascii="Times New Roman" w:eastAsia="Times New Roman" w:hAnsi="Times New Roman"/>
          <w:color w:val="333333"/>
          <w:sz w:val="24"/>
          <w:szCs w:val="24"/>
          <w:lang w:eastAsia="fr-FR"/>
        </w:rPr>
        <w:t xml:space="preserve">Nous pouvons </w:t>
      </w:r>
      <w:r w:rsidRPr="00E72FDF">
        <w:rPr>
          <w:rFonts w:ascii="Times New Roman" w:eastAsia="Times New Roman" w:hAnsi="Times New Roman"/>
          <w:color w:val="333333"/>
          <w:sz w:val="24"/>
          <w:szCs w:val="24"/>
          <w:lang w:eastAsia="fr-FR"/>
        </w:rPr>
        <w:t xml:space="preserve"> aussi noter </w:t>
      </w:r>
      <w:r>
        <w:rPr>
          <w:rFonts w:ascii="Times New Roman" w:eastAsia="Times New Roman" w:hAnsi="Times New Roman"/>
          <w:color w:val="333333"/>
          <w:sz w:val="24"/>
          <w:szCs w:val="24"/>
          <w:lang w:eastAsia="fr-FR"/>
        </w:rPr>
        <w:t xml:space="preserve">que les discussions autour </w:t>
      </w:r>
      <w:r w:rsidRPr="00E72FDF">
        <w:rPr>
          <w:rFonts w:ascii="Times New Roman" w:hAnsi="Times New Roman"/>
          <w:sz w:val="24"/>
          <w:szCs w:val="24"/>
        </w:rPr>
        <w:t xml:space="preserve">de l’ITIE en RDC </w:t>
      </w:r>
      <w:r>
        <w:rPr>
          <w:rFonts w:ascii="Times New Roman" w:hAnsi="Times New Roman"/>
          <w:sz w:val="24"/>
          <w:szCs w:val="24"/>
        </w:rPr>
        <w:t>ont</w:t>
      </w:r>
      <w:r w:rsidRPr="00E72FDF">
        <w:rPr>
          <w:rFonts w:ascii="Times New Roman" w:hAnsi="Times New Roman"/>
          <w:sz w:val="24"/>
          <w:szCs w:val="24"/>
        </w:rPr>
        <w:t xml:space="preserve"> </w:t>
      </w:r>
      <w:r>
        <w:rPr>
          <w:rFonts w:ascii="Times New Roman" w:hAnsi="Times New Roman"/>
          <w:sz w:val="24"/>
          <w:szCs w:val="24"/>
        </w:rPr>
        <w:t>contribué</w:t>
      </w:r>
      <w:r w:rsidRPr="00E72FDF">
        <w:rPr>
          <w:rFonts w:ascii="Times New Roman" w:hAnsi="Times New Roman"/>
          <w:sz w:val="24"/>
          <w:szCs w:val="24"/>
        </w:rPr>
        <w:t xml:space="preserve"> à l’introduction de la notion de propriété réelle dans le nouveau Code minier</w:t>
      </w:r>
      <w:r>
        <w:rPr>
          <w:rFonts w:ascii="Times New Roman" w:hAnsi="Times New Roman"/>
          <w:sz w:val="24"/>
          <w:szCs w:val="24"/>
        </w:rPr>
        <w:t xml:space="preserve"> (mettre la référence à l’art ici)</w:t>
      </w:r>
      <w:r w:rsidRPr="00E72FDF">
        <w:rPr>
          <w:rFonts w:ascii="Times New Roman" w:hAnsi="Times New Roman"/>
          <w:sz w:val="24"/>
          <w:szCs w:val="24"/>
        </w:rPr>
        <w:t>.</w:t>
      </w:r>
      <w:r w:rsidRPr="00E72FDF">
        <w:rPr>
          <w:rFonts w:ascii="Times New Roman" w:eastAsia="Times New Roman" w:hAnsi="Times New Roman"/>
          <w:color w:val="333333"/>
          <w:sz w:val="24"/>
          <w:szCs w:val="24"/>
          <w:lang w:eastAsia="fr-FR"/>
        </w:rPr>
        <w:t xml:space="preserve"> Cette notion pourra, en cas de nécessité, être renforcée et complétée par d’autres </w:t>
      </w:r>
      <w:r w:rsidRPr="00E72FDF">
        <w:rPr>
          <w:rFonts w:ascii="Times New Roman" w:hAnsi="Times New Roman"/>
          <w:iCs/>
          <w:color w:val="000000"/>
          <w:sz w:val="24"/>
          <w:szCs w:val="24"/>
        </w:rPr>
        <w:t>mesures légales ou réglementaires particulières en application des normes nationales, régionales et internationales en matière de transparence dans l'industrie minière (</w:t>
      </w:r>
      <w:proofErr w:type="spellStart"/>
      <w:r>
        <w:rPr>
          <w:rFonts w:ascii="Times New Roman" w:hAnsi="Times New Roman"/>
          <w:iCs/>
          <w:color w:val="000000"/>
          <w:sz w:val="24"/>
          <w:szCs w:val="24"/>
        </w:rPr>
        <w:t>Cf</w:t>
      </w:r>
      <w:proofErr w:type="spellEnd"/>
      <w:r w:rsidRPr="00E72FDF">
        <w:rPr>
          <w:rFonts w:ascii="Times New Roman" w:hAnsi="Times New Roman"/>
          <w:iCs/>
          <w:color w:val="000000"/>
          <w:sz w:val="24"/>
          <w:szCs w:val="24"/>
        </w:rPr>
        <w:t xml:space="preserve"> </w:t>
      </w:r>
      <w:r w:rsidRPr="00E72FDF">
        <w:rPr>
          <w:rFonts w:ascii="Times New Roman" w:hAnsi="Times New Roman"/>
          <w:bCs/>
          <w:i/>
          <w:iCs/>
          <w:color w:val="000000"/>
          <w:sz w:val="24"/>
          <w:szCs w:val="24"/>
        </w:rPr>
        <w:t>54bis : transparence</w:t>
      </w:r>
      <w:r w:rsidRPr="00E72FDF">
        <w:rPr>
          <w:rFonts w:ascii="Times New Roman" w:eastAsia="Times New Roman" w:hAnsi="Times New Roman"/>
          <w:color w:val="333333"/>
          <w:sz w:val="24"/>
          <w:szCs w:val="24"/>
          <w:lang w:eastAsia="fr-FR"/>
        </w:rPr>
        <w:t xml:space="preserve"> </w:t>
      </w:r>
      <w:r w:rsidRPr="00E72FDF">
        <w:rPr>
          <w:rFonts w:ascii="Times New Roman" w:eastAsia="Times New Roman" w:hAnsi="Times New Roman"/>
          <w:i/>
          <w:color w:val="333333"/>
          <w:sz w:val="24"/>
          <w:szCs w:val="24"/>
          <w:lang w:eastAsia="fr-FR"/>
        </w:rPr>
        <w:t>et l’article 7 ter du Code minier).</w:t>
      </w:r>
      <w:r>
        <w:rPr>
          <w:rFonts w:ascii="Times New Roman" w:eastAsia="Times New Roman" w:hAnsi="Times New Roman"/>
          <w:i/>
          <w:color w:val="333333"/>
          <w:sz w:val="24"/>
          <w:szCs w:val="24"/>
          <w:lang w:eastAsia="fr-FR"/>
        </w:rPr>
        <w:t xml:space="preserve"> </w:t>
      </w:r>
      <w:r w:rsidRPr="002E54C9">
        <w:rPr>
          <w:rFonts w:ascii="Times New Roman" w:eastAsia="Times New Roman" w:hAnsi="Times New Roman"/>
          <w:color w:val="333333"/>
          <w:sz w:val="24"/>
          <w:szCs w:val="24"/>
          <w:lang w:eastAsia="fr-FR"/>
        </w:rPr>
        <w:t>Nous attendons la promulgation du Règlement Minier pour enrichir les commentaires sur cette question.</w:t>
      </w:r>
    </w:p>
    <w:p w14:paraId="7C48A009" w14:textId="77777777" w:rsidR="00691D72" w:rsidRPr="00E72FDF" w:rsidRDefault="00691D72" w:rsidP="009520BE">
      <w:pPr>
        <w:spacing w:after="0" w:line="240" w:lineRule="auto"/>
        <w:ind w:left="142"/>
        <w:jc w:val="both"/>
        <w:rPr>
          <w:rFonts w:ascii="Times New Roman" w:eastAsia="Times New Roman" w:hAnsi="Times New Roman"/>
          <w:i/>
          <w:color w:val="333333"/>
          <w:sz w:val="24"/>
          <w:szCs w:val="24"/>
          <w:lang w:eastAsia="fr-FR"/>
        </w:rPr>
      </w:pPr>
    </w:p>
    <w:p w14:paraId="093077FA" w14:textId="77777777" w:rsidR="00691D72" w:rsidRPr="00E72FDF" w:rsidRDefault="00691D72" w:rsidP="009520BE">
      <w:pPr>
        <w:ind w:left="142"/>
        <w:jc w:val="both"/>
        <w:rPr>
          <w:rFonts w:ascii="Times New Roman" w:hAnsi="Times New Roman"/>
          <w:sz w:val="24"/>
          <w:szCs w:val="24"/>
        </w:rPr>
      </w:pPr>
      <w:r w:rsidRPr="00E72FDF">
        <w:rPr>
          <w:rFonts w:ascii="Times New Roman" w:hAnsi="Times New Roman"/>
          <w:sz w:val="24"/>
          <w:szCs w:val="24"/>
        </w:rPr>
        <w:t>Dans le cadre de la production du Rapport ITIE-RDC 2016, les entreprises ont reçu un formulaire pour déclarer la propriété réelle au même titre que toutes les autres informations contextuelles et les flux financiers.</w:t>
      </w:r>
    </w:p>
    <w:p w14:paraId="23776B4B" w14:textId="77777777" w:rsidR="00691D72" w:rsidRPr="00E72FDF" w:rsidRDefault="00691D72" w:rsidP="00691D72">
      <w:pPr>
        <w:ind w:left="142"/>
        <w:jc w:val="both"/>
        <w:rPr>
          <w:rFonts w:ascii="Times New Roman" w:hAnsi="Times New Roman"/>
          <w:sz w:val="24"/>
          <w:szCs w:val="24"/>
        </w:rPr>
      </w:pPr>
      <w:r w:rsidRPr="00E72FDF">
        <w:rPr>
          <w:rFonts w:ascii="Times New Roman" w:hAnsi="Times New Roman"/>
          <w:sz w:val="24"/>
          <w:szCs w:val="24"/>
        </w:rPr>
        <w:t>En attendant que les déclarations obtenues à ce jour</w:t>
      </w:r>
      <w:r>
        <w:rPr>
          <w:rFonts w:ascii="Times New Roman" w:hAnsi="Times New Roman"/>
          <w:sz w:val="24"/>
          <w:szCs w:val="24"/>
        </w:rPr>
        <w:t xml:space="preserve"> </w:t>
      </w:r>
      <w:r w:rsidRPr="00E72FDF">
        <w:rPr>
          <w:rFonts w:ascii="Times New Roman" w:hAnsi="Times New Roman"/>
          <w:sz w:val="24"/>
          <w:szCs w:val="24"/>
        </w:rPr>
        <w:t>soient complétées et même améliorées avant la</w:t>
      </w:r>
      <w:r>
        <w:rPr>
          <w:rFonts w:ascii="Times New Roman" w:hAnsi="Times New Roman"/>
          <w:sz w:val="24"/>
          <w:szCs w:val="24"/>
        </w:rPr>
        <w:t xml:space="preserve"> </w:t>
      </w:r>
      <w:r w:rsidRPr="00E72FDF">
        <w:rPr>
          <w:rFonts w:ascii="Times New Roman" w:hAnsi="Times New Roman"/>
          <w:sz w:val="24"/>
          <w:szCs w:val="24"/>
        </w:rPr>
        <w:t>publication du rapport entier ITIE-RDC 2016, nous présentons, à titre indicatif, le résultat provisoire de divulgation dans le tableau ci-dessous.</w:t>
      </w:r>
    </w:p>
    <w:tbl>
      <w:tblPr>
        <w:tblStyle w:val="TableauGrille1Clair1"/>
        <w:tblW w:w="9062" w:type="dxa"/>
        <w:tblInd w:w="137" w:type="dxa"/>
        <w:tblLook w:val="04A0" w:firstRow="1" w:lastRow="0" w:firstColumn="1" w:lastColumn="0" w:noHBand="0" w:noVBand="1"/>
      </w:tblPr>
      <w:tblGrid>
        <w:gridCol w:w="1515"/>
        <w:gridCol w:w="1976"/>
        <w:gridCol w:w="1466"/>
        <w:gridCol w:w="2235"/>
        <w:gridCol w:w="1870"/>
      </w:tblGrid>
      <w:tr w:rsidR="00691D72" w:rsidRPr="00E72FDF" w14:paraId="6422A64E" w14:textId="77777777" w:rsidTr="00D6058E">
        <w:trPr>
          <w:cnfStyle w:val="100000000000" w:firstRow="1" w:lastRow="0" w:firstColumn="0" w:lastColumn="0" w:oddVBand="0" w:evenVBand="0" w:oddHBand="0"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4957" w:type="dxa"/>
            <w:gridSpan w:val="3"/>
            <w:vAlign w:val="center"/>
          </w:tcPr>
          <w:p w14:paraId="375BDBF0" w14:textId="77777777" w:rsidR="00691D72" w:rsidRPr="00E72FDF" w:rsidRDefault="00691D72" w:rsidP="00D6058E">
            <w:pPr>
              <w:jc w:val="center"/>
              <w:rPr>
                <w:rFonts w:ascii="Times New Roman" w:hAnsi="Times New Roman"/>
                <w:b w:val="0"/>
                <w:sz w:val="24"/>
                <w:szCs w:val="24"/>
              </w:rPr>
            </w:pPr>
            <w:r w:rsidRPr="00E72FDF">
              <w:rPr>
                <w:rFonts w:ascii="Times New Roman" w:hAnsi="Times New Roman"/>
                <w:sz w:val="24"/>
                <w:szCs w:val="24"/>
              </w:rPr>
              <w:t>Entreprises non concernées par la divulgation</w:t>
            </w:r>
          </w:p>
        </w:tc>
        <w:tc>
          <w:tcPr>
            <w:tcW w:w="4105" w:type="dxa"/>
            <w:gridSpan w:val="2"/>
            <w:vAlign w:val="center"/>
          </w:tcPr>
          <w:p w14:paraId="5A1148CC" w14:textId="77777777" w:rsidR="00691D72" w:rsidRPr="00E72FDF" w:rsidRDefault="00691D72" w:rsidP="00D6058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E72FDF">
              <w:rPr>
                <w:rFonts w:ascii="Times New Roman" w:hAnsi="Times New Roman"/>
                <w:sz w:val="24"/>
                <w:szCs w:val="24"/>
              </w:rPr>
              <w:t>Entreprises astreintes à la divulgation</w:t>
            </w:r>
          </w:p>
        </w:tc>
      </w:tr>
      <w:tr w:rsidR="009520BE" w:rsidRPr="009520BE" w14:paraId="5783D0D1" w14:textId="77777777" w:rsidTr="00F000B0">
        <w:trPr>
          <w:trHeight w:val="546"/>
        </w:trPr>
        <w:tc>
          <w:tcPr>
            <w:cnfStyle w:val="001000000000" w:firstRow="0" w:lastRow="0" w:firstColumn="1" w:lastColumn="0" w:oddVBand="0" w:evenVBand="0" w:oddHBand="0" w:evenHBand="0" w:firstRowFirstColumn="0" w:firstRowLastColumn="0" w:lastRowFirstColumn="0" w:lastRowLastColumn="0"/>
            <w:tcW w:w="1515" w:type="dxa"/>
          </w:tcPr>
          <w:p w14:paraId="2052E344" w14:textId="77777777" w:rsidR="00691D72" w:rsidRPr="009520BE" w:rsidRDefault="00691D72" w:rsidP="00F000B0">
            <w:pPr>
              <w:ind w:left="33"/>
              <w:rPr>
                <w:rFonts w:ascii="Times New Roman" w:hAnsi="Times New Roman"/>
                <w:b w:val="0"/>
                <w:color w:val="404040" w:themeColor="text1" w:themeTint="BF"/>
                <w:sz w:val="24"/>
                <w:szCs w:val="24"/>
              </w:rPr>
            </w:pPr>
            <w:r w:rsidRPr="009520BE">
              <w:rPr>
                <w:rFonts w:ascii="Times New Roman" w:hAnsi="Times New Roman"/>
                <w:color w:val="404040" w:themeColor="text1" w:themeTint="BF"/>
                <w:sz w:val="24"/>
                <w:szCs w:val="24"/>
              </w:rPr>
              <w:t>EPE</w:t>
            </w:r>
          </w:p>
        </w:tc>
        <w:tc>
          <w:tcPr>
            <w:tcW w:w="1976" w:type="dxa"/>
          </w:tcPr>
          <w:p w14:paraId="26E574E2" w14:textId="77777777" w:rsidR="00691D72" w:rsidRPr="009520BE" w:rsidRDefault="00691D72" w:rsidP="00F000B0">
            <w:pPr>
              <w:ind w:left="32"/>
              <w:cnfStyle w:val="000000000000" w:firstRow="0" w:lastRow="0" w:firstColumn="0" w:lastColumn="0" w:oddVBand="0" w:evenVBand="0" w:oddHBand="0" w:evenHBand="0" w:firstRowFirstColumn="0" w:firstRowLastColumn="0" w:lastRowFirstColumn="0" w:lastRowLastColumn="0"/>
              <w:rPr>
                <w:rFonts w:ascii="Times New Roman" w:hAnsi="Times New Roman"/>
                <w:b/>
                <w:color w:val="404040" w:themeColor="text1" w:themeTint="BF"/>
                <w:sz w:val="24"/>
                <w:szCs w:val="24"/>
              </w:rPr>
            </w:pPr>
            <w:r w:rsidRPr="009520BE">
              <w:rPr>
                <w:rFonts w:ascii="Times New Roman" w:hAnsi="Times New Roman"/>
                <w:b/>
                <w:color w:val="404040" w:themeColor="text1" w:themeTint="BF"/>
                <w:sz w:val="24"/>
                <w:szCs w:val="24"/>
              </w:rPr>
              <w:t>Détenues par les EPE</w:t>
            </w:r>
          </w:p>
        </w:tc>
        <w:tc>
          <w:tcPr>
            <w:tcW w:w="1466" w:type="dxa"/>
          </w:tcPr>
          <w:p w14:paraId="4BC1B906" w14:textId="77777777" w:rsidR="00691D72" w:rsidRPr="009520BE" w:rsidRDefault="00691D72" w:rsidP="00F000B0">
            <w:pPr>
              <w:ind w:left="157"/>
              <w:cnfStyle w:val="000000000000" w:firstRow="0" w:lastRow="0" w:firstColumn="0" w:lastColumn="0" w:oddVBand="0" w:evenVBand="0" w:oddHBand="0" w:evenHBand="0" w:firstRowFirstColumn="0" w:firstRowLastColumn="0" w:lastRowFirstColumn="0" w:lastRowLastColumn="0"/>
              <w:rPr>
                <w:rFonts w:ascii="Times New Roman" w:hAnsi="Times New Roman"/>
                <w:b/>
                <w:color w:val="404040" w:themeColor="text1" w:themeTint="BF"/>
                <w:sz w:val="24"/>
                <w:szCs w:val="24"/>
              </w:rPr>
            </w:pPr>
            <w:r w:rsidRPr="009520BE">
              <w:rPr>
                <w:rFonts w:ascii="Times New Roman" w:hAnsi="Times New Roman"/>
                <w:b/>
                <w:color w:val="404040" w:themeColor="text1" w:themeTint="BF"/>
                <w:sz w:val="24"/>
                <w:szCs w:val="24"/>
              </w:rPr>
              <w:t>Fermées</w:t>
            </w:r>
          </w:p>
        </w:tc>
        <w:tc>
          <w:tcPr>
            <w:tcW w:w="2235" w:type="dxa"/>
          </w:tcPr>
          <w:p w14:paraId="61E3FA7D" w14:textId="77777777" w:rsidR="00691D72" w:rsidRPr="009520BE" w:rsidRDefault="00691D72" w:rsidP="00F000B0">
            <w:pPr>
              <w:ind w:left="66"/>
              <w:cnfStyle w:val="000000000000" w:firstRow="0" w:lastRow="0" w:firstColumn="0" w:lastColumn="0" w:oddVBand="0" w:evenVBand="0" w:oddHBand="0" w:evenHBand="0" w:firstRowFirstColumn="0" w:firstRowLastColumn="0" w:lastRowFirstColumn="0" w:lastRowLastColumn="0"/>
              <w:rPr>
                <w:rFonts w:ascii="Times New Roman" w:hAnsi="Times New Roman"/>
                <w:b/>
                <w:color w:val="404040" w:themeColor="text1" w:themeTint="BF"/>
                <w:sz w:val="24"/>
                <w:szCs w:val="24"/>
              </w:rPr>
            </w:pPr>
            <w:r w:rsidRPr="009520BE">
              <w:rPr>
                <w:rFonts w:ascii="Times New Roman" w:hAnsi="Times New Roman"/>
                <w:b/>
                <w:color w:val="404040" w:themeColor="text1" w:themeTint="BF"/>
                <w:sz w:val="24"/>
                <w:szCs w:val="24"/>
              </w:rPr>
              <w:t>Ayant déclaré</w:t>
            </w:r>
          </w:p>
        </w:tc>
        <w:tc>
          <w:tcPr>
            <w:tcW w:w="1870" w:type="dxa"/>
          </w:tcPr>
          <w:p w14:paraId="020D690D" w14:textId="77777777" w:rsidR="00691D72" w:rsidRPr="009520BE" w:rsidRDefault="00691D72" w:rsidP="00F000B0">
            <w:pPr>
              <w:ind w:left="95"/>
              <w:cnfStyle w:val="000000000000" w:firstRow="0" w:lastRow="0" w:firstColumn="0" w:lastColumn="0" w:oddVBand="0" w:evenVBand="0" w:oddHBand="0" w:evenHBand="0" w:firstRowFirstColumn="0" w:firstRowLastColumn="0" w:lastRowFirstColumn="0" w:lastRowLastColumn="0"/>
              <w:rPr>
                <w:rFonts w:ascii="Times New Roman" w:hAnsi="Times New Roman"/>
                <w:b/>
                <w:color w:val="404040" w:themeColor="text1" w:themeTint="BF"/>
                <w:sz w:val="24"/>
                <w:szCs w:val="24"/>
              </w:rPr>
            </w:pPr>
            <w:r w:rsidRPr="009520BE">
              <w:rPr>
                <w:rFonts w:ascii="Times New Roman" w:hAnsi="Times New Roman"/>
                <w:b/>
                <w:color w:val="404040" w:themeColor="text1" w:themeTint="BF"/>
                <w:sz w:val="24"/>
                <w:szCs w:val="24"/>
              </w:rPr>
              <w:t>N’ayant pas déclaré</w:t>
            </w:r>
          </w:p>
        </w:tc>
      </w:tr>
      <w:tr w:rsidR="00691D72" w:rsidRPr="00D6058E" w14:paraId="078D324C" w14:textId="77777777" w:rsidTr="00F000B0">
        <w:trPr>
          <w:trHeight w:val="426"/>
        </w:trPr>
        <w:tc>
          <w:tcPr>
            <w:cnfStyle w:val="001000000000" w:firstRow="0" w:lastRow="0" w:firstColumn="1" w:lastColumn="0" w:oddVBand="0" w:evenVBand="0" w:oddHBand="0" w:evenHBand="0" w:firstRowFirstColumn="0" w:firstRowLastColumn="0" w:lastRowFirstColumn="0" w:lastRowLastColumn="0"/>
            <w:tcW w:w="1515" w:type="dxa"/>
          </w:tcPr>
          <w:p w14:paraId="76EECB80" w14:textId="77777777" w:rsidR="00691D72" w:rsidRPr="00D6058E" w:rsidRDefault="00691D72" w:rsidP="00F000B0">
            <w:pPr>
              <w:ind w:left="851"/>
              <w:jc w:val="center"/>
              <w:rPr>
                <w:rFonts w:ascii="Times New Roman" w:hAnsi="Times New Roman"/>
                <w:b w:val="0"/>
                <w:sz w:val="24"/>
                <w:szCs w:val="24"/>
              </w:rPr>
            </w:pPr>
            <w:r w:rsidRPr="00D6058E">
              <w:rPr>
                <w:rFonts w:ascii="Times New Roman" w:hAnsi="Times New Roman"/>
                <w:b w:val="0"/>
                <w:sz w:val="24"/>
                <w:szCs w:val="24"/>
              </w:rPr>
              <w:t>8</w:t>
            </w:r>
          </w:p>
        </w:tc>
        <w:tc>
          <w:tcPr>
            <w:tcW w:w="1976" w:type="dxa"/>
          </w:tcPr>
          <w:p w14:paraId="4201DBB8" w14:textId="77777777" w:rsidR="00691D72" w:rsidRPr="00D6058E" w:rsidRDefault="00691D72" w:rsidP="00F000B0">
            <w:pPr>
              <w:ind w:left="8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6058E">
              <w:rPr>
                <w:rFonts w:ascii="Times New Roman" w:hAnsi="Times New Roman"/>
                <w:sz w:val="24"/>
                <w:szCs w:val="24"/>
              </w:rPr>
              <w:t>3</w:t>
            </w:r>
          </w:p>
        </w:tc>
        <w:tc>
          <w:tcPr>
            <w:tcW w:w="1466" w:type="dxa"/>
          </w:tcPr>
          <w:p w14:paraId="5C57032D" w14:textId="77777777" w:rsidR="00691D72" w:rsidRPr="00D6058E" w:rsidRDefault="00691D72" w:rsidP="00F000B0">
            <w:pPr>
              <w:ind w:left="8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6058E">
              <w:rPr>
                <w:rFonts w:ascii="Times New Roman" w:hAnsi="Times New Roman"/>
                <w:sz w:val="24"/>
                <w:szCs w:val="24"/>
              </w:rPr>
              <w:t>10</w:t>
            </w:r>
          </w:p>
        </w:tc>
        <w:tc>
          <w:tcPr>
            <w:tcW w:w="2235" w:type="dxa"/>
          </w:tcPr>
          <w:p w14:paraId="1121AD51" w14:textId="77777777" w:rsidR="00691D72" w:rsidRPr="00D6058E" w:rsidRDefault="00691D72" w:rsidP="00F000B0">
            <w:pPr>
              <w:ind w:left="8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6058E">
              <w:rPr>
                <w:rFonts w:ascii="Times New Roman" w:hAnsi="Times New Roman"/>
                <w:sz w:val="24"/>
                <w:szCs w:val="24"/>
              </w:rPr>
              <w:t>69</w:t>
            </w:r>
          </w:p>
        </w:tc>
        <w:tc>
          <w:tcPr>
            <w:tcW w:w="1870" w:type="dxa"/>
          </w:tcPr>
          <w:p w14:paraId="5402B957" w14:textId="77777777" w:rsidR="00691D72" w:rsidRPr="00D6058E" w:rsidRDefault="00691D72" w:rsidP="00F000B0">
            <w:pPr>
              <w:ind w:left="8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6058E">
              <w:rPr>
                <w:rFonts w:ascii="Times New Roman" w:hAnsi="Times New Roman"/>
                <w:sz w:val="24"/>
                <w:szCs w:val="24"/>
              </w:rPr>
              <w:t>36</w:t>
            </w:r>
          </w:p>
        </w:tc>
      </w:tr>
      <w:tr w:rsidR="00691D72" w:rsidRPr="00D6058E" w14:paraId="26D5DBC8" w14:textId="77777777" w:rsidTr="00F000B0">
        <w:trPr>
          <w:trHeight w:val="418"/>
        </w:trPr>
        <w:tc>
          <w:tcPr>
            <w:cnfStyle w:val="001000000000" w:firstRow="0" w:lastRow="0" w:firstColumn="1" w:lastColumn="0" w:oddVBand="0" w:evenVBand="0" w:oddHBand="0" w:evenHBand="0" w:firstRowFirstColumn="0" w:firstRowLastColumn="0" w:lastRowFirstColumn="0" w:lastRowLastColumn="0"/>
            <w:tcW w:w="4957" w:type="dxa"/>
            <w:gridSpan w:val="3"/>
          </w:tcPr>
          <w:p w14:paraId="4ECF5278" w14:textId="77777777" w:rsidR="00691D72" w:rsidRPr="00D6058E" w:rsidRDefault="00691D72" w:rsidP="00F000B0">
            <w:pPr>
              <w:ind w:left="851"/>
              <w:jc w:val="center"/>
              <w:rPr>
                <w:rFonts w:ascii="Times New Roman" w:hAnsi="Times New Roman"/>
                <w:b w:val="0"/>
                <w:sz w:val="24"/>
                <w:szCs w:val="24"/>
              </w:rPr>
            </w:pPr>
            <w:r w:rsidRPr="00D6058E">
              <w:rPr>
                <w:rFonts w:ascii="Times New Roman" w:hAnsi="Times New Roman"/>
                <w:b w:val="0"/>
                <w:sz w:val="24"/>
                <w:szCs w:val="24"/>
              </w:rPr>
              <w:t>21</w:t>
            </w:r>
          </w:p>
        </w:tc>
        <w:tc>
          <w:tcPr>
            <w:tcW w:w="4105" w:type="dxa"/>
            <w:gridSpan w:val="2"/>
          </w:tcPr>
          <w:p w14:paraId="029B9CAA" w14:textId="77777777" w:rsidR="00691D72" w:rsidRPr="00D6058E" w:rsidRDefault="00691D72" w:rsidP="00F000B0">
            <w:pPr>
              <w:ind w:left="8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6058E">
              <w:rPr>
                <w:rFonts w:ascii="Times New Roman" w:hAnsi="Times New Roman"/>
                <w:sz w:val="24"/>
                <w:szCs w:val="24"/>
              </w:rPr>
              <w:t>105</w:t>
            </w:r>
          </w:p>
        </w:tc>
      </w:tr>
      <w:tr w:rsidR="00691D72" w:rsidRPr="00D6058E" w14:paraId="1A3B9045" w14:textId="77777777" w:rsidTr="00F000B0">
        <w:trPr>
          <w:trHeight w:val="539"/>
        </w:trPr>
        <w:tc>
          <w:tcPr>
            <w:cnfStyle w:val="001000000000" w:firstRow="0" w:lastRow="0" w:firstColumn="1" w:lastColumn="0" w:oddVBand="0" w:evenVBand="0" w:oddHBand="0" w:evenHBand="0" w:firstRowFirstColumn="0" w:firstRowLastColumn="0" w:lastRowFirstColumn="0" w:lastRowLastColumn="0"/>
            <w:tcW w:w="9062" w:type="dxa"/>
            <w:gridSpan w:val="5"/>
          </w:tcPr>
          <w:p w14:paraId="755D6012" w14:textId="77777777" w:rsidR="00691D72" w:rsidRPr="00D6058E" w:rsidRDefault="00691D72" w:rsidP="00F000B0">
            <w:pPr>
              <w:ind w:left="851"/>
              <w:jc w:val="center"/>
              <w:rPr>
                <w:rFonts w:ascii="Times New Roman" w:hAnsi="Times New Roman"/>
                <w:b w:val="0"/>
                <w:sz w:val="24"/>
                <w:szCs w:val="24"/>
              </w:rPr>
            </w:pPr>
            <w:r w:rsidRPr="00D6058E">
              <w:rPr>
                <w:rFonts w:ascii="Times New Roman" w:hAnsi="Times New Roman"/>
                <w:b w:val="0"/>
                <w:sz w:val="24"/>
                <w:szCs w:val="24"/>
              </w:rPr>
              <w:t>Périmètre ITIE-RDC 2016 (mines &amp; pétrole) : 126 entreprises</w:t>
            </w:r>
          </w:p>
        </w:tc>
      </w:tr>
    </w:tbl>
    <w:p w14:paraId="7A1A791C" w14:textId="77777777" w:rsidR="00691D72" w:rsidRPr="00E72FDF" w:rsidRDefault="00691D72" w:rsidP="00691D72">
      <w:pPr>
        <w:ind w:left="851"/>
        <w:jc w:val="both"/>
        <w:rPr>
          <w:rFonts w:ascii="Times New Roman" w:hAnsi="Times New Roman"/>
          <w:sz w:val="24"/>
          <w:szCs w:val="24"/>
        </w:rPr>
      </w:pPr>
    </w:p>
    <w:p w14:paraId="64A52367" w14:textId="77777777" w:rsidR="00691D72" w:rsidRPr="00231496" w:rsidRDefault="00691D72" w:rsidP="00691D72">
      <w:pPr>
        <w:jc w:val="both"/>
        <w:rPr>
          <w:rFonts w:ascii="Times New Roman" w:hAnsi="Times New Roman"/>
          <w:b/>
          <w:sz w:val="24"/>
          <w:szCs w:val="24"/>
        </w:rPr>
      </w:pPr>
      <w:r w:rsidRPr="00231496">
        <w:rPr>
          <w:rFonts w:ascii="Times New Roman" w:hAnsi="Times New Roman"/>
          <w:b/>
          <w:sz w:val="24"/>
          <w:szCs w:val="24"/>
        </w:rPr>
        <w:lastRenderedPageBreak/>
        <w:t xml:space="preserve">Renseignements à tirer </w:t>
      </w:r>
      <w:r>
        <w:rPr>
          <w:rFonts w:ascii="Times New Roman" w:hAnsi="Times New Roman"/>
          <w:b/>
          <w:sz w:val="24"/>
          <w:szCs w:val="24"/>
        </w:rPr>
        <w:t>de la divulgation de la propriété réelle</w:t>
      </w:r>
      <w:r w:rsidRPr="00231496">
        <w:rPr>
          <w:rFonts w:ascii="Times New Roman" w:hAnsi="Times New Roman"/>
          <w:b/>
          <w:sz w:val="24"/>
          <w:szCs w:val="24"/>
        </w:rPr>
        <w:t> :</w:t>
      </w:r>
    </w:p>
    <w:p w14:paraId="2E4C068D" w14:textId="77777777" w:rsidR="00691D72" w:rsidRDefault="00691D72" w:rsidP="00691D72">
      <w:pPr>
        <w:jc w:val="both"/>
        <w:rPr>
          <w:rFonts w:ascii="Times New Roman" w:hAnsi="Times New Roman"/>
          <w:sz w:val="24"/>
          <w:szCs w:val="24"/>
        </w:rPr>
      </w:pPr>
      <w:r>
        <w:rPr>
          <w:rFonts w:ascii="Times New Roman" w:hAnsi="Times New Roman"/>
          <w:sz w:val="24"/>
          <w:szCs w:val="24"/>
        </w:rPr>
        <w:t>-</w:t>
      </w:r>
      <w:r w:rsidRPr="00E72FDF">
        <w:rPr>
          <w:rFonts w:ascii="Times New Roman" w:hAnsi="Times New Roman"/>
          <w:sz w:val="24"/>
          <w:szCs w:val="24"/>
        </w:rPr>
        <w:t xml:space="preserve">65% des entreprises astreintes à la divulgation, ont fait une déclaration sur la propriété réelle. De ces 65%, 41% se sont déclarées </w:t>
      </w:r>
      <w:r w:rsidRPr="00E72FDF">
        <w:rPr>
          <w:rFonts w:ascii="Times New Roman" w:hAnsi="Times New Roman"/>
          <w:b/>
          <w:i/>
          <w:sz w:val="24"/>
          <w:szCs w:val="24"/>
        </w:rPr>
        <w:t>« cotées en bourses »</w:t>
      </w:r>
      <w:r w:rsidRPr="00E72FDF">
        <w:rPr>
          <w:rFonts w:ascii="Times New Roman" w:hAnsi="Times New Roman"/>
          <w:sz w:val="24"/>
          <w:szCs w:val="24"/>
        </w:rPr>
        <w:t>, sans toutefois indiquer des liens vers la documentation qu’elles ont déposée auprès de ces bourses.</w:t>
      </w:r>
      <w:r>
        <w:rPr>
          <w:rFonts w:ascii="Times New Roman" w:hAnsi="Times New Roman"/>
          <w:sz w:val="24"/>
          <w:szCs w:val="24"/>
        </w:rPr>
        <w:t xml:space="preserve"> </w:t>
      </w:r>
    </w:p>
    <w:p w14:paraId="35A42AC9" w14:textId="77777777" w:rsidR="00691D72" w:rsidRDefault="00691D72" w:rsidP="00691D72">
      <w:pPr>
        <w:jc w:val="both"/>
        <w:rPr>
          <w:rFonts w:ascii="Times New Roman" w:hAnsi="Times New Roman"/>
          <w:sz w:val="24"/>
          <w:szCs w:val="24"/>
        </w:rPr>
      </w:pPr>
      <w:r>
        <w:rPr>
          <w:rFonts w:ascii="Times New Roman" w:hAnsi="Times New Roman"/>
          <w:sz w:val="24"/>
          <w:szCs w:val="24"/>
        </w:rPr>
        <w:t>-B</w:t>
      </w:r>
      <w:r w:rsidRPr="00E72FDF">
        <w:rPr>
          <w:rFonts w:ascii="Times New Roman" w:hAnsi="Times New Roman"/>
          <w:sz w:val="24"/>
          <w:szCs w:val="24"/>
        </w:rPr>
        <w:t xml:space="preserve">eaucoup d’entreprises ont encore du mal à faire la part des choses entre </w:t>
      </w:r>
      <w:r w:rsidRPr="00E72FDF">
        <w:rPr>
          <w:rFonts w:ascii="Times New Roman" w:hAnsi="Times New Roman"/>
          <w:b/>
          <w:i/>
          <w:sz w:val="24"/>
          <w:szCs w:val="24"/>
        </w:rPr>
        <w:t>« propriétaire légal »</w:t>
      </w:r>
      <w:r w:rsidRPr="00E72FDF">
        <w:rPr>
          <w:rFonts w:ascii="Times New Roman" w:hAnsi="Times New Roman"/>
          <w:sz w:val="24"/>
          <w:szCs w:val="24"/>
        </w:rPr>
        <w:t xml:space="preserve"> et </w:t>
      </w:r>
      <w:r w:rsidRPr="00E72FDF">
        <w:rPr>
          <w:rFonts w:ascii="Times New Roman" w:hAnsi="Times New Roman"/>
          <w:b/>
          <w:i/>
          <w:sz w:val="24"/>
          <w:szCs w:val="24"/>
        </w:rPr>
        <w:t>« propriétaire réel »</w:t>
      </w:r>
      <w:r>
        <w:rPr>
          <w:rFonts w:ascii="Times New Roman" w:hAnsi="Times New Roman"/>
          <w:b/>
          <w:i/>
          <w:sz w:val="24"/>
          <w:szCs w:val="24"/>
        </w:rPr>
        <w:t xml:space="preserve"> : </w:t>
      </w:r>
      <w:r w:rsidRPr="00E72FDF">
        <w:rPr>
          <w:rFonts w:ascii="Times New Roman" w:hAnsi="Times New Roman"/>
          <w:sz w:val="24"/>
          <w:szCs w:val="24"/>
        </w:rPr>
        <w:t>un propriétaire réel</w:t>
      </w:r>
      <w:r>
        <w:rPr>
          <w:rFonts w:ascii="Times New Roman" w:hAnsi="Times New Roman"/>
          <w:sz w:val="24"/>
          <w:szCs w:val="24"/>
        </w:rPr>
        <w:t xml:space="preserve"> est </w:t>
      </w:r>
      <w:r w:rsidRPr="00E72FDF">
        <w:rPr>
          <w:rFonts w:ascii="Times New Roman" w:hAnsi="Times New Roman"/>
          <w:sz w:val="24"/>
          <w:szCs w:val="24"/>
        </w:rPr>
        <w:t>toujours une personne physique</w:t>
      </w:r>
      <w:r>
        <w:rPr>
          <w:rFonts w:ascii="Times New Roman" w:hAnsi="Times New Roman"/>
          <w:sz w:val="24"/>
          <w:szCs w:val="24"/>
        </w:rPr>
        <w:t xml:space="preserve"> et</w:t>
      </w:r>
      <w:r w:rsidRPr="00E72FDF">
        <w:rPr>
          <w:rFonts w:ascii="Times New Roman" w:hAnsi="Times New Roman"/>
          <w:sz w:val="24"/>
          <w:szCs w:val="24"/>
        </w:rPr>
        <w:t xml:space="preserve"> ne peut pas être une personne morale</w:t>
      </w:r>
      <w:r>
        <w:rPr>
          <w:rFonts w:ascii="Times New Roman" w:hAnsi="Times New Roman"/>
          <w:sz w:val="24"/>
          <w:szCs w:val="24"/>
        </w:rPr>
        <w:t>.</w:t>
      </w:r>
    </w:p>
    <w:p w14:paraId="760A3982" w14:textId="77777777" w:rsidR="00691D72" w:rsidRDefault="00691D72" w:rsidP="00691D72">
      <w:pPr>
        <w:jc w:val="both"/>
        <w:rPr>
          <w:rFonts w:ascii="Times New Roman" w:hAnsi="Times New Roman"/>
          <w:sz w:val="24"/>
          <w:szCs w:val="24"/>
        </w:rPr>
      </w:pPr>
      <w:r>
        <w:rPr>
          <w:rFonts w:ascii="Times New Roman" w:hAnsi="Times New Roman"/>
          <w:sz w:val="24"/>
          <w:szCs w:val="24"/>
        </w:rPr>
        <w:t xml:space="preserve">Un propriétaire légal est un actionnaire, </w:t>
      </w:r>
      <w:r w:rsidRPr="00E72FDF">
        <w:rPr>
          <w:rFonts w:ascii="Times New Roman" w:hAnsi="Times New Roman"/>
          <w:sz w:val="24"/>
          <w:szCs w:val="24"/>
        </w:rPr>
        <w:t>personne physique</w:t>
      </w:r>
      <w:r>
        <w:rPr>
          <w:rFonts w:ascii="Times New Roman" w:hAnsi="Times New Roman"/>
          <w:sz w:val="24"/>
          <w:szCs w:val="24"/>
        </w:rPr>
        <w:t xml:space="preserve"> ou </w:t>
      </w:r>
      <w:r w:rsidRPr="00E72FDF">
        <w:rPr>
          <w:rFonts w:ascii="Times New Roman" w:hAnsi="Times New Roman"/>
          <w:sz w:val="24"/>
          <w:szCs w:val="24"/>
        </w:rPr>
        <w:t>morale</w:t>
      </w:r>
      <w:r>
        <w:rPr>
          <w:rFonts w:ascii="Times New Roman" w:hAnsi="Times New Roman"/>
          <w:sz w:val="24"/>
          <w:szCs w:val="24"/>
        </w:rPr>
        <w:t>, dont le nom ou la raison sociale est inscrit(e) dans les Statuts et dans le contrat.</w:t>
      </w:r>
    </w:p>
    <w:p w14:paraId="014D1DED" w14:textId="77777777" w:rsidR="00691D72" w:rsidRPr="003A7F32" w:rsidRDefault="00691D72" w:rsidP="00691D72">
      <w:pPr>
        <w:autoSpaceDE w:val="0"/>
        <w:autoSpaceDN w:val="0"/>
        <w:adjustRightInd w:val="0"/>
        <w:spacing w:after="0"/>
        <w:jc w:val="both"/>
        <w:rPr>
          <w:rFonts w:ascii="Times New Roman" w:hAnsi="Times New Roman"/>
          <w:sz w:val="24"/>
          <w:szCs w:val="24"/>
        </w:rPr>
      </w:pPr>
      <w:r>
        <w:rPr>
          <w:rFonts w:ascii="Times New Roman" w:eastAsia="Yu Gothic UI" w:hAnsi="Times New Roman"/>
          <w:bCs/>
          <w:color w:val="000000"/>
          <w:sz w:val="24"/>
          <w:szCs w:val="24"/>
        </w:rPr>
        <w:t>U</w:t>
      </w:r>
      <w:r w:rsidRPr="003A7F32">
        <w:rPr>
          <w:rFonts w:ascii="Times New Roman" w:eastAsia="Yu Gothic UI" w:hAnsi="Times New Roman"/>
          <w:bCs/>
          <w:color w:val="000000"/>
          <w:sz w:val="24"/>
          <w:szCs w:val="24"/>
        </w:rPr>
        <w:t xml:space="preserve">n (Les) propriétaire(s) réel(s) d’une entreprise est (sont) la (ou les) </w:t>
      </w:r>
      <w:r>
        <w:rPr>
          <w:rFonts w:ascii="Times New Roman" w:eastAsia="Yu Gothic UI" w:hAnsi="Times New Roman"/>
          <w:bCs/>
          <w:color w:val="000000"/>
          <w:sz w:val="24"/>
          <w:szCs w:val="24"/>
        </w:rPr>
        <w:t xml:space="preserve">personne(s) physique(s) </w:t>
      </w:r>
      <w:r w:rsidRPr="003A7F32">
        <w:rPr>
          <w:rFonts w:ascii="Times New Roman" w:eastAsia="Yu Gothic UI" w:hAnsi="Times New Roman"/>
          <w:bCs/>
          <w:color w:val="000000"/>
          <w:sz w:val="24"/>
          <w:szCs w:val="24"/>
        </w:rPr>
        <w:t>qui, directement ou indirectement, possède(nt) ou</w:t>
      </w:r>
      <w:r>
        <w:rPr>
          <w:rFonts w:ascii="Times New Roman" w:hAnsi="Times New Roman"/>
          <w:bCs/>
          <w:sz w:val="24"/>
          <w:szCs w:val="24"/>
        </w:rPr>
        <w:t xml:space="preserve"> </w:t>
      </w:r>
      <w:r w:rsidRPr="003A7F32">
        <w:rPr>
          <w:rFonts w:ascii="Times New Roman" w:eastAsia="Yu Gothic UI" w:hAnsi="Times New Roman"/>
          <w:bCs/>
          <w:color w:val="000000"/>
          <w:sz w:val="24"/>
          <w:szCs w:val="24"/>
        </w:rPr>
        <w:t>exerce(nt)</w:t>
      </w:r>
      <w:r>
        <w:rPr>
          <w:rFonts w:ascii="Times New Roman" w:eastAsia="Yu Gothic UI" w:hAnsi="Times New Roman"/>
          <w:bCs/>
          <w:color w:val="000000"/>
          <w:sz w:val="24"/>
          <w:szCs w:val="24"/>
        </w:rPr>
        <w:t xml:space="preserve"> en dernier ressort le droit de </w:t>
      </w:r>
      <w:r w:rsidRPr="003A7F32">
        <w:rPr>
          <w:rFonts w:ascii="Times New Roman" w:eastAsia="Yu Gothic UI" w:hAnsi="Times New Roman"/>
          <w:bCs/>
          <w:color w:val="000000"/>
          <w:sz w:val="24"/>
          <w:szCs w:val="24"/>
        </w:rPr>
        <w:t>propriété ou le contrôle de l’entité</w:t>
      </w:r>
      <w:r>
        <w:rPr>
          <w:rFonts w:ascii="Times New Roman" w:hAnsi="Times New Roman"/>
          <w:bCs/>
          <w:sz w:val="24"/>
          <w:szCs w:val="24"/>
        </w:rPr>
        <w:t xml:space="preserve"> </w:t>
      </w:r>
      <w:r w:rsidRPr="003A7F32">
        <w:rPr>
          <w:rFonts w:ascii="Times New Roman" w:eastAsia="Yu Gothic UI" w:hAnsi="Times New Roman"/>
          <w:bCs/>
          <w:color w:val="000000"/>
          <w:sz w:val="24"/>
          <w:szCs w:val="24"/>
        </w:rPr>
        <w:t>juridique</w:t>
      </w:r>
      <w:r>
        <w:rPr>
          <w:rFonts w:ascii="Times New Roman" w:eastAsia="Yu Gothic UI" w:hAnsi="Times New Roman"/>
          <w:bCs/>
          <w:color w:val="000000"/>
          <w:sz w:val="24"/>
          <w:szCs w:val="24"/>
        </w:rPr>
        <w:t xml:space="preserve"> (Norme ITIE)</w:t>
      </w:r>
      <w:r w:rsidRPr="003A7F32">
        <w:rPr>
          <w:rFonts w:ascii="Times New Roman" w:eastAsia="Yu Gothic UI" w:hAnsi="Times New Roman"/>
          <w:bCs/>
          <w:color w:val="000000"/>
          <w:sz w:val="24"/>
          <w:szCs w:val="24"/>
        </w:rPr>
        <w:t>.</w:t>
      </w:r>
    </w:p>
    <w:p w14:paraId="0681BD95" w14:textId="77777777" w:rsidR="00691D72" w:rsidRPr="00E72FDF" w:rsidRDefault="00691D72" w:rsidP="00691D72">
      <w:pPr>
        <w:jc w:val="both"/>
        <w:rPr>
          <w:rFonts w:ascii="Times New Roman" w:hAnsi="Times New Roman"/>
          <w:sz w:val="24"/>
          <w:szCs w:val="24"/>
        </w:rPr>
      </w:pPr>
    </w:p>
    <w:p w14:paraId="3A529E40" w14:textId="77777777" w:rsidR="00691D72" w:rsidRPr="00C626DE" w:rsidRDefault="00691D72" w:rsidP="00691D72">
      <w:pPr>
        <w:jc w:val="both"/>
        <w:rPr>
          <w:rFonts w:ascii="Times New Roman" w:hAnsi="Times New Roman"/>
          <w:sz w:val="24"/>
          <w:szCs w:val="24"/>
        </w:rPr>
      </w:pPr>
      <w:r>
        <w:rPr>
          <w:rFonts w:ascii="Times New Roman" w:hAnsi="Times New Roman"/>
          <w:sz w:val="24"/>
          <w:szCs w:val="24"/>
        </w:rPr>
        <w:t>-</w:t>
      </w:r>
      <w:r w:rsidRPr="00E72FDF">
        <w:rPr>
          <w:rFonts w:ascii="Times New Roman" w:hAnsi="Times New Roman"/>
          <w:sz w:val="24"/>
          <w:szCs w:val="24"/>
        </w:rPr>
        <w:t>90%</w:t>
      </w:r>
      <w:r>
        <w:rPr>
          <w:rFonts w:ascii="Times New Roman" w:hAnsi="Times New Roman"/>
          <w:sz w:val="24"/>
          <w:szCs w:val="24"/>
        </w:rPr>
        <w:t xml:space="preserve"> (estimatif)</w:t>
      </w:r>
      <w:r w:rsidRPr="00E72FDF">
        <w:rPr>
          <w:rFonts w:ascii="Times New Roman" w:hAnsi="Times New Roman"/>
          <w:sz w:val="24"/>
          <w:szCs w:val="24"/>
        </w:rPr>
        <w:t xml:space="preserve"> des déclarations obtenues, ne reprennent pas le détail des informations telles qu’elles sont requises par la Norme et par le formulaire.</w:t>
      </w:r>
      <w:r>
        <w:rPr>
          <w:rFonts w:ascii="Times New Roman" w:hAnsi="Times New Roman"/>
          <w:sz w:val="24"/>
          <w:szCs w:val="24"/>
        </w:rPr>
        <w:t xml:space="preserve"> Il manque plus la date d’acquisition de la </w:t>
      </w:r>
      <w:r w:rsidRPr="00E72FDF">
        <w:rPr>
          <w:rFonts w:ascii="Times New Roman" w:hAnsi="Times New Roman"/>
          <w:sz w:val="24"/>
          <w:szCs w:val="24"/>
        </w:rPr>
        <w:t>propriété réelle</w:t>
      </w:r>
      <w:r>
        <w:rPr>
          <w:rFonts w:ascii="Times New Roman" w:hAnsi="Times New Roman"/>
          <w:sz w:val="24"/>
          <w:szCs w:val="24"/>
        </w:rPr>
        <w:t xml:space="preserve"> et les moyens de contact,</w:t>
      </w:r>
      <w:r w:rsidRPr="00C626DE">
        <w:rPr>
          <w:rFonts w:eastAsia="Times New Roman" w:cs="Calibri"/>
          <w:color w:val="FF0000"/>
          <w:sz w:val="18"/>
          <w:szCs w:val="18"/>
          <w:lang w:eastAsia="fr-FR"/>
        </w:rPr>
        <w:t xml:space="preserve"> </w:t>
      </w:r>
      <w:r w:rsidRPr="00C626DE">
        <w:rPr>
          <w:rFonts w:ascii="Times New Roman" w:eastAsia="Times New Roman" w:hAnsi="Times New Roman"/>
          <w:sz w:val="24"/>
          <w:szCs w:val="24"/>
          <w:lang w:eastAsia="fr-FR"/>
        </w:rPr>
        <w:t>la date de naissance et/ou numéro d'identification national et le pays d résidence</w:t>
      </w:r>
      <w:r w:rsidRPr="00C626DE">
        <w:rPr>
          <w:rFonts w:ascii="Times New Roman" w:hAnsi="Times New Roman"/>
          <w:sz w:val="24"/>
          <w:szCs w:val="24"/>
        </w:rPr>
        <w:t>.</w:t>
      </w:r>
    </w:p>
    <w:p w14:paraId="701E5C8A" w14:textId="4F299AFE" w:rsidR="00691D72" w:rsidRDefault="00232958">
      <w:pPr>
        <w:rPr>
          <w:rStyle w:val="Lienhypertexte"/>
          <w:rFonts w:ascii="Times New Roman" w:hAnsi="Times New Roman"/>
          <w:sz w:val="24"/>
          <w:szCs w:val="24"/>
        </w:rPr>
      </w:pPr>
      <w:r>
        <w:rPr>
          <w:rFonts w:ascii="Times New Roman" w:hAnsi="Times New Roman"/>
          <w:noProof/>
          <w:color w:val="0000FF"/>
          <w:sz w:val="24"/>
          <w:szCs w:val="24"/>
          <w:u w:val="single"/>
          <w:lang w:eastAsia="fr-FR"/>
        </w:rPr>
        <mc:AlternateContent>
          <mc:Choice Requires="wps">
            <w:drawing>
              <wp:anchor distT="0" distB="0" distL="114300" distR="114300" simplePos="0" relativeHeight="251661312" behindDoc="0" locked="0" layoutInCell="1" allowOverlap="1" wp14:anchorId="0A2BE8C7" wp14:editId="6A7534CD">
                <wp:simplePos x="0" y="0"/>
                <wp:positionH relativeFrom="margin">
                  <wp:align>right</wp:align>
                </wp:positionH>
                <wp:positionV relativeFrom="paragraph">
                  <wp:posOffset>136843</wp:posOffset>
                </wp:positionV>
                <wp:extent cx="6096000" cy="1852612"/>
                <wp:effectExtent l="0" t="0" r="19050" b="14605"/>
                <wp:wrapNone/>
                <wp:docPr id="13" name="Zone de texte 13"/>
                <wp:cNvGraphicFramePr/>
                <a:graphic xmlns:a="http://schemas.openxmlformats.org/drawingml/2006/main">
                  <a:graphicData uri="http://schemas.microsoft.com/office/word/2010/wordprocessingShape">
                    <wps:wsp>
                      <wps:cNvSpPr txBox="1"/>
                      <wps:spPr>
                        <a:xfrm>
                          <a:off x="0" y="0"/>
                          <a:ext cx="6096000" cy="1852612"/>
                        </a:xfrm>
                        <a:prstGeom prst="rect">
                          <a:avLst/>
                        </a:prstGeom>
                        <a:solidFill>
                          <a:schemeClr val="accent1">
                            <a:lumMod val="20000"/>
                            <a:lumOff val="80000"/>
                          </a:schemeClr>
                        </a:solidFill>
                        <a:ln w="6350">
                          <a:solidFill>
                            <a:schemeClr val="accent1">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4247226F" w14:textId="7CDD1AB0" w:rsidR="00E357DF" w:rsidRDefault="00E357DF">
                            <w:pPr>
                              <w:rPr>
                                <w:b/>
                                <w:color w:val="002060"/>
                                <w:u w:val="single"/>
                              </w:rPr>
                            </w:pPr>
                            <w:r w:rsidRPr="00232958">
                              <w:rPr>
                                <w:rFonts w:ascii="Times New Roman" w:hAnsi="Times New Roman"/>
                                <w:b/>
                                <w:color w:val="002060"/>
                                <w:sz w:val="24"/>
                                <w:szCs w:val="24"/>
                                <w:u w:val="single"/>
                              </w:rPr>
                              <w:t>Recommandation</w:t>
                            </w:r>
                            <w:r>
                              <w:rPr>
                                <w:rFonts w:ascii="Times New Roman" w:hAnsi="Times New Roman"/>
                                <w:b/>
                                <w:color w:val="002060"/>
                                <w:sz w:val="24"/>
                                <w:szCs w:val="24"/>
                                <w:u w:val="single"/>
                              </w:rPr>
                              <w:t>s</w:t>
                            </w:r>
                            <w:r w:rsidRPr="00D256CC">
                              <w:rPr>
                                <w:rFonts w:ascii="Times New Roman" w:hAnsi="Times New Roman"/>
                                <w:b/>
                                <w:color w:val="002060"/>
                                <w:sz w:val="24"/>
                                <w:szCs w:val="24"/>
                              </w:rPr>
                              <w:t xml:space="preserve"> </w:t>
                            </w:r>
                            <w:r>
                              <w:rPr>
                                <w:rFonts w:ascii="Times New Roman" w:hAnsi="Times New Roman"/>
                                <w:b/>
                                <w:color w:val="44546A" w:themeColor="text2"/>
                                <w:sz w:val="24"/>
                                <w:szCs w:val="24"/>
                              </w:rPr>
                              <w:t xml:space="preserve">: </w:t>
                            </w:r>
                            <w:r w:rsidRPr="00F32693">
                              <w:rPr>
                                <w:rFonts w:ascii="Times New Roman" w:hAnsi="Times New Roman"/>
                                <w:i/>
                                <w:color w:val="44546A" w:themeColor="text2"/>
                                <w:sz w:val="24"/>
                                <w:szCs w:val="24"/>
                              </w:rPr>
                              <w:t>(2)</w:t>
                            </w:r>
                          </w:p>
                          <w:p w14:paraId="54617F00" w14:textId="5A4D9FD6" w:rsidR="00E357DF" w:rsidRPr="00232958" w:rsidRDefault="00E357DF">
                            <w:pPr>
                              <w:rPr>
                                <w:rFonts w:ascii="Times New Roman" w:hAnsi="Times New Roman"/>
                                <w:color w:val="3B3838" w:themeColor="background2" w:themeShade="40"/>
                                <w:sz w:val="24"/>
                                <w:szCs w:val="24"/>
                              </w:rPr>
                            </w:pPr>
                            <w:r w:rsidRPr="00232958">
                              <w:rPr>
                                <w:rFonts w:ascii="Times New Roman" w:hAnsi="Times New Roman"/>
                                <w:b/>
                                <w:color w:val="3B3838" w:themeColor="background2" w:themeShade="40"/>
                                <w:sz w:val="24"/>
                                <w:szCs w:val="24"/>
                              </w:rPr>
                              <w:t>Aux Entreprises</w:t>
                            </w:r>
                            <w:r w:rsidRPr="00232958">
                              <w:rPr>
                                <w:rFonts w:ascii="Times New Roman" w:hAnsi="Times New Roman"/>
                                <w:color w:val="3B3838" w:themeColor="background2" w:themeShade="40"/>
                                <w:sz w:val="24"/>
                                <w:szCs w:val="24"/>
                              </w:rPr>
                              <w:t> :</w:t>
                            </w:r>
                          </w:p>
                          <w:p w14:paraId="63D7C907" w14:textId="0C85E6E5" w:rsidR="00E357DF" w:rsidRDefault="00E357DF" w:rsidP="00232958">
                            <w:pPr>
                              <w:jc w:val="both"/>
                              <w:rPr>
                                <w:rFonts w:ascii="Times New Roman" w:hAnsi="Times New Roman"/>
                                <w:color w:val="3B3838" w:themeColor="background2" w:themeShade="40"/>
                                <w:sz w:val="24"/>
                                <w:szCs w:val="24"/>
                              </w:rPr>
                            </w:pPr>
                            <w:r>
                              <w:rPr>
                                <w:rFonts w:ascii="Times New Roman" w:hAnsi="Times New Roman"/>
                                <w:color w:val="3B3838" w:themeColor="background2" w:themeShade="40"/>
                                <w:sz w:val="24"/>
                                <w:szCs w:val="24"/>
                              </w:rPr>
                              <w:t xml:space="preserve">De respecter les consignes de remplissage relatives au formulaire de déclaration de la propriété réelle et de la structure du capital. </w:t>
                            </w:r>
                          </w:p>
                          <w:p w14:paraId="0DFD912B" w14:textId="6DA3E79A" w:rsidR="00E357DF" w:rsidRPr="00B34CC3" w:rsidRDefault="00E357DF" w:rsidP="00232958">
                            <w:pPr>
                              <w:jc w:val="both"/>
                              <w:rPr>
                                <w:rFonts w:ascii="Times New Roman" w:hAnsi="Times New Roman"/>
                                <w:b/>
                                <w:color w:val="3B3838" w:themeColor="background2" w:themeShade="40"/>
                                <w:sz w:val="24"/>
                                <w:szCs w:val="24"/>
                              </w:rPr>
                            </w:pPr>
                            <w:r>
                              <w:rPr>
                                <w:rFonts w:ascii="Times New Roman" w:hAnsi="Times New Roman"/>
                                <w:b/>
                                <w:color w:val="3B3838" w:themeColor="background2" w:themeShade="40"/>
                                <w:sz w:val="24"/>
                                <w:szCs w:val="24"/>
                              </w:rPr>
                              <w:t>Au Comité E</w:t>
                            </w:r>
                            <w:r w:rsidRPr="00B34CC3">
                              <w:rPr>
                                <w:rFonts w:ascii="Times New Roman" w:hAnsi="Times New Roman"/>
                                <w:b/>
                                <w:color w:val="3B3838" w:themeColor="background2" w:themeShade="40"/>
                                <w:sz w:val="24"/>
                                <w:szCs w:val="24"/>
                              </w:rPr>
                              <w:t>xécutif :</w:t>
                            </w:r>
                          </w:p>
                          <w:p w14:paraId="5140FD5B" w14:textId="7B8D4C3D" w:rsidR="00E357DF" w:rsidRDefault="00E357DF" w:rsidP="00232958">
                            <w:pPr>
                              <w:jc w:val="both"/>
                              <w:rPr>
                                <w:rFonts w:ascii="Times New Roman" w:hAnsi="Times New Roman"/>
                                <w:color w:val="3B3838" w:themeColor="background2" w:themeShade="40"/>
                                <w:sz w:val="24"/>
                                <w:szCs w:val="24"/>
                              </w:rPr>
                            </w:pPr>
                            <w:r>
                              <w:rPr>
                                <w:rFonts w:ascii="Times New Roman" w:hAnsi="Times New Roman"/>
                                <w:color w:val="3B3838" w:themeColor="background2" w:themeShade="40"/>
                                <w:sz w:val="24"/>
                                <w:szCs w:val="24"/>
                              </w:rPr>
                              <w:t>De respecter les échéances d’exécution des activités de la Feuille de route relative à la divulgation de la propriété réelle.</w:t>
                            </w:r>
                          </w:p>
                          <w:p w14:paraId="6869E17E" w14:textId="77777777" w:rsidR="00E357DF" w:rsidRPr="00232958" w:rsidRDefault="00E357DF" w:rsidP="00232958">
                            <w:pPr>
                              <w:jc w:val="both"/>
                              <w:rPr>
                                <w:rFonts w:ascii="Times New Roman" w:hAnsi="Times New Roman"/>
                                <w:color w:val="3B3838" w:themeColor="background2" w:themeShade="40"/>
                                <w:sz w:val="24"/>
                                <w:szCs w:val="24"/>
                              </w:rPr>
                            </w:pPr>
                          </w:p>
                          <w:p w14:paraId="5C53032E" w14:textId="77777777" w:rsidR="00E357DF" w:rsidRPr="00232958" w:rsidRDefault="00E357DF">
                            <w:pPr>
                              <w:rPr>
                                <w:color w:val="3B3838" w:themeColor="background2" w:themeShade="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2BE8C7" id="Zone de texte 13" o:spid="_x0000_s1030" type="#_x0000_t202" style="position:absolute;margin-left:428.8pt;margin-top:10.8pt;width:480pt;height:145.85pt;z-index:2516613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" fillcolor="#deeaf6 [660]" strokecolor="#deeaf6 [660]" strokeweight=".5pt">
                <v:textbox>
                  <w:txbxContent>
                    <w:p w14:paraId="4247226F" w14:textId="7CDD1AB0" w:rsidR="00E357DF" w:rsidRDefault="00E357DF">
                      <w:pPr>
                        <w:rPr>
                          <w:b/>
                          <w:color w:val="002060"/>
                          <w:u w:val="single"/>
                        </w:rPr>
                      </w:pPr>
                      <w:r w:rsidRPr="00232958">
                        <w:rPr>
                          <w:rFonts w:ascii="Times New Roman" w:hAnsi="Times New Roman"/>
                          <w:b/>
                          <w:color w:val="002060"/>
                          <w:sz w:val="24"/>
                          <w:szCs w:val="24"/>
                          <w:u w:val="single"/>
                        </w:rPr>
                        <w:t>Recommandation</w:t>
                      </w:r>
                      <w:r>
                        <w:rPr>
                          <w:rFonts w:ascii="Times New Roman" w:hAnsi="Times New Roman"/>
                          <w:b/>
                          <w:color w:val="002060"/>
                          <w:sz w:val="24"/>
                          <w:szCs w:val="24"/>
                          <w:u w:val="single"/>
                        </w:rPr>
                        <w:t>s</w:t>
                      </w:r>
                      <w:r w:rsidRPr="00D256CC">
                        <w:rPr>
                          <w:rFonts w:ascii="Times New Roman" w:hAnsi="Times New Roman"/>
                          <w:b/>
                          <w:color w:val="002060"/>
                          <w:sz w:val="24"/>
                          <w:szCs w:val="24"/>
                        </w:rPr>
                        <w:t xml:space="preserve"> </w:t>
                      </w:r>
                      <w:r>
                        <w:rPr>
                          <w:rFonts w:ascii="Times New Roman" w:hAnsi="Times New Roman"/>
                          <w:b/>
                          <w:color w:val="44546A" w:themeColor="text2"/>
                          <w:sz w:val="24"/>
                          <w:szCs w:val="24"/>
                        </w:rPr>
                        <w:t xml:space="preserve">: </w:t>
                      </w:r>
                      <w:r w:rsidRPr="00F32693">
                        <w:rPr>
                          <w:rFonts w:ascii="Times New Roman" w:hAnsi="Times New Roman"/>
                          <w:i/>
                          <w:color w:val="44546A" w:themeColor="text2"/>
                          <w:sz w:val="24"/>
                          <w:szCs w:val="24"/>
                        </w:rPr>
                        <w:t>(2)</w:t>
                      </w:r>
                    </w:p>
                    <w:p w14:paraId="54617F00" w14:textId="5A4D9FD6" w:rsidR="00E357DF" w:rsidRPr="00232958" w:rsidRDefault="00E357DF">
                      <w:pPr>
                        <w:rPr>
                          <w:rFonts w:ascii="Times New Roman" w:hAnsi="Times New Roman"/>
                          <w:color w:val="3B3838" w:themeColor="background2" w:themeShade="40"/>
                          <w:sz w:val="24"/>
                          <w:szCs w:val="24"/>
                        </w:rPr>
                      </w:pPr>
                      <w:r w:rsidRPr="00232958">
                        <w:rPr>
                          <w:rFonts w:ascii="Times New Roman" w:hAnsi="Times New Roman"/>
                          <w:b/>
                          <w:color w:val="3B3838" w:themeColor="background2" w:themeShade="40"/>
                          <w:sz w:val="24"/>
                          <w:szCs w:val="24"/>
                        </w:rPr>
                        <w:t>Aux Entreprises</w:t>
                      </w:r>
                      <w:r w:rsidRPr="00232958">
                        <w:rPr>
                          <w:rFonts w:ascii="Times New Roman" w:hAnsi="Times New Roman"/>
                          <w:color w:val="3B3838" w:themeColor="background2" w:themeShade="40"/>
                          <w:sz w:val="24"/>
                          <w:szCs w:val="24"/>
                        </w:rPr>
                        <w:t> :</w:t>
                      </w:r>
                    </w:p>
                    <w:p w14:paraId="63D7C907" w14:textId="0C85E6E5" w:rsidR="00E357DF" w:rsidRDefault="00E357DF" w:rsidP="00232958">
                      <w:pPr>
                        <w:jc w:val="both"/>
                        <w:rPr>
                          <w:rFonts w:ascii="Times New Roman" w:hAnsi="Times New Roman"/>
                          <w:color w:val="3B3838" w:themeColor="background2" w:themeShade="40"/>
                          <w:sz w:val="24"/>
                          <w:szCs w:val="24"/>
                        </w:rPr>
                      </w:pPr>
                      <w:r>
                        <w:rPr>
                          <w:rFonts w:ascii="Times New Roman" w:hAnsi="Times New Roman"/>
                          <w:color w:val="3B3838" w:themeColor="background2" w:themeShade="40"/>
                          <w:sz w:val="24"/>
                          <w:szCs w:val="24"/>
                        </w:rPr>
                        <w:t xml:space="preserve">De respecter les consignes de remplissage relatives au formulaire de déclaration de la propriété réelle et de la structure du capital. </w:t>
                      </w:r>
                    </w:p>
                    <w:p w14:paraId="0DFD912B" w14:textId="6DA3E79A" w:rsidR="00E357DF" w:rsidRPr="00B34CC3" w:rsidRDefault="00E357DF" w:rsidP="00232958">
                      <w:pPr>
                        <w:jc w:val="both"/>
                        <w:rPr>
                          <w:rFonts w:ascii="Times New Roman" w:hAnsi="Times New Roman"/>
                          <w:b/>
                          <w:color w:val="3B3838" w:themeColor="background2" w:themeShade="40"/>
                          <w:sz w:val="24"/>
                          <w:szCs w:val="24"/>
                        </w:rPr>
                      </w:pPr>
                      <w:r>
                        <w:rPr>
                          <w:rFonts w:ascii="Times New Roman" w:hAnsi="Times New Roman"/>
                          <w:b/>
                          <w:color w:val="3B3838" w:themeColor="background2" w:themeShade="40"/>
                          <w:sz w:val="24"/>
                          <w:szCs w:val="24"/>
                        </w:rPr>
                        <w:t>Au Comité E</w:t>
                      </w:r>
                      <w:r w:rsidRPr="00B34CC3">
                        <w:rPr>
                          <w:rFonts w:ascii="Times New Roman" w:hAnsi="Times New Roman"/>
                          <w:b/>
                          <w:color w:val="3B3838" w:themeColor="background2" w:themeShade="40"/>
                          <w:sz w:val="24"/>
                          <w:szCs w:val="24"/>
                        </w:rPr>
                        <w:t>xécutif :</w:t>
                      </w:r>
                    </w:p>
                    <w:p w14:paraId="5140FD5B" w14:textId="7B8D4C3D" w:rsidR="00E357DF" w:rsidRDefault="00E357DF" w:rsidP="00232958">
                      <w:pPr>
                        <w:jc w:val="both"/>
                        <w:rPr>
                          <w:rFonts w:ascii="Times New Roman" w:hAnsi="Times New Roman"/>
                          <w:color w:val="3B3838" w:themeColor="background2" w:themeShade="40"/>
                          <w:sz w:val="24"/>
                          <w:szCs w:val="24"/>
                        </w:rPr>
                      </w:pPr>
                      <w:r>
                        <w:rPr>
                          <w:rFonts w:ascii="Times New Roman" w:hAnsi="Times New Roman"/>
                          <w:color w:val="3B3838" w:themeColor="background2" w:themeShade="40"/>
                          <w:sz w:val="24"/>
                          <w:szCs w:val="24"/>
                        </w:rPr>
                        <w:t>De respecter les échéances d’exécution des activités de la Feuille de route relative à la divulgation de la propriété réelle.</w:t>
                      </w:r>
                    </w:p>
                    <w:p w14:paraId="6869E17E" w14:textId="77777777" w:rsidR="00E357DF" w:rsidRPr="00232958" w:rsidRDefault="00E357DF" w:rsidP="00232958">
                      <w:pPr>
                        <w:jc w:val="both"/>
                        <w:rPr>
                          <w:rFonts w:ascii="Times New Roman" w:hAnsi="Times New Roman"/>
                          <w:color w:val="3B3838" w:themeColor="background2" w:themeShade="40"/>
                          <w:sz w:val="24"/>
                          <w:szCs w:val="24"/>
                        </w:rPr>
                      </w:pPr>
                    </w:p>
                    <w:p w14:paraId="5C53032E" w14:textId="77777777" w:rsidR="00E357DF" w:rsidRPr="00232958" w:rsidRDefault="00E357DF">
                      <w:pPr>
                        <w:rPr>
                          <w:color w:val="3B3838" w:themeColor="background2" w:themeShade="40"/>
                        </w:rPr>
                      </w:pPr>
                    </w:p>
                  </w:txbxContent>
                </v:textbox>
                <w10:wrap anchorx="margin"/>
              </v:shape>
            </w:pict>
          </mc:Fallback>
        </mc:AlternateContent>
      </w:r>
      <w:r w:rsidR="00691D72">
        <w:rPr>
          <w:rStyle w:val="Lienhypertexte"/>
          <w:rFonts w:ascii="Times New Roman" w:hAnsi="Times New Roman"/>
          <w:sz w:val="24"/>
          <w:szCs w:val="24"/>
        </w:rPr>
        <w:br w:type="page"/>
      </w:r>
    </w:p>
    <w:p w14:paraId="57D10282" w14:textId="77777777" w:rsidR="00157F17" w:rsidRDefault="00157F17">
      <w:pPr>
        <w:rPr>
          <w:rStyle w:val="Lienhypertexte"/>
          <w:rFonts w:ascii="Times New Roman" w:hAnsi="Times New Roman"/>
          <w:sz w:val="24"/>
          <w:szCs w:val="24"/>
        </w:rPr>
      </w:pPr>
    </w:p>
    <w:p w14:paraId="085A101E" w14:textId="262DC402" w:rsidR="00157F17" w:rsidRPr="00840E13" w:rsidRDefault="00B41722" w:rsidP="0054038F">
      <w:pPr>
        <w:pStyle w:val="Titre1"/>
        <w:numPr>
          <w:ilvl w:val="0"/>
          <w:numId w:val="4"/>
        </w:numPr>
        <w:ind w:left="426" w:hanging="425"/>
        <w:rPr>
          <w:rFonts w:ascii="Times New Roman" w:hAnsi="Times New Roman" w:cs="Times New Roman"/>
          <w:sz w:val="28"/>
          <w:szCs w:val="28"/>
        </w:rPr>
      </w:pPr>
      <w:bookmarkStart w:id="139" w:name="_Toc516047992"/>
      <w:bookmarkStart w:id="140" w:name="_Toc518468080"/>
      <w:r w:rsidRPr="00840E13">
        <w:rPr>
          <w:rFonts w:ascii="Times New Roman" w:hAnsi="Times New Roman" w:cs="Times New Roman"/>
          <w:caps w:val="0"/>
          <w:sz w:val="28"/>
          <w:szCs w:val="28"/>
        </w:rPr>
        <w:t>PROSPECTION</w:t>
      </w:r>
      <w:r>
        <w:rPr>
          <w:rFonts w:ascii="Times New Roman" w:hAnsi="Times New Roman" w:cs="Times New Roman"/>
          <w:caps w:val="0"/>
          <w:sz w:val="28"/>
          <w:szCs w:val="28"/>
        </w:rPr>
        <w:t>, PRODUCTION</w:t>
      </w:r>
      <w:r w:rsidRPr="00840E13">
        <w:rPr>
          <w:rFonts w:ascii="Times New Roman" w:hAnsi="Times New Roman" w:cs="Times New Roman"/>
          <w:caps w:val="0"/>
          <w:sz w:val="28"/>
          <w:szCs w:val="28"/>
        </w:rPr>
        <w:t xml:space="preserve"> ET EXP</w:t>
      </w:r>
      <w:r>
        <w:rPr>
          <w:rFonts w:ascii="Times New Roman" w:hAnsi="Times New Roman" w:cs="Times New Roman"/>
          <w:caps w:val="0"/>
          <w:sz w:val="28"/>
          <w:szCs w:val="28"/>
        </w:rPr>
        <w:t>ORT</w:t>
      </w:r>
      <w:r w:rsidRPr="00840E13">
        <w:rPr>
          <w:rFonts w:ascii="Times New Roman" w:hAnsi="Times New Roman" w:cs="Times New Roman"/>
          <w:caps w:val="0"/>
          <w:sz w:val="28"/>
          <w:szCs w:val="28"/>
        </w:rPr>
        <w:t>ATION</w:t>
      </w:r>
      <w:r>
        <w:rPr>
          <w:rFonts w:ascii="Times New Roman" w:hAnsi="Times New Roman" w:cs="Times New Roman"/>
          <w:caps w:val="0"/>
          <w:sz w:val="28"/>
          <w:szCs w:val="28"/>
        </w:rPr>
        <w:t>S</w:t>
      </w:r>
      <w:bookmarkEnd w:id="139"/>
      <w:bookmarkEnd w:id="140"/>
    </w:p>
    <w:p w14:paraId="02290F0B" w14:textId="77777777" w:rsidR="00157F17" w:rsidRPr="00840E13" w:rsidRDefault="00157F17" w:rsidP="00157F17">
      <w:pPr>
        <w:keepNext/>
        <w:spacing w:after="0" w:line="240" w:lineRule="auto"/>
        <w:contextualSpacing/>
        <w:jc w:val="both"/>
        <w:rPr>
          <w:rFonts w:ascii="Times New Roman" w:hAnsi="Times New Roman"/>
          <w:b/>
          <w:sz w:val="20"/>
          <w:szCs w:val="44"/>
        </w:rPr>
      </w:pPr>
    </w:p>
    <w:p w14:paraId="7C32B8B0" w14:textId="5D7FD66A" w:rsidR="00157F17" w:rsidRPr="00840E13" w:rsidRDefault="00157F17" w:rsidP="0054038F">
      <w:pPr>
        <w:pStyle w:val="Titre2"/>
        <w:ind w:left="142"/>
        <w:rPr>
          <w:rFonts w:ascii="Times New Roman" w:hAnsi="Times New Roman" w:cs="Times New Roman"/>
          <w:sz w:val="24"/>
          <w:szCs w:val="24"/>
        </w:rPr>
      </w:pPr>
      <w:bookmarkStart w:id="141" w:name="_Toc516047993"/>
      <w:bookmarkStart w:id="142" w:name="_Toc518468081"/>
      <w:r>
        <w:rPr>
          <w:rFonts w:ascii="Times New Roman" w:hAnsi="Times New Roman" w:cs="Times New Roman"/>
          <w:sz w:val="24"/>
          <w:szCs w:val="24"/>
        </w:rPr>
        <w:t>V</w:t>
      </w:r>
      <w:r w:rsidR="0054038F">
        <w:rPr>
          <w:rFonts w:ascii="Times New Roman" w:hAnsi="Times New Roman" w:cs="Times New Roman"/>
          <w:sz w:val="24"/>
          <w:szCs w:val="24"/>
        </w:rPr>
        <w:t>I</w:t>
      </w:r>
      <w:r>
        <w:rPr>
          <w:rFonts w:ascii="Times New Roman" w:hAnsi="Times New Roman" w:cs="Times New Roman"/>
          <w:sz w:val="24"/>
          <w:szCs w:val="24"/>
        </w:rPr>
        <w:t xml:space="preserve">.1. </w:t>
      </w:r>
      <w:r w:rsidR="00232958" w:rsidRPr="00840E13">
        <w:rPr>
          <w:rFonts w:ascii="Times New Roman" w:hAnsi="Times New Roman" w:cs="Times New Roman"/>
          <w:caps w:val="0"/>
          <w:sz w:val="24"/>
          <w:szCs w:val="24"/>
        </w:rPr>
        <w:t>Activité de prospection</w:t>
      </w:r>
      <w:bookmarkEnd w:id="141"/>
      <w:bookmarkEnd w:id="142"/>
    </w:p>
    <w:p w14:paraId="40E431C6" w14:textId="77777777" w:rsidR="00157F17" w:rsidRPr="00840E13" w:rsidRDefault="00157F17" w:rsidP="00157F17">
      <w:pPr>
        <w:pStyle w:val="Paragraphedeliste"/>
        <w:keepNext/>
        <w:spacing w:after="0" w:line="240" w:lineRule="auto"/>
        <w:ind w:left="0"/>
        <w:jc w:val="both"/>
        <w:rPr>
          <w:rFonts w:ascii="Times New Roman" w:hAnsi="Times New Roman" w:cs="Times New Roman"/>
          <w:b/>
          <w:sz w:val="20"/>
          <w:szCs w:val="44"/>
        </w:rPr>
      </w:pPr>
    </w:p>
    <w:p w14:paraId="0D5650D3" w14:textId="77777777" w:rsidR="00157F17" w:rsidRPr="00840E13" w:rsidRDefault="00157F17" w:rsidP="000738D3">
      <w:pPr>
        <w:pStyle w:val="Titre3"/>
        <w:numPr>
          <w:ilvl w:val="0"/>
          <w:numId w:val="12"/>
        </w:numPr>
        <w:ind w:left="993"/>
        <w:rPr>
          <w:rFonts w:ascii="Times New Roman" w:hAnsi="Times New Roman" w:cs="Times New Roman"/>
          <w:sz w:val="24"/>
          <w:szCs w:val="24"/>
        </w:rPr>
      </w:pPr>
      <w:bookmarkStart w:id="143" w:name="_Toc516047994"/>
      <w:bookmarkStart w:id="144" w:name="_Toc518468082"/>
      <w:r w:rsidRPr="00840E13">
        <w:rPr>
          <w:rFonts w:ascii="Times New Roman" w:hAnsi="Times New Roman" w:cs="Times New Roman"/>
          <w:sz w:val="24"/>
          <w:szCs w:val="24"/>
        </w:rPr>
        <w:t>Secteur pétrolier</w:t>
      </w:r>
      <w:bookmarkEnd w:id="143"/>
      <w:bookmarkEnd w:id="144"/>
    </w:p>
    <w:p w14:paraId="4367649A" w14:textId="6E215C44" w:rsidR="00157F17" w:rsidRDefault="00157F17" w:rsidP="00D6058E">
      <w:pPr>
        <w:pStyle w:val="Paragraphedeliste"/>
        <w:ind w:left="709"/>
        <w:jc w:val="both"/>
        <w:rPr>
          <w:rFonts w:ascii="Times New Roman" w:hAnsi="Times New Roman" w:cs="Times New Roman"/>
          <w:sz w:val="24"/>
          <w:szCs w:val="24"/>
        </w:rPr>
      </w:pPr>
      <w:r>
        <w:rPr>
          <w:rFonts w:ascii="Times New Roman" w:hAnsi="Times New Roman" w:cs="Times New Roman"/>
          <w:sz w:val="24"/>
          <w:szCs w:val="24"/>
        </w:rPr>
        <w:t>De l’analyse des documents reçus du</w:t>
      </w:r>
      <w:r w:rsidRPr="00840E13">
        <w:rPr>
          <w:rFonts w:ascii="Times New Roman" w:hAnsi="Times New Roman" w:cs="Times New Roman"/>
          <w:sz w:val="24"/>
          <w:szCs w:val="24"/>
        </w:rPr>
        <w:t xml:space="preserve"> Secrétariat Gé</w:t>
      </w:r>
      <w:r>
        <w:rPr>
          <w:rFonts w:ascii="Times New Roman" w:hAnsi="Times New Roman" w:cs="Times New Roman"/>
          <w:sz w:val="24"/>
          <w:szCs w:val="24"/>
        </w:rPr>
        <w:t xml:space="preserve">néral aux Hydrocarbures (SGH) </w:t>
      </w:r>
      <w:r w:rsidR="007C5C78">
        <w:rPr>
          <w:rFonts w:ascii="Times New Roman" w:hAnsi="Times New Roman" w:cs="Times New Roman"/>
          <w:sz w:val="24"/>
          <w:szCs w:val="24"/>
        </w:rPr>
        <w:t xml:space="preserve"> et </w:t>
      </w:r>
      <w:r>
        <w:rPr>
          <w:rFonts w:ascii="Times New Roman" w:hAnsi="Times New Roman" w:cs="Times New Roman"/>
          <w:sz w:val="24"/>
          <w:szCs w:val="24"/>
        </w:rPr>
        <w:t xml:space="preserve"> de  </w:t>
      </w:r>
      <w:r w:rsidRPr="0059754E">
        <w:rPr>
          <w:rFonts w:ascii="Times New Roman" w:hAnsi="Times New Roman" w:cs="Times New Roman"/>
          <w:sz w:val="24"/>
          <w:szCs w:val="24"/>
        </w:rPr>
        <w:t>la Société Nationale des Hydrocarbures (SONAHYDROC SA)</w:t>
      </w:r>
      <w:r>
        <w:rPr>
          <w:rFonts w:ascii="Times New Roman" w:hAnsi="Times New Roman" w:cs="Times New Roman"/>
          <w:sz w:val="24"/>
          <w:szCs w:val="24"/>
        </w:rPr>
        <w:t>,</w:t>
      </w:r>
      <w:r w:rsidRPr="00840E13">
        <w:rPr>
          <w:rFonts w:ascii="Times New Roman" w:hAnsi="Times New Roman" w:cs="Times New Roman"/>
          <w:sz w:val="24"/>
          <w:szCs w:val="24"/>
        </w:rPr>
        <w:t xml:space="preserve"> il apparait qu’aucune activité de prospection </w:t>
      </w:r>
      <w:r w:rsidRPr="0059754E">
        <w:rPr>
          <w:rFonts w:ascii="Times New Roman" w:hAnsi="Times New Roman" w:cs="Times New Roman"/>
          <w:sz w:val="24"/>
          <w:szCs w:val="24"/>
        </w:rPr>
        <w:t>significative n’a été menée durant la période, ho</w:t>
      </w:r>
      <w:r>
        <w:rPr>
          <w:rFonts w:ascii="Times New Roman" w:hAnsi="Times New Roman" w:cs="Times New Roman"/>
          <w:sz w:val="24"/>
          <w:szCs w:val="24"/>
        </w:rPr>
        <w:t xml:space="preserve">rmis celle réalisée par </w:t>
      </w:r>
      <w:r w:rsidRPr="0059754E">
        <w:rPr>
          <w:rFonts w:ascii="Times New Roman" w:hAnsi="Times New Roman" w:cs="Times New Roman"/>
          <w:sz w:val="24"/>
          <w:szCs w:val="24"/>
        </w:rPr>
        <w:t>SONAHYDROC</w:t>
      </w:r>
      <w:r>
        <w:rPr>
          <w:rFonts w:ascii="Times New Roman" w:hAnsi="Times New Roman" w:cs="Times New Roman"/>
          <w:sz w:val="24"/>
          <w:szCs w:val="24"/>
        </w:rPr>
        <w:t xml:space="preserve"> SA</w:t>
      </w:r>
      <w:r w:rsidRPr="0059754E">
        <w:rPr>
          <w:rFonts w:ascii="Times New Roman" w:hAnsi="Times New Roman" w:cs="Times New Roman"/>
          <w:sz w:val="24"/>
          <w:szCs w:val="24"/>
        </w:rPr>
        <w:t xml:space="preserve"> pour un montant de 990K</w:t>
      </w:r>
      <w:r>
        <w:rPr>
          <w:rFonts w:ascii="Times New Roman" w:hAnsi="Times New Roman" w:cs="Times New Roman"/>
          <w:sz w:val="24"/>
          <w:szCs w:val="24"/>
        </w:rPr>
        <w:t xml:space="preserve"> </w:t>
      </w:r>
      <w:r w:rsidRPr="0059754E">
        <w:rPr>
          <w:rFonts w:ascii="Times New Roman" w:hAnsi="Times New Roman" w:cs="Times New Roman"/>
          <w:sz w:val="24"/>
          <w:szCs w:val="24"/>
        </w:rPr>
        <w:t xml:space="preserve">USD au titre d’une étude de revue des données techniques des rendus des blocs </w:t>
      </w:r>
      <w:proofErr w:type="spellStart"/>
      <w:r w:rsidRPr="0059754E">
        <w:rPr>
          <w:rFonts w:ascii="Times New Roman" w:hAnsi="Times New Roman" w:cs="Times New Roman"/>
          <w:sz w:val="24"/>
          <w:szCs w:val="24"/>
        </w:rPr>
        <w:t>Yema</w:t>
      </w:r>
      <w:proofErr w:type="spellEnd"/>
      <w:r w:rsidRPr="0059754E">
        <w:rPr>
          <w:rFonts w:ascii="Times New Roman" w:hAnsi="Times New Roman" w:cs="Times New Roman"/>
          <w:sz w:val="24"/>
          <w:szCs w:val="24"/>
        </w:rPr>
        <w:t xml:space="preserve"> et </w:t>
      </w:r>
      <w:proofErr w:type="spellStart"/>
      <w:r w:rsidRPr="0059754E">
        <w:rPr>
          <w:rFonts w:ascii="Times New Roman" w:hAnsi="Times New Roman" w:cs="Times New Roman"/>
          <w:sz w:val="24"/>
          <w:szCs w:val="24"/>
        </w:rPr>
        <w:t>Nganzi</w:t>
      </w:r>
      <w:proofErr w:type="spellEnd"/>
      <w:r w:rsidRPr="0059754E">
        <w:rPr>
          <w:rFonts w:ascii="Times New Roman" w:hAnsi="Times New Roman" w:cs="Times New Roman"/>
          <w:sz w:val="24"/>
          <w:szCs w:val="24"/>
        </w:rPr>
        <w:t xml:space="preserve"> où elle est associée avec SURESTREAM et SOGEMIP. Cette étude n’a pas été étendue au bloc </w:t>
      </w:r>
      <w:proofErr w:type="spellStart"/>
      <w:r w:rsidRPr="0059754E">
        <w:rPr>
          <w:rFonts w:ascii="Times New Roman" w:hAnsi="Times New Roman" w:cs="Times New Roman"/>
          <w:sz w:val="24"/>
          <w:szCs w:val="24"/>
        </w:rPr>
        <w:t>Lotshi</w:t>
      </w:r>
      <w:proofErr w:type="spellEnd"/>
      <w:r w:rsidRPr="0059754E">
        <w:rPr>
          <w:rFonts w:ascii="Times New Roman" w:hAnsi="Times New Roman" w:cs="Times New Roman"/>
          <w:sz w:val="24"/>
          <w:szCs w:val="24"/>
        </w:rPr>
        <w:t xml:space="preserve"> où elle est associée avec ENERGULF. Le résultat de l’étude a été récupéré par le Ministère de tutelle en vertu de l’article 30 al.2 du Code d’hydroc</w:t>
      </w:r>
      <w:r>
        <w:rPr>
          <w:rFonts w:ascii="Times New Roman" w:hAnsi="Times New Roman" w:cs="Times New Roman"/>
          <w:sz w:val="24"/>
          <w:szCs w:val="24"/>
        </w:rPr>
        <w:t xml:space="preserve">arbures. La SONAHYDROC a considéré </w:t>
      </w:r>
      <w:r w:rsidRPr="0059754E">
        <w:rPr>
          <w:rFonts w:ascii="Times New Roman" w:hAnsi="Times New Roman" w:cs="Times New Roman"/>
          <w:sz w:val="24"/>
          <w:szCs w:val="24"/>
        </w:rPr>
        <w:t xml:space="preserve"> ce montant</w:t>
      </w:r>
      <w:r>
        <w:rPr>
          <w:rFonts w:ascii="Times New Roman" w:hAnsi="Times New Roman" w:cs="Times New Roman"/>
          <w:sz w:val="24"/>
          <w:szCs w:val="24"/>
        </w:rPr>
        <w:t xml:space="preserve"> comme une dépense quasi fiscale.  </w:t>
      </w:r>
    </w:p>
    <w:p w14:paraId="708B3964" w14:textId="6CC7BD0E" w:rsidR="00157F17" w:rsidRPr="0059754E" w:rsidRDefault="007C5C78" w:rsidP="00D6058E">
      <w:pPr>
        <w:pStyle w:val="Paragraphedeliste"/>
        <w:ind w:left="709"/>
        <w:jc w:val="both"/>
        <w:rPr>
          <w:rFonts w:ascii="Times New Roman" w:hAnsi="Times New Roman" w:cs="Times New Roman"/>
          <w:sz w:val="24"/>
          <w:szCs w:val="24"/>
        </w:rPr>
      </w:pPr>
      <w:r>
        <w:rPr>
          <w:rFonts w:ascii="Times New Roman" w:hAnsi="Times New Roman" w:cs="Times New Roman"/>
          <w:sz w:val="24"/>
          <w:szCs w:val="24"/>
        </w:rPr>
        <w:t>A l’analyse de cette  considération fondée sur</w:t>
      </w:r>
      <w:r w:rsidR="00157F17">
        <w:rPr>
          <w:rFonts w:ascii="Times New Roman" w:hAnsi="Times New Roman" w:cs="Times New Roman"/>
          <w:sz w:val="24"/>
          <w:szCs w:val="24"/>
        </w:rPr>
        <w:t xml:space="preserve"> l’exigence 6.2,  cette dépense n’entre pas dans la catégorie de dépenses quasi fiscales mais devrait être considérée comme une dépense d’investissement effectuée pour compte de l’Etat propriétaire. </w:t>
      </w:r>
    </w:p>
    <w:p w14:paraId="28259C2D" w14:textId="77777777" w:rsidR="00157F17" w:rsidRPr="00840E13" w:rsidRDefault="00157F17" w:rsidP="00D6058E">
      <w:pPr>
        <w:pStyle w:val="Paragraphedeliste"/>
        <w:spacing w:before="240"/>
        <w:ind w:left="709"/>
        <w:jc w:val="both"/>
        <w:rPr>
          <w:rFonts w:ascii="Times New Roman" w:hAnsi="Times New Roman" w:cs="Times New Roman"/>
          <w:sz w:val="16"/>
          <w:szCs w:val="16"/>
        </w:rPr>
      </w:pPr>
    </w:p>
    <w:p w14:paraId="45E54516" w14:textId="77777777" w:rsidR="00157F17" w:rsidRPr="00840E13" w:rsidRDefault="00157F17" w:rsidP="00D6058E">
      <w:pPr>
        <w:pStyle w:val="Paragraphedeliste"/>
        <w:spacing w:before="240"/>
        <w:ind w:left="709"/>
        <w:jc w:val="both"/>
        <w:rPr>
          <w:rFonts w:ascii="Times New Roman" w:hAnsi="Times New Roman" w:cs="Times New Roman"/>
          <w:sz w:val="24"/>
          <w:szCs w:val="24"/>
        </w:rPr>
      </w:pPr>
      <w:r w:rsidRPr="00840E13">
        <w:rPr>
          <w:rFonts w:ascii="Times New Roman" w:hAnsi="Times New Roman" w:cs="Times New Roman"/>
          <w:sz w:val="24"/>
          <w:szCs w:val="24"/>
        </w:rPr>
        <w:t>Par ailleurs, le Rapport annuel</w:t>
      </w:r>
      <w:r w:rsidRPr="00840E13">
        <w:rPr>
          <w:rFonts w:ascii="Times New Roman" w:hAnsi="Times New Roman" w:cs="Times New Roman"/>
          <w:sz w:val="24"/>
          <w:szCs w:val="24"/>
          <w:vertAlign w:val="superscript"/>
        </w:rPr>
        <w:t>1</w:t>
      </w:r>
      <w:r w:rsidRPr="00840E13">
        <w:rPr>
          <w:rFonts w:ascii="Times New Roman" w:hAnsi="Times New Roman" w:cs="Times New Roman"/>
          <w:sz w:val="24"/>
          <w:szCs w:val="24"/>
        </w:rPr>
        <w:t xml:space="preserve"> 2016 du SGH transmis au Secrétariat Technique de l’ITIE, note qu’à ce jour, seul le bassin côtier demeure depuis plus de quatre décennies le producteur du pétrole brut congolais. Les deux autres bassins sédimentaires (le bassin de la Branche Ouest du Rift Est-Africain ou les bassins de grabens albertin et Tanganyika, et le bassin de la Cuvette Centrale) sont ouverts à l’exploration et nécessitent une prospection profonde pour la meilleure connaissance géologique et environnementale.</w:t>
      </w:r>
    </w:p>
    <w:p w14:paraId="07983590" w14:textId="1F66C080" w:rsidR="00157F17" w:rsidRPr="00840E13" w:rsidRDefault="00157F17" w:rsidP="00D6058E">
      <w:pPr>
        <w:pStyle w:val="Paragraphedeliste"/>
        <w:ind w:left="709"/>
        <w:jc w:val="both"/>
        <w:rPr>
          <w:rFonts w:ascii="Times New Roman" w:hAnsi="Times New Roman" w:cs="Times New Roman"/>
          <w:sz w:val="24"/>
          <w:szCs w:val="24"/>
        </w:rPr>
      </w:pPr>
      <w:r>
        <w:rPr>
          <w:rFonts w:ascii="Times New Roman" w:hAnsi="Times New Roman" w:cs="Times New Roman"/>
          <w:sz w:val="24"/>
          <w:szCs w:val="24"/>
        </w:rPr>
        <w:t>Enfin,</w:t>
      </w:r>
      <w:r w:rsidRPr="00840E13">
        <w:rPr>
          <w:rFonts w:ascii="Times New Roman" w:hAnsi="Times New Roman" w:cs="Times New Roman"/>
          <w:sz w:val="24"/>
          <w:szCs w:val="24"/>
        </w:rPr>
        <w:t xml:space="preserve"> </w:t>
      </w:r>
      <w:r w:rsidR="007C5C78">
        <w:rPr>
          <w:rFonts w:ascii="Times New Roman" w:hAnsi="Times New Roman" w:cs="Times New Roman"/>
          <w:sz w:val="24"/>
          <w:szCs w:val="24"/>
        </w:rPr>
        <w:t xml:space="preserve">à titre informatif, </w:t>
      </w:r>
      <w:r w:rsidRPr="00840E13">
        <w:rPr>
          <w:rFonts w:ascii="Times New Roman" w:hAnsi="Times New Roman" w:cs="Times New Roman"/>
          <w:sz w:val="24"/>
          <w:szCs w:val="24"/>
        </w:rPr>
        <w:t xml:space="preserve">les entreprises ARIANA OIL and GAS et LEDYA OIL and GAS (LEREXCOM) ont obtenu des fiches d’accès à la base de données leur permettant de mener des recherches sur les rendus de </w:t>
      </w:r>
      <w:proofErr w:type="spellStart"/>
      <w:r w:rsidRPr="00840E13">
        <w:rPr>
          <w:rFonts w:ascii="Times New Roman" w:hAnsi="Times New Roman" w:cs="Times New Roman"/>
          <w:sz w:val="24"/>
          <w:szCs w:val="24"/>
        </w:rPr>
        <w:t>Yema</w:t>
      </w:r>
      <w:proofErr w:type="spellEnd"/>
      <w:r w:rsidRPr="00840E13">
        <w:rPr>
          <w:rFonts w:ascii="Times New Roman" w:hAnsi="Times New Roman" w:cs="Times New Roman"/>
          <w:sz w:val="24"/>
          <w:szCs w:val="24"/>
        </w:rPr>
        <w:t xml:space="preserve"> et </w:t>
      </w:r>
      <w:proofErr w:type="spellStart"/>
      <w:r w:rsidRPr="00840E13">
        <w:rPr>
          <w:rFonts w:ascii="Times New Roman" w:hAnsi="Times New Roman" w:cs="Times New Roman"/>
          <w:sz w:val="24"/>
          <w:szCs w:val="24"/>
        </w:rPr>
        <w:t>N</w:t>
      </w:r>
      <w:r w:rsidR="007C5C78">
        <w:rPr>
          <w:rFonts w:ascii="Times New Roman" w:hAnsi="Times New Roman" w:cs="Times New Roman"/>
          <w:sz w:val="24"/>
          <w:szCs w:val="24"/>
        </w:rPr>
        <w:t>ganzi</w:t>
      </w:r>
      <w:proofErr w:type="spellEnd"/>
      <w:r w:rsidR="007C5C78">
        <w:rPr>
          <w:rFonts w:ascii="Times New Roman" w:hAnsi="Times New Roman" w:cs="Times New Roman"/>
          <w:sz w:val="24"/>
          <w:szCs w:val="24"/>
        </w:rPr>
        <w:t>. Si ces études s’avèrent</w:t>
      </w:r>
      <w:r w:rsidRPr="00840E13">
        <w:rPr>
          <w:rFonts w:ascii="Times New Roman" w:hAnsi="Times New Roman" w:cs="Times New Roman"/>
          <w:sz w:val="24"/>
          <w:szCs w:val="24"/>
        </w:rPr>
        <w:t xml:space="preserve"> concluantes, elles entameront des négociations en vue de la signature de Contrat de partage de production (CPP).</w:t>
      </w:r>
    </w:p>
    <w:p w14:paraId="754B7D3F" w14:textId="77777777" w:rsidR="00157F17" w:rsidRPr="00840E13" w:rsidRDefault="00157F17" w:rsidP="00157F17">
      <w:pPr>
        <w:pStyle w:val="Paragraphedeliste"/>
        <w:ind w:left="0"/>
        <w:jc w:val="both"/>
        <w:rPr>
          <w:rFonts w:ascii="Times New Roman" w:hAnsi="Times New Roman" w:cs="Times New Roman"/>
          <w:sz w:val="24"/>
          <w:szCs w:val="24"/>
        </w:rPr>
      </w:pPr>
    </w:p>
    <w:p w14:paraId="6C10D2F8" w14:textId="77777777" w:rsidR="00157F17" w:rsidRPr="00840E13" w:rsidRDefault="00157F17" w:rsidP="000738D3">
      <w:pPr>
        <w:pStyle w:val="Titre3"/>
        <w:numPr>
          <w:ilvl w:val="0"/>
          <w:numId w:val="12"/>
        </w:numPr>
        <w:ind w:left="993"/>
        <w:rPr>
          <w:rFonts w:ascii="Times New Roman" w:hAnsi="Times New Roman" w:cs="Times New Roman"/>
          <w:sz w:val="24"/>
          <w:szCs w:val="24"/>
        </w:rPr>
      </w:pPr>
      <w:bookmarkStart w:id="145" w:name="_Toc516047995"/>
      <w:bookmarkStart w:id="146" w:name="_Toc518468083"/>
      <w:r w:rsidRPr="00840E13">
        <w:rPr>
          <w:rFonts w:ascii="Times New Roman" w:hAnsi="Times New Roman" w:cs="Times New Roman"/>
          <w:sz w:val="24"/>
          <w:szCs w:val="24"/>
        </w:rPr>
        <w:t>Secteur Minier</w:t>
      </w:r>
      <w:bookmarkEnd w:id="145"/>
      <w:bookmarkEnd w:id="146"/>
    </w:p>
    <w:p w14:paraId="5C7A6250" w14:textId="77777777" w:rsidR="00157F17" w:rsidRDefault="00157F17" w:rsidP="00D6058E">
      <w:pPr>
        <w:autoSpaceDE w:val="0"/>
        <w:autoSpaceDN w:val="0"/>
        <w:adjustRightInd w:val="0"/>
        <w:spacing w:line="276" w:lineRule="auto"/>
        <w:ind w:left="709"/>
        <w:jc w:val="both"/>
        <w:rPr>
          <w:rFonts w:ascii="Times New Roman" w:hAnsi="Times New Roman"/>
          <w:sz w:val="24"/>
          <w:szCs w:val="24"/>
        </w:rPr>
      </w:pPr>
      <w:r>
        <w:rPr>
          <w:rFonts w:ascii="Times New Roman" w:hAnsi="Times New Roman"/>
          <w:sz w:val="24"/>
          <w:szCs w:val="24"/>
        </w:rPr>
        <w:t>L</w:t>
      </w:r>
      <w:r w:rsidRPr="00840E13">
        <w:rPr>
          <w:rFonts w:ascii="Times New Roman" w:hAnsi="Times New Roman"/>
          <w:sz w:val="24"/>
          <w:szCs w:val="24"/>
        </w:rPr>
        <w:t>a Loi</w:t>
      </w:r>
      <w:r>
        <w:rPr>
          <w:rFonts w:ascii="Times New Roman" w:hAnsi="Times New Roman"/>
          <w:sz w:val="24"/>
          <w:szCs w:val="24"/>
        </w:rPr>
        <w:t xml:space="preserve"> n°</w:t>
      </w:r>
      <w:r w:rsidRPr="00840E13">
        <w:rPr>
          <w:rFonts w:ascii="Times New Roman" w:hAnsi="Times New Roman"/>
          <w:sz w:val="24"/>
          <w:szCs w:val="24"/>
        </w:rPr>
        <w:t>18/001 du 9 mars 2018 modifiant et complétant la Loi 007/002 du 11 juillet 2002 portant Code Minier a supprimé l’activité en ce qui concerne les opérateurs, mais a prévu la création d’un organisme spécialisé de recherches qui peut à tout moment procéder aux travaux de prospection et de recherches dans les zones d’exploitation artisanale</w:t>
      </w:r>
      <w:r w:rsidRPr="00840E13">
        <w:rPr>
          <w:rFonts w:ascii="Times New Roman" w:eastAsiaTheme="minorHAnsi" w:hAnsi="Times New Roman"/>
          <w:i/>
          <w:iCs/>
          <w:color w:val="000000"/>
          <w:sz w:val="24"/>
          <w:szCs w:val="24"/>
        </w:rPr>
        <w:t xml:space="preserve">.  </w:t>
      </w:r>
      <w:r w:rsidRPr="00840E13">
        <w:rPr>
          <w:rFonts w:ascii="Times New Roman" w:hAnsi="Times New Roman"/>
          <w:sz w:val="24"/>
          <w:szCs w:val="24"/>
        </w:rPr>
        <w:t>De son coté</w:t>
      </w:r>
      <w:r w:rsidRPr="00840E13">
        <w:rPr>
          <w:rFonts w:ascii="Times New Roman" w:eastAsiaTheme="minorHAnsi" w:hAnsi="Times New Roman"/>
          <w:iCs/>
          <w:color w:val="000000"/>
          <w:sz w:val="24"/>
          <w:szCs w:val="24"/>
        </w:rPr>
        <w:t xml:space="preserve">, </w:t>
      </w:r>
      <w:r w:rsidRPr="00840E13">
        <w:rPr>
          <w:rFonts w:ascii="Times New Roman" w:hAnsi="Times New Roman"/>
          <w:sz w:val="24"/>
          <w:szCs w:val="24"/>
        </w:rPr>
        <w:t xml:space="preserve">CAMI a indiqué  que </w:t>
      </w:r>
      <w:r w:rsidRPr="00840E13">
        <w:rPr>
          <w:rFonts w:ascii="Times New Roman" w:hAnsi="Times New Roman"/>
          <w:color w:val="333333"/>
          <w:sz w:val="24"/>
          <w:szCs w:val="24"/>
          <w:shd w:val="clear" w:color="auto" w:fill="FFFFFF"/>
        </w:rPr>
        <w:t xml:space="preserve"> </w:t>
      </w:r>
      <w:r w:rsidRPr="00840E13">
        <w:rPr>
          <w:rFonts w:ascii="Times New Roman" w:hAnsi="Times New Roman"/>
          <w:sz w:val="24"/>
          <w:szCs w:val="24"/>
        </w:rPr>
        <w:t>la prospection était radiée de ses actions depuis plus de 6 ans étant donné que tous les territoires de la RDC sont actuellement occupés par des droits miniers et de carrières. De ce fait, il n’y avait plus de places libres pour mener cette activité, chaque titulaire effectuant la recherche dans son périmètre.</w:t>
      </w:r>
    </w:p>
    <w:p w14:paraId="5E1A7865" w14:textId="77777777" w:rsidR="00157F17" w:rsidRDefault="00157F17" w:rsidP="00D6058E">
      <w:pPr>
        <w:autoSpaceDE w:val="0"/>
        <w:autoSpaceDN w:val="0"/>
        <w:adjustRightInd w:val="0"/>
        <w:spacing w:line="276" w:lineRule="auto"/>
        <w:ind w:left="709"/>
        <w:jc w:val="both"/>
        <w:rPr>
          <w:rFonts w:ascii="Times New Roman" w:hAnsi="Times New Roman"/>
          <w:sz w:val="24"/>
          <w:szCs w:val="24"/>
        </w:rPr>
      </w:pPr>
      <w:r>
        <w:rPr>
          <w:rFonts w:ascii="Times New Roman" w:hAnsi="Times New Roman"/>
          <w:sz w:val="24"/>
          <w:szCs w:val="24"/>
        </w:rPr>
        <w:lastRenderedPageBreak/>
        <w:t>Au regard de cette affirmation, il convient de s’interroger sur le sort des attestations de prospection valides au moment de la promulgation de la Loi.</w:t>
      </w:r>
    </w:p>
    <w:p w14:paraId="388992A8" w14:textId="77777777" w:rsidR="00157F17" w:rsidRPr="00491881" w:rsidRDefault="00157F17" w:rsidP="00157F17">
      <w:pPr>
        <w:pStyle w:val="Commentaire"/>
        <w:ind w:left="720"/>
        <w:rPr>
          <w:rFonts w:ascii="Times New Roman" w:hAnsi="Times New Roman"/>
          <w:sz w:val="24"/>
          <w:szCs w:val="24"/>
        </w:rPr>
      </w:pPr>
      <w:r w:rsidRPr="00491881">
        <w:rPr>
          <w:rFonts w:ascii="Times New Roman" w:hAnsi="Times New Roman"/>
          <w:sz w:val="24"/>
          <w:szCs w:val="24"/>
        </w:rPr>
        <w:t xml:space="preserve">Le code 2002 prévoyait l’octroi de l’attestation de prospection au demandeur. Celle-ci ne conférait aucun droit, encore moins un titre minier ou de carrière. Dans ce cadre, les EPE et même les entreprises privées  pouvaient elles-mêmes effectuer ces travaux ou les sous-traiter. </w:t>
      </w:r>
    </w:p>
    <w:p w14:paraId="10CC1A50" w14:textId="77777777" w:rsidR="00157F17" w:rsidRPr="00491881" w:rsidRDefault="00157F17" w:rsidP="00157F17">
      <w:pPr>
        <w:pStyle w:val="Commentaire"/>
        <w:ind w:left="720"/>
        <w:rPr>
          <w:rFonts w:ascii="Times New Roman" w:hAnsi="Times New Roman"/>
          <w:sz w:val="24"/>
          <w:szCs w:val="24"/>
        </w:rPr>
      </w:pPr>
      <w:r w:rsidRPr="00491881">
        <w:rPr>
          <w:rFonts w:ascii="Times New Roman" w:hAnsi="Times New Roman"/>
          <w:sz w:val="24"/>
          <w:szCs w:val="24"/>
        </w:rPr>
        <w:t xml:space="preserve">Avec le code tel que modifié et complété, les entreprises y compris les EPE devront tirer les conséquences de la suppression de l’activité de prospection.    </w:t>
      </w:r>
    </w:p>
    <w:p w14:paraId="011A3C65" w14:textId="77777777" w:rsidR="00157F17" w:rsidRPr="00491881" w:rsidRDefault="00157F17" w:rsidP="00157F17">
      <w:pPr>
        <w:autoSpaceDE w:val="0"/>
        <w:autoSpaceDN w:val="0"/>
        <w:adjustRightInd w:val="0"/>
        <w:spacing w:line="240" w:lineRule="auto"/>
        <w:ind w:left="709"/>
        <w:jc w:val="both"/>
        <w:rPr>
          <w:rFonts w:ascii="Times New Roman" w:hAnsi="Times New Roman"/>
          <w:sz w:val="24"/>
          <w:szCs w:val="24"/>
        </w:rPr>
      </w:pPr>
      <w:r w:rsidRPr="00491881">
        <w:rPr>
          <w:rFonts w:ascii="Times New Roman" w:hAnsi="Times New Roman"/>
          <w:sz w:val="24"/>
          <w:szCs w:val="24"/>
        </w:rPr>
        <w:t xml:space="preserve">  De toute évidence, juridiquement, toute attestation de prospection devient caduque avec l’adoption du code, tel que modifié et complété, d’autant plus que l’article 328 ne parle que des droits miniers et ou de carrière en instance à l’entrée en vigueur</w:t>
      </w:r>
      <w:r>
        <w:t>.</w:t>
      </w:r>
    </w:p>
    <w:p w14:paraId="668B8D2F" w14:textId="105E064F" w:rsidR="00157F17" w:rsidRDefault="00157F17" w:rsidP="00157F17">
      <w:pPr>
        <w:pStyle w:val="Paragraphedeliste"/>
        <w:spacing w:before="240"/>
        <w:ind w:left="709"/>
        <w:jc w:val="both"/>
        <w:rPr>
          <w:rFonts w:ascii="Times New Roman" w:hAnsi="Times New Roman" w:cs="Times New Roman"/>
          <w:sz w:val="24"/>
          <w:szCs w:val="24"/>
        </w:rPr>
      </w:pPr>
      <w:r>
        <w:rPr>
          <w:rFonts w:ascii="Times New Roman" w:hAnsi="Times New Roman" w:cs="Times New Roman"/>
          <w:sz w:val="24"/>
          <w:szCs w:val="24"/>
        </w:rPr>
        <w:t>De la lecture des Statuts</w:t>
      </w:r>
      <w:r w:rsidR="007C4E20">
        <w:rPr>
          <w:rFonts w:ascii="Times New Roman" w:hAnsi="Times New Roman" w:cs="Times New Roman"/>
          <w:sz w:val="24"/>
          <w:szCs w:val="24"/>
        </w:rPr>
        <w:t xml:space="preserve"> des Entreprises du Portefeuille de l’Etat (EPE),</w:t>
      </w:r>
      <w:r>
        <w:rPr>
          <w:rFonts w:ascii="Times New Roman" w:hAnsi="Times New Roman" w:cs="Times New Roman"/>
          <w:sz w:val="24"/>
          <w:szCs w:val="24"/>
        </w:rPr>
        <w:t xml:space="preserve"> </w:t>
      </w:r>
      <w:r w:rsidRPr="00840E13">
        <w:rPr>
          <w:rFonts w:ascii="Times New Roman" w:hAnsi="Times New Roman" w:cs="Times New Roman"/>
          <w:sz w:val="24"/>
          <w:szCs w:val="24"/>
        </w:rPr>
        <w:t xml:space="preserve">il </w:t>
      </w:r>
      <w:r>
        <w:rPr>
          <w:rFonts w:ascii="Times New Roman" w:hAnsi="Times New Roman" w:cs="Times New Roman"/>
          <w:sz w:val="24"/>
          <w:szCs w:val="24"/>
        </w:rPr>
        <w:t xml:space="preserve"> apparait  que la prospection est une de </w:t>
      </w:r>
      <w:r w:rsidRPr="00840E13">
        <w:rPr>
          <w:rFonts w:ascii="Times New Roman" w:hAnsi="Times New Roman" w:cs="Times New Roman"/>
          <w:sz w:val="24"/>
          <w:szCs w:val="24"/>
        </w:rPr>
        <w:t xml:space="preserve"> missions de la plupart engagées </w:t>
      </w:r>
      <w:r w:rsidR="007C4E20">
        <w:rPr>
          <w:rFonts w:ascii="Times New Roman" w:hAnsi="Times New Roman" w:cs="Times New Roman"/>
          <w:sz w:val="24"/>
          <w:szCs w:val="24"/>
        </w:rPr>
        <w:t xml:space="preserve"> de ces entreprises</w:t>
      </w:r>
      <w:r w:rsidRPr="00840E13">
        <w:rPr>
          <w:rFonts w:ascii="Times New Roman" w:hAnsi="Times New Roman" w:cs="Times New Roman"/>
          <w:sz w:val="24"/>
          <w:szCs w:val="24"/>
        </w:rPr>
        <w:t>.</w:t>
      </w:r>
    </w:p>
    <w:p w14:paraId="12B44182" w14:textId="77777777" w:rsidR="00157F17" w:rsidRPr="00840E13" w:rsidRDefault="00157F17" w:rsidP="00157F17">
      <w:pPr>
        <w:pStyle w:val="Paragraphedeliste"/>
        <w:spacing w:before="240"/>
        <w:ind w:left="709"/>
        <w:jc w:val="both"/>
        <w:rPr>
          <w:rFonts w:ascii="Times New Roman" w:hAnsi="Times New Roman" w:cs="Times New Roman"/>
          <w:sz w:val="24"/>
          <w:szCs w:val="24"/>
        </w:rPr>
      </w:pPr>
      <w:r w:rsidRPr="00840E13">
        <w:rPr>
          <w:rFonts w:ascii="Times New Roman" w:hAnsi="Times New Roman" w:cs="Times New Roman"/>
          <w:sz w:val="24"/>
          <w:szCs w:val="24"/>
        </w:rPr>
        <w:t xml:space="preserve"> </w:t>
      </w:r>
    </w:p>
    <w:p w14:paraId="2841D9B7" w14:textId="157EE6ED" w:rsidR="00157F17" w:rsidRPr="00840E13" w:rsidRDefault="00157F17" w:rsidP="00157F17">
      <w:pPr>
        <w:pStyle w:val="Paragraphedeliste"/>
        <w:spacing w:before="240"/>
        <w:ind w:left="709"/>
        <w:jc w:val="both"/>
        <w:rPr>
          <w:rFonts w:ascii="Times New Roman" w:hAnsi="Times New Roman" w:cs="Times New Roman"/>
          <w:sz w:val="24"/>
          <w:szCs w:val="24"/>
        </w:rPr>
      </w:pPr>
      <w:r>
        <w:rPr>
          <w:rFonts w:ascii="Times New Roman" w:hAnsi="Times New Roman" w:cs="Times New Roman"/>
          <w:sz w:val="24"/>
          <w:szCs w:val="24"/>
        </w:rPr>
        <w:t xml:space="preserve">C’est ainsi par exemple que </w:t>
      </w:r>
      <w:r w:rsidRPr="00840E13">
        <w:rPr>
          <w:rFonts w:ascii="Times New Roman" w:hAnsi="Times New Roman" w:cs="Times New Roman"/>
          <w:sz w:val="24"/>
          <w:szCs w:val="24"/>
        </w:rPr>
        <w:t xml:space="preserve"> de la GECAMINES</w:t>
      </w:r>
      <w:r w:rsidRPr="00840E13">
        <w:rPr>
          <w:rFonts w:ascii="Times New Roman" w:hAnsi="Times New Roman" w:cs="Times New Roman"/>
          <w:sz w:val="24"/>
          <w:szCs w:val="24"/>
          <w:vertAlign w:val="superscript"/>
        </w:rPr>
        <w:t>2</w:t>
      </w:r>
      <w:r w:rsidRPr="00840E13">
        <w:rPr>
          <w:rFonts w:ascii="Times New Roman" w:hAnsi="Times New Roman" w:cs="Times New Roman"/>
          <w:sz w:val="24"/>
          <w:szCs w:val="24"/>
        </w:rPr>
        <w:t xml:space="preserve"> </w:t>
      </w:r>
      <w:r>
        <w:rPr>
          <w:rFonts w:ascii="Times New Roman" w:hAnsi="Times New Roman" w:cs="Times New Roman"/>
          <w:sz w:val="24"/>
          <w:szCs w:val="24"/>
        </w:rPr>
        <w:t>renseigne</w:t>
      </w:r>
      <w:r w:rsidRPr="00840E13">
        <w:rPr>
          <w:rFonts w:ascii="Times New Roman" w:hAnsi="Times New Roman" w:cs="Times New Roman"/>
          <w:sz w:val="24"/>
          <w:szCs w:val="24"/>
        </w:rPr>
        <w:t xml:space="preserve"> qu’elle a mené</w:t>
      </w:r>
      <w:r>
        <w:rPr>
          <w:rFonts w:ascii="Times New Roman" w:hAnsi="Times New Roman" w:cs="Times New Roman"/>
          <w:sz w:val="24"/>
          <w:szCs w:val="24"/>
        </w:rPr>
        <w:t xml:space="preserve"> en 2016 </w:t>
      </w:r>
      <w:r w:rsidRPr="00840E13">
        <w:rPr>
          <w:rFonts w:ascii="Times New Roman" w:hAnsi="Times New Roman" w:cs="Times New Roman"/>
          <w:sz w:val="24"/>
          <w:szCs w:val="24"/>
        </w:rPr>
        <w:t xml:space="preserve"> la prospection dans le cadre du « projet de prospection GECAMINES/KCC à KINGAMYAMBO ». Cependant, </w:t>
      </w:r>
      <w:r>
        <w:rPr>
          <w:rFonts w:ascii="Times New Roman" w:hAnsi="Times New Roman" w:cs="Times New Roman"/>
          <w:sz w:val="24"/>
          <w:szCs w:val="24"/>
        </w:rPr>
        <w:t xml:space="preserve">nous n’avons pas reçu assez de détails </w:t>
      </w:r>
      <w:r w:rsidRPr="00840E13">
        <w:rPr>
          <w:rFonts w:ascii="Times New Roman" w:hAnsi="Times New Roman" w:cs="Times New Roman"/>
          <w:sz w:val="24"/>
          <w:szCs w:val="24"/>
        </w:rPr>
        <w:t xml:space="preserve"> pouvant nous permettre </w:t>
      </w:r>
      <w:r>
        <w:rPr>
          <w:rFonts w:ascii="Times New Roman" w:hAnsi="Times New Roman" w:cs="Times New Roman"/>
          <w:sz w:val="24"/>
          <w:szCs w:val="24"/>
        </w:rPr>
        <w:t xml:space="preserve"> de fonder la confirmation</w:t>
      </w:r>
      <w:r w:rsidRPr="00840E13">
        <w:rPr>
          <w:rFonts w:ascii="Times New Roman" w:hAnsi="Times New Roman" w:cs="Times New Roman"/>
          <w:sz w:val="24"/>
          <w:szCs w:val="24"/>
        </w:rPr>
        <w:t xml:space="preserve"> </w:t>
      </w:r>
      <w:r>
        <w:rPr>
          <w:rFonts w:ascii="Times New Roman" w:hAnsi="Times New Roman" w:cs="Times New Roman"/>
          <w:sz w:val="24"/>
          <w:szCs w:val="24"/>
        </w:rPr>
        <w:t xml:space="preserve"> l’exécution de ces  travaux.  </w:t>
      </w:r>
    </w:p>
    <w:p w14:paraId="014A11E2" w14:textId="6F0736AF" w:rsidR="00157F17" w:rsidRPr="00840E13" w:rsidRDefault="00157F17" w:rsidP="0054038F">
      <w:pPr>
        <w:pStyle w:val="Titre2"/>
        <w:rPr>
          <w:rFonts w:ascii="Times New Roman" w:hAnsi="Times New Roman" w:cs="Times New Roman"/>
          <w:sz w:val="24"/>
          <w:szCs w:val="24"/>
        </w:rPr>
      </w:pPr>
      <w:bookmarkStart w:id="147" w:name="_Toc516047996"/>
      <w:bookmarkStart w:id="148" w:name="_Toc518468084"/>
      <w:r>
        <w:rPr>
          <w:rFonts w:ascii="Times New Roman" w:hAnsi="Times New Roman" w:cs="Times New Roman"/>
          <w:sz w:val="24"/>
          <w:szCs w:val="24"/>
        </w:rPr>
        <w:t>V</w:t>
      </w:r>
      <w:r w:rsidR="0054038F">
        <w:rPr>
          <w:rFonts w:ascii="Times New Roman" w:hAnsi="Times New Roman" w:cs="Times New Roman"/>
          <w:sz w:val="24"/>
          <w:szCs w:val="24"/>
        </w:rPr>
        <w:t>I</w:t>
      </w:r>
      <w:r>
        <w:rPr>
          <w:rFonts w:ascii="Times New Roman" w:hAnsi="Times New Roman" w:cs="Times New Roman"/>
          <w:sz w:val="24"/>
          <w:szCs w:val="24"/>
        </w:rPr>
        <w:t xml:space="preserve">.2. </w:t>
      </w:r>
      <w:r w:rsidR="004920D7" w:rsidRPr="00840E13">
        <w:rPr>
          <w:rFonts w:ascii="Times New Roman" w:hAnsi="Times New Roman" w:cs="Times New Roman"/>
          <w:caps w:val="0"/>
          <w:sz w:val="24"/>
          <w:szCs w:val="24"/>
        </w:rPr>
        <w:t>Activité d’exploration</w:t>
      </w:r>
      <w:bookmarkEnd w:id="147"/>
      <w:bookmarkEnd w:id="148"/>
    </w:p>
    <w:p w14:paraId="119CBAC2" w14:textId="77777777" w:rsidR="00157F17" w:rsidRPr="00840E13" w:rsidRDefault="00157F17" w:rsidP="0054038F">
      <w:pPr>
        <w:pStyle w:val="Titre3"/>
        <w:numPr>
          <w:ilvl w:val="0"/>
          <w:numId w:val="13"/>
        </w:numPr>
        <w:ind w:left="993" w:hanging="283"/>
        <w:rPr>
          <w:rFonts w:ascii="Times New Roman" w:hAnsi="Times New Roman" w:cs="Times New Roman"/>
          <w:sz w:val="24"/>
          <w:szCs w:val="24"/>
        </w:rPr>
      </w:pPr>
      <w:bookmarkStart w:id="149" w:name="_Toc516047997"/>
      <w:bookmarkStart w:id="150" w:name="_Toc518468085"/>
      <w:r w:rsidRPr="00840E13">
        <w:rPr>
          <w:rFonts w:ascii="Times New Roman" w:hAnsi="Times New Roman" w:cs="Times New Roman"/>
          <w:sz w:val="24"/>
          <w:szCs w:val="24"/>
        </w:rPr>
        <w:t>Secteur pétrolier</w:t>
      </w:r>
      <w:bookmarkEnd w:id="149"/>
      <w:bookmarkEnd w:id="150"/>
    </w:p>
    <w:p w14:paraId="44B56C09" w14:textId="79574E76" w:rsidR="00157F17" w:rsidRPr="00840E13" w:rsidRDefault="007C4E20" w:rsidP="0054038F">
      <w:pPr>
        <w:ind w:left="709"/>
        <w:jc w:val="both"/>
        <w:rPr>
          <w:rFonts w:ascii="Times New Roman" w:hAnsi="Times New Roman"/>
          <w:sz w:val="24"/>
          <w:szCs w:val="24"/>
        </w:rPr>
      </w:pPr>
      <w:r>
        <w:rPr>
          <w:rFonts w:ascii="Times New Roman" w:hAnsi="Times New Roman"/>
          <w:sz w:val="24"/>
          <w:szCs w:val="24"/>
        </w:rPr>
        <w:t xml:space="preserve">Le </w:t>
      </w:r>
      <w:r w:rsidR="00157F17" w:rsidRPr="00840E13">
        <w:rPr>
          <w:rFonts w:ascii="Times New Roman" w:hAnsi="Times New Roman"/>
          <w:sz w:val="24"/>
          <w:szCs w:val="24"/>
        </w:rPr>
        <w:t xml:space="preserve">SGH </w:t>
      </w:r>
      <w:r>
        <w:rPr>
          <w:rFonts w:ascii="Times New Roman" w:hAnsi="Times New Roman"/>
          <w:sz w:val="24"/>
          <w:szCs w:val="24"/>
        </w:rPr>
        <w:t xml:space="preserve"> a transmis au Secrétariat Technique de l’ITIE (ST) un répertoire des titres qui a été </w:t>
      </w:r>
      <w:r w:rsidR="00157F17" w:rsidRPr="00840E13">
        <w:rPr>
          <w:rFonts w:ascii="Times New Roman" w:hAnsi="Times New Roman"/>
          <w:sz w:val="24"/>
          <w:szCs w:val="24"/>
        </w:rPr>
        <w:t>rapproché avec les déclarations des entreprises. Le résultat est contenu dans le tableau ci-dessous :</w:t>
      </w:r>
    </w:p>
    <w:tbl>
      <w:tblPr>
        <w:tblStyle w:val="TableauGrille1Clair1"/>
        <w:tblW w:w="4232" w:type="pct"/>
        <w:tblInd w:w="704" w:type="dxa"/>
        <w:tblLayout w:type="fixed"/>
        <w:tblLook w:val="04A0" w:firstRow="1" w:lastRow="0" w:firstColumn="1" w:lastColumn="0" w:noHBand="0" w:noVBand="1"/>
      </w:tblPr>
      <w:tblGrid>
        <w:gridCol w:w="2491"/>
        <w:gridCol w:w="1655"/>
        <w:gridCol w:w="1519"/>
        <w:gridCol w:w="1242"/>
        <w:gridCol w:w="1244"/>
      </w:tblGrid>
      <w:tr w:rsidR="00157F17" w:rsidRPr="00840E13" w14:paraId="2636D715" w14:textId="77777777" w:rsidTr="0054038F">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528" w:type="pct"/>
            <w:vAlign w:val="center"/>
            <w:hideMark/>
          </w:tcPr>
          <w:p w14:paraId="00A1D644" w14:textId="3D3FA38A" w:rsidR="00157F17" w:rsidRPr="00840E13" w:rsidRDefault="00157F17" w:rsidP="0054038F">
            <w:pPr>
              <w:ind w:left="-363" w:firstLine="363"/>
              <w:jc w:val="center"/>
              <w:rPr>
                <w:rFonts w:ascii="Times New Roman" w:eastAsia="Times New Roman" w:hAnsi="Times New Roman"/>
                <w:sz w:val="16"/>
                <w:szCs w:val="16"/>
                <w:lang w:eastAsia="fr-FR"/>
              </w:rPr>
            </w:pPr>
            <w:r w:rsidRPr="00840E13">
              <w:rPr>
                <w:rFonts w:ascii="Times New Roman" w:hAnsi="Times New Roman"/>
                <w:sz w:val="24"/>
                <w:szCs w:val="24"/>
              </w:rPr>
              <w:t xml:space="preserve"> </w:t>
            </w:r>
            <w:r w:rsidRPr="00840E13">
              <w:rPr>
                <w:rFonts w:ascii="Times New Roman" w:eastAsia="Times New Roman" w:hAnsi="Times New Roman"/>
                <w:sz w:val="16"/>
                <w:szCs w:val="16"/>
                <w:lang w:eastAsia="fr-FR"/>
              </w:rPr>
              <w:t>Association</w:t>
            </w:r>
          </w:p>
        </w:tc>
        <w:tc>
          <w:tcPr>
            <w:tcW w:w="1015" w:type="pct"/>
            <w:vAlign w:val="center"/>
            <w:hideMark/>
          </w:tcPr>
          <w:p w14:paraId="5BA597FD" w14:textId="77777777" w:rsidR="00157F17" w:rsidRPr="00840E13" w:rsidRDefault="00157F17" w:rsidP="00D6058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6"/>
                <w:szCs w:val="16"/>
                <w:lang w:eastAsia="fr-FR"/>
              </w:rPr>
            </w:pPr>
            <w:r w:rsidRPr="00840E13">
              <w:rPr>
                <w:rFonts w:ascii="Times New Roman" w:eastAsia="Times New Roman" w:hAnsi="Times New Roman"/>
                <w:sz w:val="16"/>
                <w:szCs w:val="16"/>
                <w:lang w:eastAsia="fr-FR"/>
              </w:rPr>
              <w:t>Opérateur</w:t>
            </w:r>
          </w:p>
        </w:tc>
        <w:tc>
          <w:tcPr>
            <w:tcW w:w="932" w:type="pct"/>
            <w:vAlign w:val="center"/>
            <w:hideMark/>
          </w:tcPr>
          <w:p w14:paraId="7AC4A1F8" w14:textId="77777777" w:rsidR="00157F17" w:rsidRPr="00840E13" w:rsidRDefault="00157F17" w:rsidP="00D6058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6"/>
                <w:szCs w:val="16"/>
                <w:lang w:eastAsia="fr-FR"/>
              </w:rPr>
            </w:pPr>
            <w:r w:rsidRPr="00840E13">
              <w:rPr>
                <w:rFonts w:ascii="Times New Roman" w:eastAsia="Times New Roman" w:hAnsi="Times New Roman"/>
                <w:sz w:val="16"/>
                <w:szCs w:val="16"/>
                <w:lang w:eastAsia="fr-FR"/>
              </w:rPr>
              <w:t>Bloc</w:t>
            </w:r>
          </w:p>
        </w:tc>
        <w:tc>
          <w:tcPr>
            <w:tcW w:w="762" w:type="pct"/>
            <w:vAlign w:val="center"/>
            <w:hideMark/>
          </w:tcPr>
          <w:p w14:paraId="6486A353" w14:textId="77777777" w:rsidR="00157F17" w:rsidRPr="00840E13" w:rsidRDefault="00157F17" w:rsidP="00D6058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6"/>
                <w:szCs w:val="16"/>
                <w:lang w:eastAsia="fr-FR"/>
              </w:rPr>
            </w:pPr>
            <w:r w:rsidRPr="00840E13">
              <w:rPr>
                <w:rFonts w:ascii="Times New Roman" w:eastAsia="Times New Roman" w:hAnsi="Times New Roman"/>
                <w:sz w:val="16"/>
                <w:szCs w:val="16"/>
                <w:lang w:eastAsia="fr-FR"/>
              </w:rPr>
              <w:t>Type de contrat</w:t>
            </w:r>
          </w:p>
        </w:tc>
        <w:tc>
          <w:tcPr>
            <w:tcW w:w="763" w:type="pct"/>
            <w:vAlign w:val="center"/>
            <w:hideMark/>
          </w:tcPr>
          <w:p w14:paraId="1C34874A" w14:textId="77777777" w:rsidR="00157F17" w:rsidRPr="00840E13" w:rsidRDefault="00157F17" w:rsidP="00D6058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6"/>
                <w:szCs w:val="16"/>
                <w:lang w:eastAsia="fr-FR"/>
              </w:rPr>
            </w:pPr>
            <w:r w:rsidRPr="00840E13">
              <w:rPr>
                <w:rFonts w:ascii="Times New Roman" w:eastAsia="Times New Roman" w:hAnsi="Times New Roman"/>
                <w:sz w:val="16"/>
                <w:szCs w:val="16"/>
                <w:lang w:eastAsia="fr-FR"/>
              </w:rPr>
              <w:t>Localisation</w:t>
            </w:r>
          </w:p>
        </w:tc>
      </w:tr>
      <w:tr w:rsidR="00157F17" w:rsidRPr="00840E13" w14:paraId="10B27B0F" w14:textId="77777777" w:rsidTr="0054038F">
        <w:trPr>
          <w:trHeight w:val="372"/>
        </w:trPr>
        <w:tc>
          <w:tcPr>
            <w:cnfStyle w:val="001000000000" w:firstRow="0" w:lastRow="0" w:firstColumn="1" w:lastColumn="0" w:oddVBand="0" w:evenVBand="0" w:oddHBand="0" w:evenHBand="0" w:firstRowFirstColumn="0" w:firstRowLastColumn="0" w:lastRowFirstColumn="0" w:lastRowLastColumn="0"/>
            <w:tcW w:w="1528" w:type="pct"/>
            <w:noWrap/>
            <w:hideMark/>
          </w:tcPr>
          <w:p w14:paraId="20E6191F" w14:textId="77777777" w:rsidR="00157F17" w:rsidRPr="00840E13" w:rsidRDefault="00157F17" w:rsidP="00E4464E">
            <w:pPr>
              <w:rPr>
                <w:rFonts w:ascii="Times New Roman" w:eastAsia="Times New Roman" w:hAnsi="Times New Roman"/>
                <w:b w:val="0"/>
                <w:color w:val="000000"/>
                <w:sz w:val="16"/>
                <w:szCs w:val="16"/>
                <w:lang w:eastAsia="fr-FR"/>
              </w:rPr>
            </w:pPr>
            <w:r w:rsidRPr="00840E13">
              <w:rPr>
                <w:rFonts w:ascii="Times New Roman" w:eastAsia="Times New Roman" w:hAnsi="Times New Roman"/>
                <w:b w:val="0"/>
                <w:color w:val="000000"/>
                <w:sz w:val="16"/>
                <w:szCs w:val="16"/>
                <w:lang w:eastAsia="fr-FR"/>
              </w:rPr>
              <w:t>SURESTREAM-SOGEMIP-SONAHYDROC</w:t>
            </w:r>
          </w:p>
        </w:tc>
        <w:tc>
          <w:tcPr>
            <w:tcW w:w="1015" w:type="pct"/>
            <w:noWrap/>
            <w:hideMark/>
          </w:tcPr>
          <w:p w14:paraId="365E8198"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SURESTREAM</w:t>
            </w:r>
          </w:p>
        </w:tc>
        <w:tc>
          <w:tcPr>
            <w:tcW w:w="932" w:type="pct"/>
            <w:hideMark/>
          </w:tcPr>
          <w:p w14:paraId="629E7B0F"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proofErr w:type="spellStart"/>
            <w:r w:rsidRPr="00840E13">
              <w:rPr>
                <w:rFonts w:ascii="Times New Roman" w:eastAsia="Times New Roman" w:hAnsi="Times New Roman"/>
                <w:color w:val="000000"/>
                <w:sz w:val="16"/>
                <w:szCs w:val="16"/>
                <w:lang w:eastAsia="fr-FR"/>
              </w:rPr>
              <w:t>Yema</w:t>
            </w:r>
            <w:proofErr w:type="spellEnd"/>
            <w:r w:rsidRPr="00840E13">
              <w:rPr>
                <w:rFonts w:ascii="Times New Roman" w:eastAsia="Times New Roman" w:hAnsi="Times New Roman"/>
                <w:color w:val="000000"/>
                <w:sz w:val="16"/>
                <w:szCs w:val="16"/>
                <w:lang w:eastAsia="fr-FR"/>
              </w:rPr>
              <w:t xml:space="preserve"> </w:t>
            </w:r>
            <w:proofErr w:type="spellStart"/>
            <w:r w:rsidRPr="00840E13">
              <w:rPr>
                <w:rFonts w:ascii="Times New Roman" w:eastAsia="Times New Roman" w:hAnsi="Times New Roman"/>
                <w:color w:val="000000"/>
                <w:sz w:val="16"/>
                <w:szCs w:val="16"/>
                <w:lang w:eastAsia="fr-FR"/>
              </w:rPr>
              <w:t>Matamba</w:t>
            </w:r>
            <w:proofErr w:type="spellEnd"/>
            <w:r w:rsidRPr="00840E13">
              <w:rPr>
                <w:rFonts w:ascii="Times New Roman" w:eastAsia="Times New Roman" w:hAnsi="Times New Roman"/>
                <w:color w:val="000000"/>
                <w:sz w:val="16"/>
                <w:szCs w:val="16"/>
                <w:lang w:eastAsia="fr-FR"/>
              </w:rPr>
              <w:t xml:space="preserve"> </w:t>
            </w:r>
            <w:proofErr w:type="spellStart"/>
            <w:r w:rsidRPr="00840E13">
              <w:rPr>
                <w:rFonts w:ascii="Times New Roman" w:eastAsia="Times New Roman" w:hAnsi="Times New Roman"/>
                <w:color w:val="000000"/>
                <w:sz w:val="16"/>
                <w:szCs w:val="16"/>
                <w:lang w:eastAsia="fr-FR"/>
              </w:rPr>
              <w:t>Makanzi</w:t>
            </w:r>
            <w:proofErr w:type="spellEnd"/>
          </w:p>
          <w:p w14:paraId="74E3DC4B"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p>
        </w:tc>
        <w:tc>
          <w:tcPr>
            <w:tcW w:w="762" w:type="pct"/>
            <w:noWrap/>
            <w:hideMark/>
          </w:tcPr>
          <w:p w14:paraId="64870E06"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CPP</w:t>
            </w:r>
          </w:p>
        </w:tc>
        <w:tc>
          <w:tcPr>
            <w:tcW w:w="763" w:type="pct"/>
            <w:noWrap/>
            <w:hideMark/>
          </w:tcPr>
          <w:p w14:paraId="2C31E1DC"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Kongo Central</w:t>
            </w:r>
          </w:p>
        </w:tc>
      </w:tr>
      <w:tr w:rsidR="00157F17" w:rsidRPr="00840E13" w14:paraId="7E3F00AA" w14:textId="77777777" w:rsidTr="0054038F">
        <w:trPr>
          <w:trHeight w:val="372"/>
        </w:trPr>
        <w:tc>
          <w:tcPr>
            <w:cnfStyle w:val="001000000000" w:firstRow="0" w:lastRow="0" w:firstColumn="1" w:lastColumn="0" w:oddVBand="0" w:evenVBand="0" w:oddHBand="0" w:evenHBand="0" w:firstRowFirstColumn="0" w:firstRowLastColumn="0" w:lastRowFirstColumn="0" w:lastRowLastColumn="0"/>
            <w:tcW w:w="1528" w:type="pct"/>
            <w:noWrap/>
          </w:tcPr>
          <w:p w14:paraId="2A27A287" w14:textId="77777777" w:rsidR="00157F17" w:rsidRPr="00840E13" w:rsidRDefault="00157F17" w:rsidP="00E4464E">
            <w:pPr>
              <w:rPr>
                <w:rFonts w:ascii="Times New Roman" w:eastAsia="Times New Roman" w:hAnsi="Times New Roman"/>
                <w:b w:val="0"/>
                <w:color w:val="000000"/>
                <w:sz w:val="16"/>
                <w:szCs w:val="16"/>
                <w:lang w:eastAsia="fr-FR"/>
              </w:rPr>
            </w:pPr>
            <w:r w:rsidRPr="00840E13">
              <w:rPr>
                <w:rFonts w:ascii="Times New Roman" w:eastAsia="Times New Roman" w:hAnsi="Times New Roman"/>
                <w:b w:val="0"/>
                <w:color w:val="000000"/>
                <w:sz w:val="16"/>
                <w:szCs w:val="16"/>
                <w:lang w:eastAsia="fr-FR"/>
              </w:rPr>
              <w:t>SURESTREAM -SONAHYDROC</w:t>
            </w:r>
          </w:p>
        </w:tc>
        <w:tc>
          <w:tcPr>
            <w:tcW w:w="1015" w:type="pct"/>
            <w:noWrap/>
          </w:tcPr>
          <w:p w14:paraId="4D92D1BC"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SURESTREAM</w:t>
            </w:r>
          </w:p>
        </w:tc>
        <w:tc>
          <w:tcPr>
            <w:tcW w:w="932" w:type="pct"/>
          </w:tcPr>
          <w:p w14:paraId="1484F816"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proofErr w:type="spellStart"/>
            <w:r w:rsidRPr="00840E13">
              <w:rPr>
                <w:rFonts w:ascii="Times New Roman" w:eastAsia="Times New Roman" w:hAnsi="Times New Roman"/>
                <w:color w:val="000000"/>
                <w:sz w:val="16"/>
                <w:szCs w:val="16"/>
                <w:lang w:eastAsia="fr-FR"/>
              </w:rPr>
              <w:t>Ndunda</w:t>
            </w:r>
            <w:proofErr w:type="spellEnd"/>
          </w:p>
        </w:tc>
        <w:tc>
          <w:tcPr>
            <w:tcW w:w="762" w:type="pct"/>
            <w:noWrap/>
          </w:tcPr>
          <w:p w14:paraId="4C2E0EDA"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CPP</w:t>
            </w:r>
          </w:p>
        </w:tc>
        <w:tc>
          <w:tcPr>
            <w:tcW w:w="763" w:type="pct"/>
            <w:noWrap/>
          </w:tcPr>
          <w:p w14:paraId="1DFC9724"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Kongo Central</w:t>
            </w:r>
          </w:p>
        </w:tc>
      </w:tr>
      <w:tr w:rsidR="00157F17" w:rsidRPr="00840E13" w14:paraId="00726384" w14:textId="77777777" w:rsidTr="0054038F">
        <w:trPr>
          <w:trHeight w:val="372"/>
        </w:trPr>
        <w:tc>
          <w:tcPr>
            <w:cnfStyle w:val="001000000000" w:firstRow="0" w:lastRow="0" w:firstColumn="1" w:lastColumn="0" w:oddVBand="0" w:evenVBand="0" w:oddHBand="0" w:evenHBand="0" w:firstRowFirstColumn="0" w:firstRowLastColumn="0" w:lastRowFirstColumn="0" w:lastRowLastColumn="0"/>
            <w:tcW w:w="1528" w:type="pct"/>
            <w:noWrap/>
            <w:hideMark/>
          </w:tcPr>
          <w:p w14:paraId="520969A0" w14:textId="77777777" w:rsidR="00157F17" w:rsidRPr="00840E13" w:rsidRDefault="00157F17" w:rsidP="00E4464E">
            <w:pPr>
              <w:rPr>
                <w:rFonts w:ascii="Times New Roman" w:eastAsia="Times New Roman" w:hAnsi="Times New Roman"/>
                <w:b w:val="0"/>
                <w:color w:val="000000"/>
                <w:sz w:val="16"/>
                <w:szCs w:val="16"/>
                <w:lang w:eastAsia="fr-FR"/>
              </w:rPr>
            </w:pPr>
            <w:r w:rsidRPr="00840E13">
              <w:rPr>
                <w:rFonts w:ascii="Times New Roman" w:eastAsia="Times New Roman" w:hAnsi="Times New Roman"/>
                <w:b w:val="0"/>
                <w:color w:val="000000"/>
                <w:sz w:val="16"/>
                <w:szCs w:val="16"/>
                <w:lang w:eastAsia="fr-FR"/>
              </w:rPr>
              <w:t>ENEGULF -SONAHYDROC</w:t>
            </w:r>
          </w:p>
        </w:tc>
        <w:tc>
          <w:tcPr>
            <w:tcW w:w="1015" w:type="pct"/>
            <w:noWrap/>
            <w:hideMark/>
          </w:tcPr>
          <w:p w14:paraId="4E26004E"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ENERGULF</w:t>
            </w:r>
          </w:p>
        </w:tc>
        <w:tc>
          <w:tcPr>
            <w:tcW w:w="932" w:type="pct"/>
            <w:noWrap/>
            <w:hideMark/>
          </w:tcPr>
          <w:p w14:paraId="22E6A0BB"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proofErr w:type="spellStart"/>
            <w:r w:rsidRPr="00840E13">
              <w:rPr>
                <w:rFonts w:ascii="Times New Roman" w:eastAsia="Times New Roman" w:hAnsi="Times New Roman"/>
                <w:color w:val="000000"/>
                <w:sz w:val="16"/>
                <w:szCs w:val="16"/>
                <w:lang w:eastAsia="fr-FR"/>
              </w:rPr>
              <w:t>Lotshi</w:t>
            </w:r>
            <w:proofErr w:type="spellEnd"/>
          </w:p>
        </w:tc>
        <w:tc>
          <w:tcPr>
            <w:tcW w:w="762" w:type="pct"/>
            <w:noWrap/>
            <w:hideMark/>
          </w:tcPr>
          <w:p w14:paraId="04B0EB19"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CPP</w:t>
            </w:r>
          </w:p>
        </w:tc>
        <w:tc>
          <w:tcPr>
            <w:tcW w:w="763" w:type="pct"/>
            <w:noWrap/>
            <w:hideMark/>
          </w:tcPr>
          <w:p w14:paraId="1237C44C"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Kongo Central</w:t>
            </w:r>
          </w:p>
        </w:tc>
      </w:tr>
      <w:tr w:rsidR="00157F17" w:rsidRPr="00840E13" w14:paraId="41BB48A9" w14:textId="77777777" w:rsidTr="0054038F">
        <w:trPr>
          <w:trHeight w:val="372"/>
        </w:trPr>
        <w:tc>
          <w:tcPr>
            <w:cnfStyle w:val="001000000000" w:firstRow="0" w:lastRow="0" w:firstColumn="1" w:lastColumn="0" w:oddVBand="0" w:evenVBand="0" w:oddHBand="0" w:evenHBand="0" w:firstRowFirstColumn="0" w:firstRowLastColumn="0" w:lastRowFirstColumn="0" w:lastRowLastColumn="0"/>
            <w:tcW w:w="1528" w:type="pct"/>
            <w:noWrap/>
            <w:hideMark/>
          </w:tcPr>
          <w:p w14:paraId="3F607281" w14:textId="77777777" w:rsidR="00157F17" w:rsidRPr="00840E13" w:rsidRDefault="00157F17" w:rsidP="00E4464E">
            <w:pPr>
              <w:rPr>
                <w:rFonts w:ascii="Times New Roman" w:eastAsia="Times New Roman" w:hAnsi="Times New Roman"/>
                <w:b w:val="0"/>
                <w:color w:val="000000"/>
                <w:sz w:val="16"/>
                <w:szCs w:val="16"/>
                <w:lang w:eastAsia="fr-FR"/>
              </w:rPr>
            </w:pPr>
            <w:r w:rsidRPr="00840E13">
              <w:rPr>
                <w:rFonts w:ascii="Times New Roman" w:eastAsia="Times New Roman" w:hAnsi="Times New Roman"/>
                <w:b w:val="0"/>
                <w:color w:val="000000"/>
                <w:sz w:val="16"/>
                <w:szCs w:val="16"/>
                <w:lang w:eastAsia="fr-FR"/>
              </w:rPr>
              <w:t>TOTAL E&amp;P RDC</w:t>
            </w:r>
          </w:p>
        </w:tc>
        <w:tc>
          <w:tcPr>
            <w:tcW w:w="1015" w:type="pct"/>
            <w:noWrap/>
            <w:hideMark/>
          </w:tcPr>
          <w:p w14:paraId="72159780"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TOTAL E&amp;P RDC</w:t>
            </w:r>
          </w:p>
        </w:tc>
        <w:tc>
          <w:tcPr>
            <w:tcW w:w="932" w:type="pct"/>
            <w:noWrap/>
            <w:hideMark/>
          </w:tcPr>
          <w:p w14:paraId="41621099"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III</w:t>
            </w:r>
          </w:p>
        </w:tc>
        <w:tc>
          <w:tcPr>
            <w:tcW w:w="762" w:type="pct"/>
            <w:noWrap/>
            <w:hideMark/>
          </w:tcPr>
          <w:p w14:paraId="6A23843D"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CPP</w:t>
            </w:r>
          </w:p>
        </w:tc>
        <w:tc>
          <w:tcPr>
            <w:tcW w:w="763" w:type="pct"/>
            <w:noWrap/>
            <w:hideMark/>
          </w:tcPr>
          <w:p w14:paraId="6F94FD03"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proofErr w:type="spellStart"/>
            <w:r w:rsidRPr="00840E13">
              <w:rPr>
                <w:rFonts w:ascii="Times New Roman" w:eastAsia="Times New Roman" w:hAnsi="Times New Roman"/>
                <w:color w:val="000000"/>
                <w:sz w:val="16"/>
                <w:szCs w:val="16"/>
                <w:lang w:eastAsia="fr-FR"/>
              </w:rPr>
              <w:t>Ituri</w:t>
            </w:r>
            <w:proofErr w:type="spellEnd"/>
          </w:p>
        </w:tc>
      </w:tr>
      <w:tr w:rsidR="00157F17" w:rsidRPr="00840E13" w14:paraId="5A3C9602" w14:textId="77777777" w:rsidTr="0054038F">
        <w:trPr>
          <w:trHeight w:val="372"/>
        </w:trPr>
        <w:tc>
          <w:tcPr>
            <w:cnfStyle w:val="001000000000" w:firstRow="0" w:lastRow="0" w:firstColumn="1" w:lastColumn="0" w:oddVBand="0" w:evenVBand="0" w:oddHBand="0" w:evenHBand="0" w:firstRowFirstColumn="0" w:firstRowLastColumn="0" w:lastRowFirstColumn="0" w:lastRowLastColumn="0"/>
            <w:tcW w:w="1528" w:type="pct"/>
            <w:noWrap/>
            <w:hideMark/>
          </w:tcPr>
          <w:p w14:paraId="48DF5CE0" w14:textId="77777777" w:rsidR="00157F17" w:rsidRPr="00840E13" w:rsidRDefault="00157F17" w:rsidP="00E4464E">
            <w:pPr>
              <w:rPr>
                <w:rFonts w:ascii="Times New Roman" w:eastAsia="Times New Roman" w:hAnsi="Times New Roman"/>
                <w:b w:val="0"/>
                <w:color w:val="000000"/>
                <w:sz w:val="16"/>
                <w:szCs w:val="16"/>
                <w:lang w:eastAsia="fr-FR"/>
              </w:rPr>
            </w:pPr>
            <w:r w:rsidRPr="00840E13">
              <w:rPr>
                <w:rFonts w:ascii="Times New Roman" w:eastAsia="Times New Roman" w:hAnsi="Times New Roman"/>
                <w:b w:val="0"/>
                <w:color w:val="000000"/>
                <w:sz w:val="16"/>
                <w:szCs w:val="16"/>
                <w:lang w:eastAsia="fr-FR"/>
              </w:rPr>
              <w:t>FOXWELP&amp;CAPRIKAT</w:t>
            </w:r>
          </w:p>
        </w:tc>
        <w:tc>
          <w:tcPr>
            <w:tcW w:w="1015" w:type="pct"/>
            <w:noWrap/>
            <w:hideMark/>
          </w:tcPr>
          <w:p w14:paraId="3BFAE347"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OIL OF DRC</w:t>
            </w:r>
          </w:p>
        </w:tc>
        <w:tc>
          <w:tcPr>
            <w:tcW w:w="932" w:type="pct"/>
            <w:noWrap/>
            <w:hideMark/>
          </w:tcPr>
          <w:p w14:paraId="22EDF5D5"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I &amp;II</w:t>
            </w:r>
          </w:p>
        </w:tc>
        <w:tc>
          <w:tcPr>
            <w:tcW w:w="762" w:type="pct"/>
            <w:noWrap/>
            <w:hideMark/>
          </w:tcPr>
          <w:p w14:paraId="1DFCBA75"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CPP</w:t>
            </w:r>
          </w:p>
        </w:tc>
        <w:tc>
          <w:tcPr>
            <w:tcW w:w="763" w:type="pct"/>
            <w:noWrap/>
            <w:hideMark/>
          </w:tcPr>
          <w:p w14:paraId="0389D853"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proofErr w:type="spellStart"/>
            <w:r w:rsidRPr="00840E13">
              <w:rPr>
                <w:rFonts w:ascii="Times New Roman" w:eastAsia="Times New Roman" w:hAnsi="Times New Roman"/>
                <w:color w:val="000000"/>
                <w:sz w:val="16"/>
                <w:szCs w:val="16"/>
                <w:lang w:eastAsia="fr-FR"/>
              </w:rPr>
              <w:t>Ituri</w:t>
            </w:r>
            <w:proofErr w:type="spellEnd"/>
          </w:p>
        </w:tc>
      </w:tr>
    </w:tbl>
    <w:p w14:paraId="6153AADC" w14:textId="77777777" w:rsidR="00157F17" w:rsidRPr="00840E13" w:rsidRDefault="00157F17" w:rsidP="00157F17">
      <w:pPr>
        <w:jc w:val="both"/>
        <w:rPr>
          <w:rFonts w:ascii="Times New Roman" w:hAnsi="Times New Roman"/>
          <w:sz w:val="28"/>
          <w:szCs w:val="28"/>
        </w:rPr>
      </w:pPr>
    </w:p>
    <w:p w14:paraId="61CE957C" w14:textId="77777777" w:rsidR="00157F17" w:rsidRPr="00840E13" w:rsidRDefault="00157F17" w:rsidP="00157F17">
      <w:pPr>
        <w:ind w:left="851"/>
        <w:jc w:val="both"/>
        <w:rPr>
          <w:rFonts w:ascii="Times New Roman" w:hAnsi="Times New Roman"/>
          <w:sz w:val="24"/>
          <w:szCs w:val="24"/>
        </w:rPr>
      </w:pPr>
      <w:r w:rsidRPr="00840E13">
        <w:rPr>
          <w:rFonts w:ascii="Times New Roman" w:hAnsi="Times New Roman"/>
          <w:sz w:val="24"/>
          <w:szCs w:val="24"/>
        </w:rPr>
        <w:t xml:space="preserve">L’entreprise Engineering </w:t>
      </w:r>
      <w:proofErr w:type="spellStart"/>
      <w:r w:rsidRPr="00840E13">
        <w:rPr>
          <w:rFonts w:ascii="Times New Roman" w:hAnsi="Times New Roman"/>
          <w:sz w:val="24"/>
          <w:szCs w:val="24"/>
        </w:rPr>
        <w:t>Procurement</w:t>
      </w:r>
      <w:proofErr w:type="spellEnd"/>
      <w:r w:rsidRPr="00840E13">
        <w:rPr>
          <w:rFonts w:ascii="Times New Roman" w:hAnsi="Times New Roman"/>
          <w:sz w:val="24"/>
          <w:szCs w:val="24"/>
        </w:rPr>
        <w:t xml:space="preserve"> and Project Management (EPPM)  a été sélectionnée, après une procédure d’appel d’offres, pour exploiter le gaz méthane dans le lac Kivu qui sera utilisé pour la production de l’électricité  à distribuer par la Société Nationale de l’Electricité. </w:t>
      </w:r>
    </w:p>
    <w:p w14:paraId="4D498E89" w14:textId="58594427" w:rsidR="00157F17" w:rsidRPr="00840E13" w:rsidRDefault="00157F17" w:rsidP="00157F17">
      <w:pPr>
        <w:ind w:left="851"/>
        <w:jc w:val="both"/>
        <w:rPr>
          <w:rFonts w:ascii="Times New Roman" w:hAnsi="Times New Roman"/>
          <w:sz w:val="24"/>
          <w:szCs w:val="24"/>
        </w:rPr>
      </w:pPr>
      <w:r w:rsidRPr="00840E13">
        <w:rPr>
          <w:rFonts w:ascii="Times New Roman" w:hAnsi="Times New Roman"/>
          <w:sz w:val="24"/>
          <w:szCs w:val="24"/>
        </w:rPr>
        <w:t xml:space="preserve">Par ailleurs, le CPP de COMICO a été approuvé par ordonnance présidentielle.  Les contrats respectifs ont été communiqués au Secrétariat Technique et sont disponibles sur le </w:t>
      </w:r>
      <w:r w:rsidR="00400A0D">
        <w:rPr>
          <w:rFonts w:ascii="Times New Roman" w:hAnsi="Times New Roman"/>
          <w:sz w:val="24"/>
          <w:szCs w:val="24"/>
        </w:rPr>
        <w:t>de l’ITIE-RDC.</w:t>
      </w:r>
      <w:r w:rsidRPr="00840E13">
        <w:rPr>
          <w:rFonts w:ascii="Times New Roman" w:hAnsi="Times New Roman"/>
          <w:sz w:val="24"/>
          <w:szCs w:val="24"/>
        </w:rPr>
        <w:t xml:space="preserve"> </w:t>
      </w:r>
    </w:p>
    <w:p w14:paraId="19EE0B78" w14:textId="77777777" w:rsidR="00157F17" w:rsidRPr="00840E13" w:rsidRDefault="00157F17" w:rsidP="00157F17">
      <w:pPr>
        <w:ind w:left="851"/>
        <w:jc w:val="both"/>
        <w:rPr>
          <w:rFonts w:ascii="Times New Roman" w:hAnsi="Times New Roman"/>
          <w:sz w:val="24"/>
          <w:szCs w:val="24"/>
        </w:rPr>
      </w:pPr>
      <w:r w:rsidRPr="00840E13">
        <w:rPr>
          <w:rFonts w:ascii="Times New Roman" w:hAnsi="Times New Roman"/>
          <w:sz w:val="24"/>
          <w:szCs w:val="24"/>
        </w:rPr>
        <w:lastRenderedPageBreak/>
        <w:t>Au sujet des rése</w:t>
      </w:r>
      <w:r>
        <w:rPr>
          <w:rFonts w:ascii="Times New Roman" w:hAnsi="Times New Roman"/>
          <w:sz w:val="24"/>
          <w:szCs w:val="24"/>
        </w:rPr>
        <w:t xml:space="preserve">rves des champs en exploration, le SGH a affirmé que l’information sera disponible à l’issue de la certification des  réserves en cours de réalisation. </w:t>
      </w:r>
    </w:p>
    <w:p w14:paraId="5C3AAB12" w14:textId="77777777" w:rsidR="00157F17" w:rsidRPr="00840E13" w:rsidRDefault="00157F17" w:rsidP="000738D3">
      <w:pPr>
        <w:pStyle w:val="Titre3"/>
        <w:numPr>
          <w:ilvl w:val="0"/>
          <w:numId w:val="13"/>
        </w:numPr>
        <w:ind w:left="1134" w:hanging="283"/>
        <w:rPr>
          <w:rFonts w:ascii="Times New Roman" w:hAnsi="Times New Roman" w:cs="Times New Roman"/>
          <w:sz w:val="24"/>
          <w:szCs w:val="24"/>
        </w:rPr>
      </w:pPr>
      <w:bookmarkStart w:id="151" w:name="_Toc516047998"/>
      <w:bookmarkStart w:id="152" w:name="_Toc518468086"/>
      <w:r w:rsidRPr="00840E13">
        <w:rPr>
          <w:rFonts w:ascii="Times New Roman" w:hAnsi="Times New Roman" w:cs="Times New Roman"/>
          <w:sz w:val="24"/>
          <w:szCs w:val="24"/>
        </w:rPr>
        <w:t>Secteur Minier</w:t>
      </w:r>
      <w:bookmarkEnd w:id="151"/>
      <w:bookmarkEnd w:id="152"/>
    </w:p>
    <w:tbl>
      <w:tblPr>
        <w:tblStyle w:val="TableauGrille1Clair1"/>
        <w:tblpPr w:leftFromText="141" w:rightFromText="141" w:vertAnchor="text" w:horzAnchor="margin" w:tblpXSpec="center" w:tblpY="1048"/>
        <w:tblW w:w="0" w:type="auto"/>
        <w:tblLook w:val="04A0" w:firstRow="1" w:lastRow="0" w:firstColumn="1" w:lastColumn="0" w:noHBand="0" w:noVBand="1"/>
      </w:tblPr>
      <w:tblGrid>
        <w:gridCol w:w="3815"/>
        <w:gridCol w:w="1690"/>
        <w:gridCol w:w="2431"/>
      </w:tblGrid>
      <w:tr w:rsidR="00157F17" w:rsidRPr="00840E13" w14:paraId="483A29D7" w14:textId="77777777" w:rsidTr="00002ED3">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51C1BF62" w14:textId="77777777" w:rsidR="00157F17" w:rsidRPr="00840E13" w:rsidRDefault="00157F17" w:rsidP="00002ED3">
            <w:pPr>
              <w:ind w:left="313"/>
              <w:jc w:val="center"/>
              <w:rPr>
                <w:rFonts w:ascii="Times New Roman" w:eastAsia="Times New Roman" w:hAnsi="Times New Roman"/>
                <w:b w:val="0"/>
                <w:bCs w:val="0"/>
                <w:sz w:val="28"/>
                <w:szCs w:val="28"/>
                <w:lang w:eastAsia="fr-FR"/>
              </w:rPr>
            </w:pPr>
            <w:r w:rsidRPr="00840E13">
              <w:rPr>
                <w:rFonts w:ascii="Times New Roman" w:eastAsia="Times New Roman" w:hAnsi="Times New Roman"/>
                <w:sz w:val="28"/>
                <w:szCs w:val="28"/>
                <w:lang w:eastAsia="fr-FR"/>
              </w:rPr>
              <w:t>Libellés</w:t>
            </w:r>
          </w:p>
        </w:tc>
        <w:tc>
          <w:tcPr>
            <w:tcW w:w="4121" w:type="dxa"/>
            <w:gridSpan w:val="2"/>
            <w:vAlign w:val="center"/>
            <w:hideMark/>
          </w:tcPr>
          <w:p w14:paraId="10D7F762" w14:textId="77777777" w:rsidR="00157F17" w:rsidRPr="00840E13" w:rsidRDefault="00157F17" w:rsidP="00002ED3">
            <w:pPr>
              <w:ind w:left="34"/>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28"/>
                <w:szCs w:val="28"/>
                <w:lang w:eastAsia="fr-FR"/>
              </w:rPr>
            </w:pPr>
            <w:r w:rsidRPr="00840E13">
              <w:rPr>
                <w:rFonts w:ascii="Times New Roman" w:eastAsia="Times New Roman" w:hAnsi="Times New Roman"/>
                <w:sz w:val="28"/>
                <w:szCs w:val="28"/>
                <w:lang w:eastAsia="fr-FR"/>
              </w:rPr>
              <w:t>Exercices</w:t>
            </w:r>
          </w:p>
        </w:tc>
      </w:tr>
      <w:tr w:rsidR="00157F17" w:rsidRPr="00840E13" w14:paraId="370ABDB3" w14:textId="77777777" w:rsidTr="00753CBE">
        <w:trPr>
          <w:trHeight w:val="360"/>
        </w:trPr>
        <w:tc>
          <w:tcPr>
            <w:cnfStyle w:val="001000000000" w:firstRow="0" w:lastRow="0" w:firstColumn="1" w:lastColumn="0" w:oddVBand="0" w:evenVBand="0" w:oddHBand="0" w:evenHBand="0" w:firstRowFirstColumn="0" w:firstRowLastColumn="0" w:lastRowFirstColumn="0" w:lastRowLastColumn="0"/>
            <w:tcW w:w="0" w:type="auto"/>
            <w:vMerge/>
            <w:hideMark/>
          </w:tcPr>
          <w:p w14:paraId="7A6402A1" w14:textId="77777777" w:rsidR="00157F17" w:rsidRPr="00840E13" w:rsidRDefault="00157F17" w:rsidP="00E4464E">
            <w:pPr>
              <w:ind w:left="567"/>
              <w:rPr>
                <w:rFonts w:ascii="Times New Roman" w:eastAsia="Times New Roman" w:hAnsi="Times New Roman"/>
                <w:b w:val="0"/>
                <w:bCs w:val="0"/>
                <w:color w:val="000000"/>
                <w:sz w:val="28"/>
                <w:szCs w:val="28"/>
                <w:lang w:eastAsia="fr-FR"/>
              </w:rPr>
            </w:pPr>
          </w:p>
        </w:tc>
        <w:tc>
          <w:tcPr>
            <w:tcW w:w="1690" w:type="dxa"/>
            <w:hideMark/>
          </w:tcPr>
          <w:p w14:paraId="69C5DF69" w14:textId="77777777" w:rsidR="00157F17" w:rsidRPr="00840E13" w:rsidRDefault="00157F17" w:rsidP="00E4464E">
            <w:pPr>
              <w:ind w:left="3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8"/>
                <w:szCs w:val="28"/>
                <w:lang w:eastAsia="fr-FR"/>
              </w:rPr>
            </w:pPr>
            <w:r w:rsidRPr="00840E13">
              <w:rPr>
                <w:rFonts w:ascii="Times New Roman" w:eastAsia="Times New Roman" w:hAnsi="Times New Roman"/>
                <w:b/>
                <w:bCs/>
                <w:color w:val="000000"/>
                <w:sz w:val="28"/>
                <w:szCs w:val="28"/>
                <w:lang w:eastAsia="fr-FR"/>
              </w:rPr>
              <w:t>2016</w:t>
            </w:r>
          </w:p>
        </w:tc>
        <w:tc>
          <w:tcPr>
            <w:tcW w:w="2431" w:type="dxa"/>
            <w:hideMark/>
          </w:tcPr>
          <w:p w14:paraId="6718A1F9" w14:textId="77777777" w:rsidR="00157F17" w:rsidRPr="00840E13" w:rsidRDefault="00157F17" w:rsidP="00E4464E">
            <w:pPr>
              <w:ind w:left="3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8"/>
                <w:szCs w:val="28"/>
                <w:lang w:eastAsia="fr-FR"/>
              </w:rPr>
            </w:pPr>
            <w:r w:rsidRPr="00840E13">
              <w:rPr>
                <w:rFonts w:ascii="Times New Roman" w:eastAsia="Times New Roman" w:hAnsi="Times New Roman"/>
                <w:b/>
                <w:bCs/>
                <w:color w:val="000000"/>
                <w:sz w:val="28"/>
                <w:szCs w:val="28"/>
                <w:lang w:eastAsia="fr-FR"/>
              </w:rPr>
              <w:t>2017</w:t>
            </w:r>
          </w:p>
        </w:tc>
      </w:tr>
      <w:tr w:rsidR="00157F17" w:rsidRPr="00840E13" w14:paraId="46B20313" w14:textId="77777777" w:rsidTr="00753CBE">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321C599D" w14:textId="77777777" w:rsidR="00157F17" w:rsidRPr="00400A0D" w:rsidRDefault="00157F17" w:rsidP="00002ED3">
            <w:pPr>
              <w:rPr>
                <w:rFonts w:ascii="Times New Roman" w:eastAsia="Times New Roman" w:hAnsi="Times New Roman"/>
                <w:b w:val="0"/>
                <w:color w:val="000000"/>
                <w:lang w:eastAsia="fr-FR"/>
              </w:rPr>
            </w:pPr>
            <w:r w:rsidRPr="00400A0D">
              <w:rPr>
                <w:rFonts w:ascii="Times New Roman" w:eastAsia="Times New Roman" w:hAnsi="Times New Roman"/>
                <w:b w:val="0"/>
                <w:color w:val="000000"/>
                <w:lang w:eastAsia="fr-FR"/>
              </w:rPr>
              <w:t>Nombre de détenteurs des PR*</w:t>
            </w:r>
          </w:p>
        </w:tc>
        <w:tc>
          <w:tcPr>
            <w:tcW w:w="1690" w:type="dxa"/>
            <w:noWrap/>
            <w:hideMark/>
          </w:tcPr>
          <w:p w14:paraId="04A6B0DC" w14:textId="77777777" w:rsidR="00157F17" w:rsidRPr="00840E13" w:rsidRDefault="00157F17" w:rsidP="00753CBE">
            <w:pPr>
              <w:ind w:left="34"/>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840E13">
              <w:rPr>
                <w:rFonts w:ascii="Times New Roman" w:eastAsia="Times New Roman" w:hAnsi="Times New Roman"/>
                <w:color w:val="000000"/>
                <w:lang w:eastAsia="fr-FR"/>
              </w:rPr>
              <w:t>250</w:t>
            </w:r>
          </w:p>
        </w:tc>
        <w:tc>
          <w:tcPr>
            <w:tcW w:w="2431" w:type="dxa"/>
            <w:hideMark/>
          </w:tcPr>
          <w:p w14:paraId="09DB8CB7" w14:textId="77777777" w:rsidR="00157F17" w:rsidRPr="00840E13" w:rsidRDefault="00157F17" w:rsidP="00753CBE">
            <w:pPr>
              <w:ind w:left="34"/>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840E13">
              <w:rPr>
                <w:rFonts w:ascii="Times New Roman" w:eastAsia="Times New Roman" w:hAnsi="Times New Roman"/>
                <w:color w:val="000000"/>
                <w:lang w:eastAsia="fr-FR"/>
              </w:rPr>
              <w:t>317</w:t>
            </w:r>
          </w:p>
        </w:tc>
      </w:tr>
      <w:tr w:rsidR="00157F17" w:rsidRPr="00840E13" w14:paraId="5AD280D8" w14:textId="77777777" w:rsidTr="00753CBE">
        <w:trPr>
          <w:trHeight w:val="360"/>
        </w:trPr>
        <w:tc>
          <w:tcPr>
            <w:cnfStyle w:val="001000000000" w:firstRow="0" w:lastRow="0" w:firstColumn="1" w:lastColumn="0" w:oddVBand="0" w:evenVBand="0" w:oddHBand="0" w:evenHBand="0" w:firstRowFirstColumn="0" w:firstRowLastColumn="0" w:lastRowFirstColumn="0" w:lastRowLastColumn="0"/>
            <w:tcW w:w="0" w:type="auto"/>
            <w:noWrap/>
            <w:hideMark/>
          </w:tcPr>
          <w:p w14:paraId="362CCB64" w14:textId="77777777" w:rsidR="00157F17" w:rsidRPr="00400A0D" w:rsidRDefault="00157F17" w:rsidP="00002ED3">
            <w:pPr>
              <w:rPr>
                <w:rFonts w:ascii="Times New Roman" w:eastAsia="Times New Roman" w:hAnsi="Times New Roman"/>
                <w:b w:val="0"/>
                <w:color w:val="000000"/>
                <w:lang w:eastAsia="fr-FR"/>
              </w:rPr>
            </w:pPr>
            <w:r w:rsidRPr="00400A0D">
              <w:rPr>
                <w:rFonts w:ascii="Times New Roman" w:eastAsia="Times New Roman" w:hAnsi="Times New Roman"/>
                <w:b w:val="0"/>
                <w:color w:val="000000"/>
                <w:lang w:eastAsia="fr-FR"/>
              </w:rPr>
              <w:t>Nombre de PR valides</w:t>
            </w:r>
          </w:p>
        </w:tc>
        <w:tc>
          <w:tcPr>
            <w:tcW w:w="1690" w:type="dxa"/>
            <w:noWrap/>
            <w:hideMark/>
          </w:tcPr>
          <w:p w14:paraId="6F838CD9" w14:textId="77777777" w:rsidR="00157F17" w:rsidRPr="00840E13" w:rsidRDefault="00157F17" w:rsidP="00753CBE">
            <w:pPr>
              <w:ind w:left="34"/>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840E13">
              <w:rPr>
                <w:rFonts w:ascii="Times New Roman" w:eastAsia="Times New Roman" w:hAnsi="Times New Roman"/>
                <w:color w:val="000000"/>
                <w:lang w:eastAsia="fr-FR"/>
              </w:rPr>
              <w:t>1387</w:t>
            </w:r>
          </w:p>
        </w:tc>
        <w:tc>
          <w:tcPr>
            <w:tcW w:w="2431" w:type="dxa"/>
            <w:noWrap/>
            <w:hideMark/>
          </w:tcPr>
          <w:p w14:paraId="24BF52A6" w14:textId="77777777" w:rsidR="00157F17" w:rsidRPr="00840E13" w:rsidRDefault="00157F17" w:rsidP="00753CBE">
            <w:pPr>
              <w:ind w:left="34"/>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840E13">
              <w:rPr>
                <w:rFonts w:ascii="Times New Roman" w:eastAsia="Times New Roman" w:hAnsi="Times New Roman"/>
                <w:color w:val="000000"/>
                <w:lang w:eastAsia="fr-FR"/>
              </w:rPr>
              <w:t>1672</w:t>
            </w:r>
          </w:p>
        </w:tc>
      </w:tr>
      <w:tr w:rsidR="00157F17" w:rsidRPr="00840E13" w14:paraId="64D80FAB" w14:textId="77777777" w:rsidTr="00753CBE">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58A5D6CD" w14:textId="77777777" w:rsidR="00157F17" w:rsidRPr="00400A0D" w:rsidRDefault="00157F17" w:rsidP="00002ED3">
            <w:pPr>
              <w:rPr>
                <w:rFonts w:ascii="Times New Roman" w:eastAsia="Times New Roman" w:hAnsi="Times New Roman"/>
                <w:b w:val="0"/>
                <w:color w:val="000000"/>
                <w:lang w:eastAsia="fr-FR"/>
              </w:rPr>
            </w:pPr>
            <w:r w:rsidRPr="00400A0D">
              <w:rPr>
                <w:rFonts w:ascii="Times New Roman" w:eastAsia="Times New Roman" w:hAnsi="Times New Roman"/>
                <w:b w:val="0"/>
                <w:color w:val="000000"/>
                <w:lang w:eastAsia="fr-FR"/>
              </w:rPr>
              <w:t>PR transformés en PE</w:t>
            </w:r>
          </w:p>
        </w:tc>
        <w:tc>
          <w:tcPr>
            <w:tcW w:w="1690" w:type="dxa"/>
            <w:noWrap/>
            <w:hideMark/>
          </w:tcPr>
          <w:p w14:paraId="6D2E6BBC" w14:textId="77777777" w:rsidR="00157F17" w:rsidRPr="00840E13" w:rsidRDefault="00157F17" w:rsidP="00753CBE">
            <w:pPr>
              <w:ind w:left="34"/>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840E13">
              <w:rPr>
                <w:rFonts w:ascii="Times New Roman" w:eastAsia="Times New Roman" w:hAnsi="Times New Roman"/>
                <w:color w:val="000000"/>
                <w:lang w:eastAsia="fr-FR"/>
              </w:rPr>
              <w:t>85</w:t>
            </w:r>
          </w:p>
        </w:tc>
        <w:tc>
          <w:tcPr>
            <w:tcW w:w="2431" w:type="dxa"/>
            <w:noWrap/>
            <w:hideMark/>
          </w:tcPr>
          <w:p w14:paraId="28E7EF67" w14:textId="77777777" w:rsidR="00157F17" w:rsidRPr="00840E13" w:rsidRDefault="00157F17" w:rsidP="00753CBE">
            <w:pPr>
              <w:ind w:left="34"/>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840E13">
              <w:rPr>
                <w:rFonts w:ascii="Times New Roman" w:eastAsia="Times New Roman" w:hAnsi="Times New Roman"/>
                <w:color w:val="000000"/>
                <w:lang w:eastAsia="fr-FR"/>
              </w:rPr>
              <w:t>85</w:t>
            </w:r>
          </w:p>
        </w:tc>
      </w:tr>
      <w:tr w:rsidR="00157F17" w:rsidRPr="00840E13" w14:paraId="67D49896" w14:textId="77777777" w:rsidTr="00753CBE">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4FDDF760" w14:textId="77777777" w:rsidR="00157F17" w:rsidRPr="00400A0D" w:rsidRDefault="00157F17" w:rsidP="00002ED3">
            <w:pPr>
              <w:rPr>
                <w:rFonts w:ascii="Times New Roman" w:eastAsia="Times New Roman" w:hAnsi="Times New Roman"/>
                <w:b w:val="0"/>
                <w:color w:val="000000"/>
                <w:lang w:eastAsia="fr-FR"/>
              </w:rPr>
            </w:pPr>
            <w:r w:rsidRPr="00400A0D">
              <w:rPr>
                <w:rFonts w:ascii="Times New Roman" w:eastAsia="Times New Roman" w:hAnsi="Times New Roman"/>
                <w:b w:val="0"/>
                <w:color w:val="000000"/>
                <w:lang w:eastAsia="fr-FR"/>
              </w:rPr>
              <w:t>Titulaires ayant transformé PR en PE</w:t>
            </w:r>
          </w:p>
        </w:tc>
        <w:tc>
          <w:tcPr>
            <w:tcW w:w="1690" w:type="dxa"/>
            <w:noWrap/>
            <w:hideMark/>
          </w:tcPr>
          <w:p w14:paraId="1167F911" w14:textId="77777777" w:rsidR="00157F17" w:rsidRPr="00840E13" w:rsidRDefault="00157F17" w:rsidP="00753CBE">
            <w:pPr>
              <w:ind w:left="34"/>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840E13">
              <w:rPr>
                <w:rFonts w:ascii="Times New Roman" w:eastAsia="Times New Roman" w:hAnsi="Times New Roman"/>
                <w:color w:val="000000"/>
                <w:lang w:eastAsia="fr-FR"/>
              </w:rPr>
              <w:t>23</w:t>
            </w:r>
          </w:p>
        </w:tc>
        <w:tc>
          <w:tcPr>
            <w:tcW w:w="2431" w:type="dxa"/>
            <w:noWrap/>
            <w:hideMark/>
          </w:tcPr>
          <w:p w14:paraId="5CCAB6D3" w14:textId="77777777" w:rsidR="00157F17" w:rsidRPr="00840E13" w:rsidRDefault="00157F17" w:rsidP="00753CBE">
            <w:pPr>
              <w:ind w:left="34"/>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840E13">
              <w:rPr>
                <w:rFonts w:ascii="Times New Roman" w:eastAsia="Times New Roman" w:hAnsi="Times New Roman"/>
                <w:color w:val="000000"/>
                <w:lang w:eastAsia="fr-FR"/>
              </w:rPr>
              <w:t>27</w:t>
            </w:r>
          </w:p>
        </w:tc>
      </w:tr>
      <w:tr w:rsidR="00157F17" w:rsidRPr="00840E13" w14:paraId="05C76BE7" w14:textId="77777777" w:rsidTr="00753CBE">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61EEADD3" w14:textId="77777777" w:rsidR="00157F17" w:rsidRPr="00400A0D" w:rsidRDefault="00157F17" w:rsidP="00002ED3">
            <w:pPr>
              <w:rPr>
                <w:rFonts w:ascii="Times New Roman" w:eastAsia="Times New Roman" w:hAnsi="Times New Roman"/>
                <w:b w:val="0"/>
                <w:color w:val="000000"/>
                <w:lang w:eastAsia="fr-FR"/>
              </w:rPr>
            </w:pPr>
            <w:r w:rsidRPr="00400A0D">
              <w:rPr>
                <w:rFonts w:ascii="Times New Roman" w:eastAsia="Times New Roman" w:hAnsi="Times New Roman"/>
                <w:b w:val="0"/>
                <w:color w:val="000000"/>
                <w:lang w:eastAsia="fr-FR"/>
              </w:rPr>
              <w:t>PR transformés en PEPM</w:t>
            </w:r>
          </w:p>
        </w:tc>
        <w:tc>
          <w:tcPr>
            <w:tcW w:w="1690" w:type="dxa"/>
            <w:noWrap/>
            <w:hideMark/>
          </w:tcPr>
          <w:p w14:paraId="1C8F50BF" w14:textId="77777777" w:rsidR="00157F17" w:rsidRPr="00840E13" w:rsidRDefault="00157F17" w:rsidP="00753CBE">
            <w:pPr>
              <w:ind w:left="34"/>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840E13">
              <w:rPr>
                <w:rFonts w:ascii="Times New Roman" w:eastAsia="Times New Roman" w:hAnsi="Times New Roman"/>
                <w:color w:val="000000"/>
                <w:lang w:eastAsia="fr-FR"/>
              </w:rPr>
              <w:t>42</w:t>
            </w:r>
          </w:p>
        </w:tc>
        <w:tc>
          <w:tcPr>
            <w:tcW w:w="2431" w:type="dxa"/>
            <w:noWrap/>
            <w:hideMark/>
          </w:tcPr>
          <w:p w14:paraId="411961BD" w14:textId="77777777" w:rsidR="00157F17" w:rsidRPr="00840E13" w:rsidRDefault="00157F17" w:rsidP="00753CBE">
            <w:pPr>
              <w:ind w:left="34"/>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840E13">
              <w:rPr>
                <w:rFonts w:ascii="Times New Roman" w:eastAsia="Times New Roman" w:hAnsi="Times New Roman"/>
                <w:color w:val="000000"/>
                <w:lang w:eastAsia="fr-FR"/>
              </w:rPr>
              <w:t>57</w:t>
            </w:r>
          </w:p>
        </w:tc>
      </w:tr>
      <w:tr w:rsidR="00157F17" w:rsidRPr="00840E13" w14:paraId="57AEDC01" w14:textId="77777777" w:rsidTr="00753CBE">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4E832108" w14:textId="77777777" w:rsidR="00157F17" w:rsidRPr="00400A0D" w:rsidRDefault="00157F17" w:rsidP="00002ED3">
            <w:pPr>
              <w:rPr>
                <w:rFonts w:ascii="Times New Roman" w:eastAsia="Times New Roman" w:hAnsi="Times New Roman"/>
                <w:b w:val="0"/>
                <w:color w:val="000000"/>
                <w:lang w:eastAsia="fr-FR"/>
              </w:rPr>
            </w:pPr>
            <w:r w:rsidRPr="00400A0D">
              <w:rPr>
                <w:rFonts w:ascii="Times New Roman" w:eastAsia="Times New Roman" w:hAnsi="Times New Roman"/>
                <w:b w:val="0"/>
                <w:color w:val="000000"/>
                <w:lang w:eastAsia="fr-FR"/>
              </w:rPr>
              <w:t>Titulaires ayant transformé PR en PEPM</w:t>
            </w:r>
          </w:p>
        </w:tc>
        <w:tc>
          <w:tcPr>
            <w:tcW w:w="1690" w:type="dxa"/>
            <w:noWrap/>
            <w:hideMark/>
          </w:tcPr>
          <w:p w14:paraId="17971EE1" w14:textId="77777777" w:rsidR="00157F17" w:rsidRPr="00840E13" w:rsidRDefault="00157F17" w:rsidP="00753CBE">
            <w:pPr>
              <w:ind w:left="34"/>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840E13">
              <w:rPr>
                <w:rFonts w:ascii="Times New Roman" w:eastAsia="Times New Roman" w:hAnsi="Times New Roman"/>
                <w:color w:val="000000"/>
                <w:lang w:eastAsia="fr-FR"/>
              </w:rPr>
              <w:t>18</w:t>
            </w:r>
          </w:p>
        </w:tc>
        <w:tc>
          <w:tcPr>
            <w:tcW w:w="2431" w:type="dxa"/>
            <w:noWrap/>
            <w:hideMark/>
          </w:tcPr>
          <w:p w14:paraId="1B885197" w14:textId="77777777" w:rsidR="00157F17" w:rsidRPr="00840E13" w:rsidRDefault="00157F17" w:rsidP="00753CBE">
            <w:pPr>
              <w:ind w:left="34"/>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840E13">
              <w:rPr>
                <w:rFonts w:ascii="Times New Roman" w:eastAsia="Times New Roman" w:hAnsi="Times New Roman"/>
                <w:color w:val="000000"/>
                <w:lang w:eastAsia="fr-FR"/>
              </w:rPr>
              <w:t>21</w:t>
            </w:r>
          </w:p>
        </w:tc>
      </w:tr>
    </w:tbl>
    <w:p w14:paraId="0B1A6778" w14:textId="54E1699A" w:rsidR="00157F17" w:rsidRPr="00636D82" w:rsidRDefault="007C4E20" w:rsidP="00157F17">
      <w:pPr>
        <w:pStyle w:val="Paragraphedeliste"/>
        <w:ind w:left="851"/>
        <w:jc w:val="both"/>
        <w:rPr>
          <w:rFonts w:ascii="Times New Roman" w:hAnsi="Times New Roman" w:cs="Times New Roman"/>
          <w:sz w:val="24"/>
          <w:szCs w:val="24"/>
        </w:rPr>
      </w:pPr>
      <w:r>
        <w:rPr>
          <w:rFonts w:ascii="Times New Roman" w:hAnsi="Times New Roman" w:cs="Times New Roman"/>
          <w:sz w:val="24"/>
          <w:szCs w:val="24"/>
        </w:rPr>
        <w:t>Le CAMI a</w:t>
      </w:r>
      <w:r w:rsidR="00157F17" w:rsidRPr="00840E13">
        <w:rPr>
          <w:rFonts w:ascii="Times New Roman" w:hAnsi="Times New Roman" w:cs="Times New Roman"/>
          <w:sz w:val="24"/>
          <w:szCs w:val="24"/>
        </w:rPr>
        <w:t xml:space="preserve"> communiqué</w:t>
      </w:r>
      <w:r>
        <w:rPr>
          <w:rFonts w:ascii="Times New Roman" w:hAnsi="Times New Roman" w:cs="Times New Roman"/>
          <w:sz w:val="24"/>
          <w:szCs w:val="24"/>
        </w:rPr>
        <w:t xml:space="preserve"> au ST</w:t>
      </w:r>
      <w:r w:rsidR="00157F17">
        <w:rPr>
          <w:rFonts w:ascii="Times New Roman" w:hAnsi="Times New Roman" w:cs="Times New Roman"/>
          <w:sz w:val="24"/>
          <w:szCs w:val="24"/>
        </w:rPr>
        <w:t xml:space="preserve"> le Registre 2016 qui a été</w:t>
      </w:r>
      <w:r w:rsidR="00157F17" w:rsidRPr="00840E13">
        <w:rPr>
          <w:rFonts w:ascii="Times New Roman" w:hAnsi="Times New Roman" w:cs="Times New Roman"/>
          <w:sz w:val="24"/>
          <w:szCs w:val="24"/>
        </w:rPr>
        <w:t xml:space="preserve"> confronté aux déclarations des entreprises</w:t>
      </w:r>
      <w:r>
        <w:rPr>
          <w:rFonts w:ascii="Times New Roman" w:hAnsi="Times New Roman" w:cs="Times New Roman"/>
          <w:sz w:val="24"/>
          <w:szCs w:val="24"/>
        </w:rPr>
        <w:t>. Il a également transmis</w:t>
      </w:r>
      <w:r w:rsidR="00157F17" w:rsidRPr="00840E13">
        <w:rPr>
          <w:rFonts w:ascii="Times New Roman" w:hAnsi="Times New Roman" w:cs="Times New Roman"/>
          <w:sz w:val="24"/>
          <w:szCs w:val="24"/>
        </w:rPr>
        <w:t xml:space="preserve"> le Registre 2017. Le r</w:t>
      </w:r>
      <w:r w:rsidR="00157F17">
        <w:rPr>
          <w:rFonts w:ascii="Times New Roman" w:hAnsi="Times New Roman" w:cs="Times New Roman"/>
          <w:sz w:val="24"/>
          <w:szCs w:val="24"/>
        </w:rPr>
        <w:t xml:space="preserve">ésultat </w:t>
      </w:r>
      <w:r>
        <w:rPr>
          <w:rFonts w:ascii="Times New Roman" w:hAnsi="Times New Roman" w:cs="Times New Roman"/>
          <w:sz w:val="24"/>
          <w:szCs w:val="24"/>
        </w:rPr>
        <w:t xml:space="preserve"> de l’analyse de ces deux Registres s</w:t>
      </w:r>
      <w:r w:rsidR="00157F17">
        <w:rPr>
          <w:rFonts w:ascii="Times New Roman" w:hAnsi="Times New Roman" w:cs="Times New Roman"/>
          <w:sz w:val="24"/>
          <w:szCs w:val="24"/>
        </w:rPr>
        <w:t>e présente comme suit</w:t>
      </w:r>
      <w:r>
        <w:rPr>
          <w:rFonts w:ascii="Times New Roman" w:hAnsi="Times New Roman" w:cs="Times New Roman"/>
          <w:sz w:val="24"/>
          <w:szCs w:val="24"/>
        </w:rPr>
        <w:t> :</w:t>
      </w:r>
      <w:r w:rsidR="00157F17">
        <w:rPr>
          <w:rFonts w:ascii="Times New Roman" w:hAnsi="Times New Roman" w:cs="Times New Roman"/>
          <w:sz w:val="24"/>
          <w:szCs w:val="24"/>
        </w:rPr>
        <w:t> </w:t>
      </w:r>
    </w:p>
    <w:p w14:paraId="0F001068" w14:textId="77777777" w:rsidR="00157F17" w:rsidRPr="00840E13" w:rsidRDefault="00157F17" w:rsidP="00157F17">
      <w:pPr>
        <w:ind w:left="567"/>
        <w:jc w:val="both"/>
        <w:rPr>
          <w:rFonts w:ascii="Times New Roman" w:hAnsi="Times New Roman"/>
          <w:sz w:val="20"/>
          <w:szCs w:val="20"/>
        </w:rPr>
      </w:pPr>
    </w:p>
    <w:p w14:paraId="296F9401" w14:textId="77777777" w:rsidR="00400A0D" w:rsidRDefault="00400A0D" w:rsidP="00157F17">
      <w:pPr>
        <w:ind w:left="567"/>
        <w:jc w:val="both"/>
        <w:rPr>
          <w:rFonts w:ascii="Times New Roman" w:hAnsi="Times New Roman"/>
          <w:sz w:val="20"/>
          <w:szCs w:val="20"/>
        </w:rPr>
      </w:pPr>
    </w:p>
    <w:p w14:paraId="388DB7FD" w14:textId="77777777" w:rsidR="00400A0D" w:rsidRDefault="00400A0D" w:rsidP="00157F17">
      <w:pPr>
        <w:ind w:left="567"/>
        <w:jc w:val="both"/>
        <w:rPr>
          <w:rFonts w:ascii="Times New Roman" w:hAnsi="Times New Roman"/>
          <w:sz w:val="20"/>
          <w:szCs w:val="20"/>
        </w:rPr>
      </w:pPr>
    </w:p>
    <w:p w14:paraId="2FD845A5" w14:textId="77777777" w:rsidR="00400A0D" w:rsidRDefault="00400A0D" w:rsidP="00157F17">
      <w:pPr>
        <w:ind w:left="567"/>
        <w:jc w:val="both"/>
        <w:rPr>
          <w:rFonts w:ascii="Times New Roman" w:hAnsi="Times New Roman"/>
          <w:sz w:val="20"/>
          <w:szCs w:val="20"/>
        </w:rPr>
      </w:pPr>
    </w:p>
    <w:p w14:paraId="16F49187" w14:textId="77777777" w:rsidR="00400A0D" w:rsidRDefault="00400A0D" w:rsidP="00157F17">
      <w:pPr>
        <w:ind w:left="567"/>
        <w:jc w:val="both"/>
        <w:rPr>
          <w:rFonts w:ascii="Times New Roman" w:hAnsi="Times New Roman"/>
          <w:sz w:val="20"/>
          <w:szCs w:val="20"/>
        </w:rPr>
      </w:pPr>
    </w:p>
    <w:p w14:paraId="3F7F9F91" w14:textId="77777777" w:rsidR="00400A0D" w:rsidRDefault="00400A0D" w:rsidP="00157F17">
      <w:pPr>
        <w:ind w:left="567"/>
        <w:jc w:val="both"/>
        <w:rPr>
          <w:rFonts w:ascii="Times New Roman" w:hAnsi="Times New Roman"/>
          <w:sz w:val="20"/>
          <w:szCs w:val="20"/>
        </w:rPr>
      </w:pPr>
    </w:p>
    <w:p w14:paraId="1E194802" w14:textId="77777777" w:rsidR="00400A0D" w:rsidRDefault="00400A0D" w:rsidP="00157F17">
      <w:pPr>
        <w:ind w:left="567"/>
        <w:jc w:val="both"/>
        <w:rPr>
          <w:rFonts w:ascii="Times New Roman" w:hAnsi="Times New Roman"/>
          <w:sz w:val="20"/>
          <w:szCs w:val="20"/>
        </w:rPr>
      </w:pPr>
    </w:p>
    <w:p w14:paraId="108226E6" w14:textId="77777777" w:rsidR="00157F17" w:rsidRDefault="00157F17" w:rsidP="00157F17">
      <w:pPr>
        <w:ind w:left="567"/>
        <w:jc w:val="both"/>
        <w:rPr>
          <w:rFonts w:ascii="Times New Roman" w:hAnsi="Times New Roman"/>
          <w:sz w:val="20"/>
          <w:szCs w:val="20"/>
        </w:rPr>
      </w:pPr>
      <w:r w:rsidRPr="00840E13">
        <w:rPr>
          <w:rFonts w:ascii="Times New Roman" w:hAnsi="Times New Roman"/>
          <w:sz w:val="20"/>
          <w:szCs w:val="20"/>
        </w:rPr>
        <w:t>PR : Permis de Recherche, PE : Permis d’exploitation, PEPM : Permis d’exploitation de la petite mine.</w:t>
      </w:r>
    </w:p>
    <w:p w14:paraId="4AEC2F65" w14:textId="77777777" w:rsidR="00400A0D" w:rsidRDefault="00157F17" w:rsidP="00157F17">
      <w:pPr>
        <w:ind w:left="567"/>
        <w:jc w:val="both"/>
        <w:rPr>
          <w:rFonts w:ascii="Times New Roman" w:hAnsi="Times New Roman"/>
          <w:sz w:val="24"/>
          <w:szCs w:val="24"/>
        </w:rPr>
      </w:pPr>
      <w:r>
        <w:rPr>
          <w:rFonts w:ascii="Times New Roman" w:hAnsi="Times New Roman"/>
          <w:sz w:val="24"/>
          <w:szCs w:val="24"/>
        </w:rPr>
        <w:t xml:space="preserve"> </w:t>
      </w:r>
    </w:p>
    <w:p w14:paraId="6C1AF31C" w14:textId="1AA19CAE" w:rsidR="00157F17" w:rsidRPr="00636D82" w:rsidRDefault="00157F17" w:rsidP="00157F17">
      <w:pPr>
        <w:ind w:left="567"/>
        <w:jc w:val="both"/>
        <w:rPr>
          <w:rFonts w:ascii="Times New Roman" w:hAnsi="Times New Roman"/>
          <w:sz w:val="20"/>
          <w:szCs w:val="20"/>
        </w:rPr>
      </w:pPr>
      <w:r>
        <w:rPr>
          <w:rFonts w:ascii="Times New Roman" w:hAnsi="Times New Roman"/>
          <w:sz w:val="24"/>
          <w:szCs w:val="24"/>
        </w:rPr>
        <w:t>L</w:t>
      </w:r>
      <w:r w:rsidRPr="00840E13">
        <w:rPr>
          <w:rFonts w:ascii="Times New Roman" w:hAnsi="Times New Roman"/>
          <w:sz w:val="24"/>
          <w:szCs w:val="24"/>
        </w:rPr>
        <w:t>es entreprises en phase de recherche</w:t>
      </w:r>
      <w:r>
        <w:rPr>
          <w:rFonts w:ascii="Times New Roman" w:hAnsi="Times New Roman"/>
          <w:sz w:val="24"/>
          <w:szCs w:val="24"/>
        </w:rPr>
        <w:t xml:space="preserve"> </w:t>
      </w:r>
      <w:r w:rsidRPr="00840E13">
        <w:rPr>
          <w:rFonts w:ascii="Times New Roman" w:hAnsi="Times New Roman"/>
          <w:sz w:val="24"/>
          <w:szCs w:val="24"/>
        </w:rPr>
        <w:t>mais détentrices des permis d’exploitation</w:t>
      </w:r>
      <w:r>
        <w:rPr>
          <w:rFonts w:ascii="Times New Roman" w:hAnsi="Times New Roman"/>
          <w:sz w:val="24"/>
          <w:szCs w:val="24"/>
        </w:rPr>
        <w:t xml:space="preserve"> ont été </w:t>
      </w:r>
      <w:r>
        <w:rPr>
          <w:rFonts w:ascii="Times New Roman" w:hAnsi="Times New Roman"/>
          <w:bCs/>
          <w:sz w:val="24"/>
          <w:szCs w:val="24"/>
          <w:lang w:eastAsia="fr-FR"/>
        </w:rPr>
        <w:t>approchées en vue d’</w:t>
      </w:r>
      <w:r w:rsidRPr="00840E13">
        <w:rPr>
          <w:rFonts w:ascii="Times New Roman" w:hAnsi="Times New Roman"/>
          <w:sz w:val="24"/>
          <w:szCs w:val="24"/>
        </w:rPr>
        <w:t>obtenir d’elles l’information s</w:t>
      </w:r>
      <w:r w:rsidR="007C4E20">
        <w:rPr>
          <w:rFonts w:ascii="Times New Roman" w:hAnsi="Times New Roman"/>
          <w:sz w:val="24"/>
          <w:szCs w:val="24"/>
        </w:rPr>
        <w:t>ur les mines en construction. L</w:t>
      </w:r>
      <w:r w:rsidR="003B49C0">
        <w:rPr>
          <w:rFonts w:ascii="Times New Roman" w:hAnsi="Times New Roman"/>
          <w:sz w:val="24"/>
          <w:szCs w:val="24"/>
        </w:rPr>
        <w:t>e résultat du traitement de l’</w:t>
      </w:r>
      <w:r w:rsidR="007C4E20">
        <w:rPr>
          <w:rFonts w:ascii="Times New Roman" w:hAnsi="Times New Roman"/>
          <w:sz w:val="24"/>
          <w:szCs w:val="24"/>
        </w:rPr>
        <w:t>information</w:t>
      </w:r>
      <w:r w:rsidR="003B49C0">
        <w:rPr>
          <w:rFonts w:ascii="Times New Roman" w:hAnsi="Times New Roman"/>
          <w:sz w:val="24"/>
          <w:szCs w:val="24"/>
        </w:rPr>
        <w:t xml:space="preserve"> communiquée </w:t>
      </w:r>
      <w:r w:rsidRPr="00840E13">
        <w:rPr>
          <w:rFonts w:ascii="Times New Roman" w:hAnsi="Times New Roman"/>
          <w:sz w:val="24"/>
          <w:szCs w:val="24"/>
        </w:rPr>
        <w:t xml:space="preserve"> est résumé dans le tableau ci-après :</w:t>
      </w:r>
    </w:p>
    <w:tbl>
      <w:tblPr>
        <w:tblStyle w:val="TableauGrille1Clair1"/>
        <w:tblW w:w="8789" w:type="dxa"/>
        <w:tblInd w:w="675" w:type="dxa"/>
        <w:tblLook w:val="04A0" w:firstRow="1" w:lastRow="0" w:firstColumn="1" w:lastColumn="0" w:noHBand="0" w:noVBand="1"/>
      </w:tblPr>
      <w:tblGrid>
        <w:gridCol w:w="709"/>
        <w:gridCol w:w="1843"/>
        <w:gridCol w:w="1560"/>
        <w:gridCol w:w="708"/>
        <w:gridCol w:w="2126"/>
        <w:gridCol w:w="1843"/>
      </w:tblGrid>
      <w:tr w:rsidR="00157F17" w:rsidRPr="00840E13" w14:paraId="758FF90A" w14:textId="77777777" w:rsidTr="00400A0D">
        <w:trPr>
          <w:cnfStyle w:val="100000000000" w:firstRow="1" w:lastRow="0" w:firstColumn="0" w:lastColumn="0" w:oddVBand="0" w:evenVBand="0" w:oddHBand="0"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709" w:type="dxa"/>
            <w:hideMark/>
          </w:tcPr>
          <w:p w14:paraId="60ED63CB" w14:textId="56C852FC" w:rsidR="00157F17" w:rsidRPr="00840E13" w:rsidRDefault="00400A0D" w:rsidP="00E4464E">
            <w:pPr>
              <w:rPr>
                <w:rFonts w:ascii="Times New Roman" w:eastAsia="Times New Roman" w:hAnsi="Times New Roman"/>
                <w:sz w:val="18"/>
                <w:szCs w:val="18"/>
                <w:lang w:eastAsia="fr-FR"/>
              </w:rPr>
            </w:pPr>
            <w:r>
              <w:rPr>
                <w:rFonts w:ascii="Times New Roman" w:eastAsia="Times New Roman" w:hAnsi="Times New Roman"/>
                <w:sz w:val="18"/>
                <w:szCs w:val="18"/>
                <w:lang w:eastAsia="fr-FR"/>
              </w:rPr>
              <w:t>y</w:t>
            </w:r>
          </w:p>
        </w:tc>
        <w:tc>
          <w:tcPr>
            <w:tcW w:w="1843" w:type="dxa"/>
            <w:hideMark/>
          </w:tcPr>
          <w:p w14:paraId="0E1A4EDF" w14:textId="77777777" w:rsidR="00157F17" w:rsidRPr="00840E13" w:rsidRDefault="00157F17" w:rsidP="00E4464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840E13">
              <w:rPr>
                <w:rFonts w:ascii="Times New Roman" w:eastAsia="Times New Roman" w:hAnsi="Times New Roman"/>
                <w:sz w:val="18"/>
                <w:szCs w:val="18"/>
                <w:lang w:eastAsia="fr-FR"/>
              </w:rPr>
              <w:t>Nom de l’entreprise</w:t>
            </w:r>
          </w:p>
        </w:tc>
        <w:tc>
          <w:tcPr>
            <w:tcW w:w="1560" w:type="dxa"/>
            <w:hideMark/>
          </w:tcPr>
          <w:p w14:paraId="2250789C" w14:textId="77777777" w:rsidR="00157F17" w:rsidRPr="00840E13" w:rsidRDefault="00157F17" w:rsidP="00E4464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840E13">
              <w:rPr>
                <w:rFonts w:ascii="Times New Roman" w:eastAsia="Times New Roman" w:hAnsi="Times New Roman"/>
                <w:sz w:val="18"/>
                <w:szCs w:val="18"/>
                <w:lang w:eastAsia="fr-FR"/>
              </w:rPr>
              <w:t>Localisation</w:t>
            </w:r>
          </w:p>
        </w:tc>
        <w:tc>
          <w:tcPr>
            <w:tcW w:w="708" w:type="dxa"/>
            <w:hideMark/>
          </w:tcPr>
          <w:p w14:paraId="042FC9F9" w14:textId="77777777" w:rsidR="00157F17" w:rsidRPr="00840E13" w:rsidRDefault="00157F17" w:rsidP="00E4464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840E13">
              <w:rPr>
                <w:rFonts w:ascii="Times New Roman" w:eastAsia="Times New Roman" w:hAnsi="Times New Roman"/>
                <w:sz w:val="18"/>
                <w:szCs w:val="18"/>
                <w:lang w:eastAsia="fr-FR"/>
              </w:rPr>
              <w:t>N°</w:t>
            </w:r>
          </w:p>
        </w:tc>
        <w:tc>
          <w:tcPr>
            <w:tcW w:w="2126" w:type="dxa"/>
            <w:hideMark/>
          </w:tcPr>
          <w:p w14:paraId="38640C01" w14:textId="77777777" w:rsidR="00157F17" w:rsidRPr="00840E13" w:rsidRDefault="00157F17" w:rsidP="00E4464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840E13">
              <w:rPr>
                <w:rFonts w:ascii="Times New Roman" w:eastAsia="Times New Roman" w:hAnsi="Times New Roman"/>
                <w:sz w:val="18"/>
                <w:szCs w:val="18"/>
                <w:lang w:eastAsia="fr-FR"/>
              </w:rPr>
              <w:t>Nom de l’entreprise</w:t>
            </w:r>
          </w:p>
        </w:tc>
        <w:tc>
          <w:tcPr>
            <w:tcW w:w="1843" w:type="dxa"/>
            <w:hideMark/>
          </w:tcPr>
          <w:p w14:paraId="712D6531" w14:textId="77777777" w:rsidR="00157F17" w:rsidRPr="00840E13" w:rsidRDefault="00157F17" w:rsidP="00E4464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840E13">
              <w:rPr>
                <w:rFonts w:ascii="Times New Roman" w:eastAsia="Times New Roman" w:hAnsi="Times New Roman"/>
                <w:sz w:val="18"/>
                <w:szCs w:val="18"/>
                <w:lang w:eastAsia="fr-FR"/>
              </w:rPr>
              <w:t>Localisation</w:t>
            </w:r>
          </w:p>
        </w:tc>
      </w:tr>
      <w:tr w:rsidR="00157F17" w:rsidRPr="00840E13" w14:paraId="6C25BC7C" w14:textId="77777777" w:rsidTr="00400A0D">
        <w:trPr>
          <w:trHeight w:val="372"/>
        </w:trPr>
        <w:tc>
          <w:tcPr>
            <w:cnfStyle w:val="001000000000" w:firstRow="0" w:lastRow="0" w:firstColumn="1" w:lastColumn="0" w:oddVBand="0" w:evenVBand="0" w:oddHBand="0" w:evenHBand="0" w:firstRowFirstColumn="0" w:firstRowLastColumn="0" w:lastRowFirstColumn="0" w:lastRowLastColumn="0"/>
            <w:tcW w:w="709" w:type="dxa"/>
            <w:hideMark/>
          </w:tcPr>
          <w:p w14:paraId="2F51F8BC" w14:textId="77777777" w:rsidR="00157F17" w:rsidRPr="00840E13" w:rsidRDefault="00157F17" w:rsidP="00E4464E">
            <w:pPr>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1.     </w:t>
            </w:r>
          </w:p>
        </w:tc>
        <w:tc>
          <w:tcPr>
            <w:tcW w:w="1843" w:type="dxa"/>
            <w:hideMark/>
          </w:tcPr>
          <w:p w14:paraId="76C000C3"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ALPHAMINES BISIE</w:t>
            </w:r>
          </w:p>
        </w:tc>
        <w:tc>
          <w:tcPr>
            <w:tcW w:w="1560" w:type="dxa"/>
            <w:hideMark/>
          </w:tcPr>
          <w:p w14:paraId="3EEA2915"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Nord-Kivu</w:t>
            </w:r>
          </w:p>
        </w:tc>
        <w:tc>
          <w:tcPr>
            <w:tcW w:w="708" w:type="dxa"/>
            <w:hideMark/>
          </w:tcPr>
          <w:p w14:paraId="3836E85D"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sz w:val="18"/>
                <w:szCs w:val="18"/>
                <w:lang w:eastAsia="fr-FR"/>
              </w:rPr>
            </w:pPr>
            <w:r w:rsidRPr="00840E13">
              <w:rPr>
                <w:rFonts w:ascii="Times New Roman" w:eastAsia="Times New Roman" w:hAnsi="Times New Roman"/>
                <w:b/>
                <w:color w:val="000000"/>
                <w:sz w:val="18"/>
                <w:szCs w:val="18"/>
                <w:lang w:eastAsia="fr-FR"/>
              </w:rPr>
              <w:t>10. </w:t>
            </w:r>
          </w:p>
        </w:tc>
        <w:tc>
          <w:tcPr>
            <w:tcW w:w="2126" w:type="dxa"/>
            <w:hideMark/>
          </w:tcPr>
          <w:p w14:paraId="2D7D1A8B"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LOMAMI RESOURCES</w:t>
            </w:r>
          </w:p>
        </w:tc>
        <w:tc>
          <w:tcPr>
            <w:tcW w:w="1843" w:type="dxa"/>
            <w:hideMark/>
          </w:tcPr>
          <w:p w14:paraId="33700968"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 xml:space="preserve">Haut </w:t>
            </w:r>
            <w:proofErr w:type="spellStart"/>
            <w:r w:rsidRPr="00840E13">
              <w:rPr>
                <w:rFonts w:ascii="Times New Roman" w:eastAsia="Times New Roman" w:hAnsi="Times New Roman"/>
                <w:color w:val="000000"/>
                <w:sz w:val="18"/>
                <w:szCs w:val="18"/>
                <w:lang w:eastAsia="fr-FR"/>
              </w:rPr>
              <w:t>Lomami</w:t>
            </w:r>
            <w:proofErr w:type="spellEnd"/>
          </w:p>
        </w:tc>
      </w:tr>
      <w:tr w:rsidR="00157F17" w:rsidRPr="00840E13" w14:paraId="3ABA16A7" w14:textId="77777777" w:rsidTr="00400A0D">
        <w:trPr>
          <w:trHeight w:val="372"/>
        </w:trPr>
        <w:tc>
          <w:tcPr>
            <w:cnfStyle w:val="001000000000" w:firstRow="0" w:lastRow="0" w:firstColumn="1" w:lastColumn="0" w:oddVBand="0" w:evenVBand="0" w:oddHBand="0" w:evenHBand="0" w:firstRowFirstColumn="0" w:firstRowLastColumn="0" w:lastRowFirstColumn="0" w:lastRowLastColumn="0"/>
            <w:tcW w:w="709" w:type="dxa"/>
            <w:hideMark/>
          </w:tcPr>
          <w:p w14:paraId="7EBCDBDA" w14:textId="77777777" w:rsidR="00157F17" w:rsidRPr="00840E13" w:rsidRDefault="00157F17" w:rsidP="00E4464E">
            <w:pPr>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2.     </w:t>
            </w:r>
          </w:p>
        </w:tc>
        <w:tc>
          <w:tcPr>
            <w:tcW w:w="1843" w:type="dxa"/>
            <w:hideMark/>
          </w:tcPr>
          <w:p w14:paraId="2E4B2F4F"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 xml:space="preserve"> COMILU</w:t>
            </w:r>
          </w:p>
        </w:tc>
        <w:tc>
          <w:tcPr>
            <w:tcW w:w="1560" w:type="dxa"/>
            <w:hideMark/>
          </w:tcPr>
          <w:p w14:paraId="1562BFF2"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Haut Katanga</w:t>
            </w:r>
          </w:p>
        </w:tc>
        <w:tc>
          <w:tcPr>
            <w:tcW w:w="708" w:type="dxa"/>
            <w:hideMark/>
          </w:tcPr>
          <w:p w14:paraId="086A5D04"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sz w:val="18"/>
                <w:szCs w:val="18"/>
                <w:lang w:eastAsia="fr-FR"/>
              </w:rPr>
            </w:pPr>
            <w:r w:rsidRPr="00840E13">
              <w:rPr>
                <w:rFonts w:ascii="Times New Roman" w:eastAsia="Times New Roman" w:hAnsi="Times New Roman"/>
                <w:b/>
                <w:color w:val="000000"/>
                <w:sz w:val="18"/>
                <w:szCs w:val="18"/>
                <w:lang w:eastAsia="fr-FR"/>
              </w:rPr>
              <w:t>11. </w:t>
            </w:r>
          </w:p>
        </w:tc>
        <w:tc>
          <w:tcPr>
            <w:tcW w:w="2126" w:type="dxa"/>
            <w:hideMark/>
          </w:tcPr>
          <w:p w14:paraId="737F1B79"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MJM</w:t>
            </w:r>
          </w:p>
        </w:tc>
        <w:tc>
          <w:tcPr>
            <w:tcW w:w="1843" w:type="dxa"/>
            <w:hideMark/>
          </w:tcPr>
          <w:p w14:paraId="6E4DD38F"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Haut Katanga</w:t>
            </w:r>
          </w:p>
        </w:tc>
      </w:tr>
      <w:tr w:rsidR="00157F17" w:rsidRPr="00840E13" w14:paraId="45D5856D" w14:textId="77777777" w:rsidTr="00400A0D">
        <w:trPr>
          <w:trHeight w:val="372"/>
        </w:trPr>
        <w:tc>
          <w:tcPr>
            <w:cnfStyle w:val="001000000000" w:firstRow="0" w:lastRow="0" w:firstColumn="1" w:lastColumn="0" w:oddVBand="0" w:evenVBand="0" w:oddHBand="0" w:evenHBand="0" w:firstRowFirstColumn="0" w:firstRowLastColumn="0" w:lastRowFirstColumn="0" w:lastRowLastColumn="0"/>
            <w:tcW w:w="709" w:type="dxa"/>
            <w:hideMark/>
          </w:tcPr>
          <w:p w14:paraId="1003C855" w14:textId="77777777" w:rsidR="00157F17" w:rsidRPr="00840E13" w:rsidRDefault="00157F17" w:rsidP="00E4464E">
            <w:pPr>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3.     </w:t>
            </w:r>
          </w:p>
        </w:tc>
        <w:tc>
          <w:tcPr>
            <w:tcW w:w="1843" w:type="dxa"/>
            <w:hideMark/>
          </w:tcPr>
          <w:p w14:paraId="7C29192D"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CROWN MINING</w:t>
            </w:r>
          </w:p>
        </w:tc>
        <w:tc>
          <w:tcPr>
            <w:tcW w:w="1560" w:type="dxa"/>
            <w:hideMark/>
          </w:tcPr>
          <w:p w14:paraId="4FB7CB4F"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Tanganyika</w:t>
            </w:r>
          </w:p>
        </w:tc>
        <w:tc>
          <w:tcPr>
            <w:tcW w:w="708" w:type="dxa"/>
            <w:hideMark/>
          </w:tcPr>
          <w:p w14:paraId="58FF6832"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sz w:val="18"/>
                <w:szCs w:val="18"/>
                <w:lang w:eastAsia="fr-FR"/>
              </w:rPr>
            </w:pPr>
            <w:r w:rsidRPr="00840E13">
              <w:rPr>
                <w:rFonts w:ascii="Times New Roman" w:eastAsia="Times New Roman" w:hAnsi="Times New Roman"/>
                <w:b/>
                <w:color w:val="000000"/>
                <w:sz w:val="18"/>
                <w:szCs w:val="18"/>
                <w:lang w:eastAsia="fr-FR"/>
              </w:rPr>
              <w:t>12. </w:t>
            </w:r>
          </w:p>
        </w:tc>
        <w:tc>
          <w:tcPr>
            <w:tcW w:w="2126" w:type="dxa"/>
            <w:hideMark/>
          </w:tcPr>
          <w:p w14:paraId="594D1F7A"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SOMIMI</w:t>
            </w:r>
          </w:p>
        </w:tc>
        <w:tc>
          <w:tcPr>
            <w:tcW w:w="1843" w:type="dxa"/>
            <w:hideMark/>
          </w:tcPr>
          <w:p w14:paraId="7EBD78F0"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Tanganyika</w:t>
            </w:r>
          </w:p>
        </w:tc>
      </w:tr>
      <w:tr w:rsidR="00157F17" w:rsidRPr="00840E13" w14:paraId="2C05C659" w14:textId="77777777" w:rsidTr="00400A0D">
        <w:trPr>
          <w:trHeight w:val="350"/>
        </w:trPr>
        <w:tc>
          <w:tcPr>
            <w:cnfStyle w:val="001000000000" w:firstRow="0" w:lastRow="0" w:firstColumn="1" w:lastColumn="0" w:oddVBand="0" w:evenVBand="0" w:oddHBand="0" w:evenHBand="0" w:firstRowFirstColumn="0" w:firstRowLastColumn="0" w:lastRowFirstColumn="0" w:lastRowLastColumn="0"/>
            <w:tcW w:w="709" w:type="dxa"/>
            <w:hideMark/>
          </w:tcPr>
          <w:p w14:paraId="2B6C725A" w14:textId="77777777" w:rsidR="00157F17" w:rsidRPr="00840E13" w:rsidRDefault="00157F17" w:rsidP="00E4464E">
            <w:pPr>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4.     </w:t>
            </w:r>
          </w:p>
        </w:tc>
        <w:tc>
          <w:tcPr>
            <w:tcW w:w="1843" w:type="dxa"/>
            <w:hideMark/>
          </w:tcPr>
          <w:p w14:paraId="7A6BB2AB"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SECAKAT</w:t>
            </w:r>
          </w:p>
        </w:tc>
        <w:tc>
          <w:tcPr>
            <w:tcW w:w="1560" w:type="dxa"/>
            <w:hideMark/>
          </w:tcPr>
          <w:p w14:paraId="10B2515F"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Lualaba</w:t>
            </w:r>
          </w:p>
        </w:tc>
        <w:tc>
          <w:tcPr>
            <w:tcW w:w="708" w:type="dxa"/>
            <w:hideMark/>
          </w:tcPr>
          <w:p w14:paraId="23E857BF"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sz w:val="18"/>
                <w:szCs w:val="18"/>
                <w:lang w:eastAsia="fr-FR"/>
              </w:rPr>
            </w:pPr>
            <w:r w:rsidRPr="00840E13">
              <w:rPr>
                <w:rFonts w:ascii="Times New Roman" w:eastAsia="Times New Roman" w:hAnsi="Times New Roman"/>
                <w:b/>
                <w:color w:val="000000"/>
                <w:sz w:val="18"/>
                <w:szCs w:val="18"/>
                <w:lang w:eastAsia="fr-FR"/>
              </w:rPr>
              <w:t>13. </w:t>
            </w:r>
          </w:p>
        </w:tc>
        <w:tc>
          <w:tcPr>
            <w:tcW w:w="2126" w:type="dxa"/>
            <w:hideMark/>
          </w:tcPr>
          <w:p w14:paraId="237AF0A3"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TGER RESOURCES</w:t>
            </w:r>
          </w:p>
        </w:tc>
        <w:tc>
          <w:tcPr>
            <w:tcW w:w="1843" w:type="dxa"/>
            <w:hideMark/>
          </w:tcPr>
          <w:p w14:paraId="3E6E642C"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Haut Katanga</w:t>
            </w:r>
          </w:p>
        </w:tc>
      </w:tr>
      <w:tr w:rsidR="00157F17" w:rsidRPr="00840E13" w14:paraId="00661F0D" w14:textId="77777777" w:rsidTr="00400A0D">
        <w:trPr>
          <w:trHeight w:val="372"/>
        </w:trPr>
        <w:tc>
          <w:tcPr>
            <w:cnfStyle w:val="001000000000" w:firstRow="0" w:lastRow="0" w:firstColumn="1" w:lastColumn="0" w:oddVBand="0" w:evenVBand="0" w:oddHBand="0" w:evenHBand="0" w:firstRowFirstColumn="0" w:firstRowLastColumn="0" w:lastRowFirstColumn="0" w:lastRowLastColumn="0"/>
            <w:tcW w:w="709" w:type="dxa"/>
            <w:hideMark/>
          </w:tcPr>
          <w:p w14:paraId="7497206B" w14:textId="77777777" w:rsidR="00157F17" w:rsidRPr="00840E13" w:rsidRDefault="00157F17" w:rsidP="00E4464E">
            <w:pPr>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5.     </w:t>
            </w:r>
          </w:p>
        </w:tc>
        <w:tc>
          <w:tcPr>
            <w:tcW w:w="1843" w:type="dxa"/>
            <w:hideMark/>
          </w:tcPr>
          <w:p w14:paraId="64C38BC6"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SEGMAL</w:t>
            </w:r>
          </w:p>
        </w:tc>
        <w:tc>
          <w:tcPr>
            <w:tcW w:w="1560" w:type="dxa"/>
            <w:hideMark/>
          </w:tcPr>
          <w:p w14:paraId="3CD62224"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Tanganyika</w:t>
            </w:r>
          </w:p>
        </w:tc>
        <w:tc>
          <w:tcPr>
            <w:tcW w:w="708" w:type="dxa"/>
            <w:hideMark/>
          </w:tcPr>
          <w:p w14:paraId="7DE8988A"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sz w:val="18"/>
                <w:szCs w:val="18"/>
                <w:lang w:eastAsia="fr-FR"/>
              </w:rPr>
            </w:pPr>
            <w:r w:rsidRPr="00840E13">
              <w:rPr>
                <w:rFonts w:ascii="Times New Roman" w:eastAsia="Times New Roman" w:hAnsi="Times New Roman"/>
                <w:b/>
                <w:color w:val="000000"/>
                <w:sz w:val="18"/>
                <w:szCs w:val="18"/>
                <w:lang w:eastAsia="fr-FR"/>
              </w:rPr>
              <w:t>14. </w:t>
            </w:r>
          </w:p>
        </w:tc>
        <w:tc>
          <w:tcPr>
            <w:tcW w:w="2126" w:type="dxa"/>
            <w:hideMark/>
          </w:tcPr>
          <w:p w14:paraId="5F30E1B0"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DATCOM</w:t>
            </w:r>
          </w:p>
        </w:tc>
        <w:tc>
          <w:tcPr>
            <w:tcW w:w="1843" w:type="dxa"/>
            <w:hideMark/>
          </w:tcPr>
          <w:p w14:paraId="714F0B01"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Tanganyika</w:t>
            </w:r>
          </w:p>
        </w:tc>
      </w:tr>
      <w:tr w:rsidR="00157F17" w:rsidRPr="00840E13" w14:paraId="6303140A" w14:textId="77777777" w:rsidTr="00400A0D">
        <w:trPr>
          <w:trHeight w:val="372"/>
        </w:trPr>
        <w:tc>
          <w:tcPr>
            <w:cnfStyle w:val="001000000000" w:firstRow="0" w:lastRow="0" w:firstColumn="1" w:lastColumn="0" w:oddVBand="0" w:evenVBand="0" w:oddHBand="0" w:evenHBand="0" w:firstRowFirstColumn="0" w:firstRowLastColumn="0" w:lastRowFirstColumn="0" w:lastRowLastColumn="0"/>
            <w:tcW w:w="709" w:type="dxa"/>
            <w:hideMark/>
          </w:tcPr>
          <w:p w14:paraId="68C1E899" w14:textId="77777777" w:rsidR="00157F17" w:rsidRPr="00840E13" w:rsidRDefault="00157F17" w:rsidP="00E4464E">
            <w:pPr>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6.     </w:t>
            </w:r>
          </w:p>
        </w:tc>
        <w:tc>
          <w:tcPr>
            <w:tcW w:w="1843" w:type="dxa"/>
            <w:hideMark/>
          </w:tcPr>
          <w:p w14:paraId="72051C3C"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RUBACO</w:t>
            </w:r>
          </w:p>
        </w:tc>
        <w:tc>
          <w:tcPr>
            <w:tcW w:w="1560" w:type="dxa"/>
            <w:hideMark/>
          </w:tcPr>
          <w:p w14:paraId="49190C2D"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Haut Katanga,</w:t>
            </w:r>
          </w:p>
        </w:tc>
        <w:tc>
          <w:tcPr>
            <w:tcW w:w="708" w:type="dxa"/>
            <w:hideMark/>
          </w:tcPr>
          <w:p w14:paraId="60F50737"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sz w:val="18"/>
                <w:szCs w:val="18"/>
                <w:lang w:eastAsia="fr-FR"/>
              </w:rPr>
            </w:pPr>
            <w:r w:rsidRPr="00840E13">
              <w:rPr>
                <w:rFonts w:ascii="Times New Roman" w:eastAsia="Times New Roman" w:hAnsi="Times New Roman"/>
                <w:b/>
                <w:color w:val="000000"/>
                <w:sz w:val="18"/>
                <w:szCs w:val="18"/>
                <w:lang w:eastAsia="fr-FR"/>
              </w:rPr>
              <w:t>15. </w:t>
            </w:r>
          </w:p>
        </w:tc>
        <w:tc>
          <w:tcPr>
            <w:tcW w:w="2126" w:type="dxa"/>
            <w:hideMark/>
          </w:tcPr>
          <w:p w14:paraId="3322C643"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MDDK</w:t>
            </w:r>
          </w:p>
        </w:tc>
        <w:tc>
          <w:tcPr>
            <w:tcW w:w="1843" w:type="dxa"/>
            <w:hideMark/>
          </w:tcPr>
          <w:p w14:paraId="581CC6CA"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Lualaba</w:t>
            </w:r>
          </w:p>
        </w:tc>
      </w:tr>
      <w:tr w:rsidR="00157F17" w:rsidRPr="00840E13" w14:paraId="3E6C9B6E" w14:textId="77777777" w:rsidTr="00400A0D">
        <w:trPr>
          <w:trHeight w:val="372"/>
        </w:trPr>
        <w:tc>
          <w:tcPr>
            <w:cnfStyle w:val="001000000000" w:firstRow="0" w:lastRow="0" w:firstColumn="1" w:lastColumn="0" w:oddVBand="0" w:evenVBand="0" w:oddHBand="0" w:evenHBand="0" w:firstRowFirstColumn="0" w:firstRowLastColumn="0" w:lastRowFirstColumn="0" w:lastRowLastColumn="0"/>
            <w:tcW w:w="709" w:type="dxa"/>
            <w:hideMark/>
          </w:tcPr>
          <w:p w14:paraId="0824A99D" w14:textId="77777777" w:rsidR="00157F17" w:rsidRPr="00840E13" w:rsidRDefault="00157F17" w:rsidP="00E4464E">
            <w:pPr>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7.     </w:t>
            </w:r>
          </w:p>
        </w:tc>
        <w:tc>
          <w:tcPr>
            <w:tcW w:w="1843" w:type="dxa"/>
            <w:hideMark/>
          </w:tcPr>
          <w:p w14:paraId="018BA7AF"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KAMOA</w:t>
            </w:r>
          </w:p>
        </w:tc>
        <w:tc>
          <w:tcPr>
            <w:tcW w:w="1560" w:type="dxa"/>
            <w:hideMark/>
          </w:tcPr>
          <w:p w14:paraId="65AC882A"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Lualaba</w:t>
            </w:r>
          </w:p>
        </w:tc>
        <w:tc>
          <w:tcPr>
            <w:tcW w:w="708" w:type="dxa"/>
            <w:hideMark/>
          </w:tcPr>
          <w:p w14:paraId="26F097D1"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sz w:val="18"/>
                <w:szCs w:val="18"/>
                <w:lang w:eastAsia="fr-FR"/>
              </w:rPr>
            </w:pPr>
            <w:r w:rsidRPr="00840E13">
              <w:rPr>
                <w:rFonts w:ascii="Times New Roman" w:eastAsia="Times New Roman" w:hAnsi="Times New Roman"/>
                <w:b/>
                <w:color w:val="000000"/>
                <w:sz w:val="18"/>
                <w:szCs w:val="18"/>
                <w:lang w:eastAsia="fr-FR"/>
              </w:rPr>
              <w:t>16. </w:t>
            </w:r>
          </w:p>
        </w:tc>
        <w:tc>
          <w:tcPr>
            <w:tcW w:w="2126" w:type="dxa"/>
            <w:hideMark/>
          </w:tcPr>
          <w:p w14:paraId="76FCE2B9"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KINSEVERE M. R</w:t>
            </w:r>
          </w:p>
        </w:tc>
        <w:tc>
          <w:tcPr>
            <w:tcW w:w="1843" w:type="dxa"/>
            <w:hideMark/>
          </w:tcPr>
          <w:p w14:paraId="5E92BD14"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Haut Katanga</w:t>
            </w:r>
          </w:p>
        </w:tc>
      </w:tr>
      <w:tr w:rsidR="00157F17" w:rsidRPr="00840E13" w14:paraId="702F7EA1" w14:textId="77777777" w:rsidTr="00400A0D">
        <w:trPr>
          <w:trHeight w:val="372"/>
        </w:trPr>
        <w:tc>
          <w:tcPr>
            <w:cnfStyle w:val="001000000000" w:firstRow="0" w:lastRow="0" w:firstColumn="1" w:lastColumn="0" w:oddVBand="0" w:evenVBand="0" w:oddHBand="0" w:evenHBand="0" w:firstRowFirstColumn="0" w:firstRowLastColumn="0" w:lastRowFirstColumn="0" w:lastRowLastColumn="0"/>
            <w:tcW w:w="709" w:type="dxa"/>
            <w:hideMark/>
          </w:tcPr>
          <w:p w14:paraId="6793ABC4" w14:textId="77777777" w:rsidR="00157F17" w:rsidRPr="00840E13" w:rsidRDefault="00157F17" w:rsidP="00E4464E">
            <w:pPr>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8.     </w:t>
            </w:r>
          </w:p>
        </w:tc>
        <w:tc>
          <w:tcPr>
            <w:tcW w:w="1843" w:type="dxa"/>
            <w:hideMark/>
          </w:tcPr>
          <w:p w14:paraId="2731721E"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KICO</w:t>
            </w:r>
          </w:p>
        </w:tc>
        <w:tc>
          <w:tcPr>
            <w:tcW w:w="1560" w:type="dxa"/>
            <w:hideMark/>
          </w:tcPr>
          <w:p w14:paraId="2EF3C2AA"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Haut Katanga</w:t>
            </w:r>
          </w:p>
        </w:tc>
        <w:tc>
          <w:tcPr>
            <w:tcW w:w="708" w:type="dxa"/>
            <w:hideMark/>
          </w:tcPr>
          <w:p w14:paraId="587FBE76"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sz w:val="18"/>
                <w:szCs w:val="18"/>
                <w:lang w:eastAsia="fr-FR"/>
              </w:rPr>
            </w:pPr>
            <w:r w:rsidRPr="00840E13">
              <w:rPr>
                <w:rFonts w:ascii="Times New Roman" w:eastAsia="Times New Roman" w:hAnsi="Times New Roman"/>
                <w:b/>
                <w:color w:val="000000"/>
                <w:sz w:val="18"/>
                <w:szCs w:val="18"/>
                <w:lang w:eastAsia="fr-FR"/>
              </w:rPr>
              <w:t>17. </w:t>
            </w:r>
          </w:p>
        </w:tc>
        <w:tc>
          <w:tcPr>
            <w:tcW w:w="2126" w:type="dxa"/>
            <w:hideMark/>
          </w:tcPr>
          <w:p w14:paraId="37BA9261"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IVANHOE Mi</w:t>
            </w:r>
          </w:p>
        </w:tc>
        <w:tc>
          <w:tcPr>
            <w:tcW w:w="1843" w:type="dxa"/>
            <w:hideMark/>
          </w:tcPr>
          <w:p w14:paraId="0B8E6118"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Haut Katanga</w:t>
            </w:r>
          </w:p>
        </w:tc>
      </w:tr>
      <w:tr w:rsidR="00157F17" w:rsidRPr="00840E13" w14:paraId="44F0E142" w14:textId="77777777" w:rsidTr="00400A0D">
        <w:trPr>
          <w:trHeight w:val="372"/>
        </w:trPr>
        <w:tc>
          <w:tcPr>
            <w:cnfStyle w:val="001000000000" w:firstRow="0" w:lastRow="0" w:firstColumn="1" w:lastColumn="0" w:oddVBand="0" w:evenVBand="0" w:oddHBand="0" w:evenHBand="0" w:firstRowFirstColumn="0" w:firstRowLastColumn="0" w:lastRowFirstColumn="0" w:lastRowLastColumn="0"/>
            <w:tcW w:w="709" w:type="dxa"/>
            <w:hideMark/>
          </w:tcPr>
          <w:p w14:paraId="6919C712" w14:textId="77777777" w:rsidR="00157F17" w:rsidRPr="00840E13" w:rsidRDefault="00157F17" w:rsidP="00E4464E">
            <w:pPr>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9.     </w:t>
            </w:r>
          </w:p>
        </w:tc>
        <w:tc>
          <w:tcPr>
            <w:tcW w:w="1843" w:type="dxa"/>
            <w:hideMark/>
          </w:tcPr>
          <w:p w14:paraId="1CF6DCA0"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KATANGA METAL</w:t>
            </w:r>
          </w:p>
        </w:tc>
        <w:tc>
          <w:tcPr>
            <w:tcW w:w="1560" w:type="dxa"/>
            <w:hideMark/>
          </w:tcPr>
          <w:p w14:paraId="457AACDB"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Lualaba</w:t>
            </w:r>
          </w:p>
        </w:tc>
        <w:tc>
          <w:tcPr>
            <w:tcW w:w="708" w:type="dxa"/>
            <w:hideMark/>
          </w:tcPr>
          <w:p w14:paraId="0E463962"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sz w:val="18"/>
                <w:szCs w:val="18"/>
                <w:lang w:eastAsia="fr-FR"/>
              </w:rPr>
            </w:pPr>
            <w:r w:rsidRPr="00840E13">
              <w:rPr>
                <w:rFonts w:ascii="Times New Roman" w:eastAsia="Times New Roman" w:hAnsi="Times New Roman"/>
                <w:b/>
                <w:color w:val="000000"/>
                <w:sz w:val="18"/>
                <w:szCs w:val="18"/>
                <w:lang w:eastAsia="fr-FR"/>
              </w:rPr>
              <w:t>18. </w:t>
            </w:r>
          </w:p>
        </w:tc>
        <w:tc>
          <w:tcPr>
            <w:tcW w:w="2126" w:type="dxa"/>
            <w:hideMark/>
          </w:tcPr>
          <w:p w14:paraId="371426B0"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SASE MINING</w:t>
            </w:r>
          </w:p>
        </w:tc>
        <w:tc>
          <w:tcPr>
            <w:tcW w:w="1843" w:type="dxa"/>
            <w:hideMark/>
          </w:tcPr>
          <w:p w14:paraId="1B1D0FB9"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Haut Katanga</w:t>
            </w:r>
          </w:p>
        </w:tc>
      </w:tr>
    </w:tbl>
    <w:p w14:paraId="67FE6B87" w14:textId="77777777" w:rsidR="00157F17" w:rsidRDefault="00157F17" w:rsidP="00157F17">
      <w:pPr>
        <w:jc w:val="both"/>
        <w:rPr>
          <w:rFonts w:ascii="Times New Roman" w:hAnsi="Times New Roman"/>
          <w:sz w:val="28"/>
          <w:szCs w:val="28"/>
        </w:rPr>
      </w:pPr>
    </w:p>
    <w:p w14:paraId="26700FFB" w14:textId="77777777" w:rsidR="00553F42" w:rsidRDefault="00553F42">
      <w:pPr>
        <w:rPr>
          <w:rFonts w:ascii="Times New Roman" w:hAnsi="Times New Roman"/>
          <w:sz w:val="28"/>
          <w:szCs w:val="28"/>
        </w:rPr>
      </w:pPr>
      <w:r>
        <w:rPr>
          <w:rFonts w:ascii="Times New Roman" w:hAnsi="Times New Roman"/>
          <w:sz w:val="28"/>
          <w:szCs w:val="28"/>
        </w:rPr>
        <w:br w:type="page"/>
      </w:r>
    </w:p>
    <w:p w14:paraId="3421E647" w14:textId="20DBB33C" w:rsidR="00157F17" w:rsidRPr="00BF6861" w:rsidRDefault="00157F17" w:rsidP="00157F17">
      <w:pPr>
        <w:pStyle w:val="Titre2"/>
        <w:ind w:left="567"/>
        <w:rPr>
          <w:rFonts w:ascii="Times New Roman" w:hAnsi="Times New Roman" w:cs="Times New Roman"/>
          <w:sz w:val="24"/>
          <w:szCs w:val="24"/>
        </w:rPr>
      </w:pPr>
      <w:bookmarkStart w:id="153" w:name="_Toc516047999"/>
      <w:bookmarkStart w:id="154" w:name="_Toc518468087"/>
      <w:r>
        <w:rPr>
          <w:rFonts w:ascii="Times New Roman" w:hAnsi="Times New Roman" w:cs="Times New Roman"/>
          <w:sz w:val="24"/>
          <w:szCs w:val="24"/>
        </w:rPr>
        <w:lastRenderedPageBreak/>
        <w:t>V</w:t>
      </w:r>
      <w:r w:rsidR="000668F9">
        <w:rPr>
          <w:rFonts w:ascii="Times New Roman" w:hAnsi="Times New Roman" w:cs="Times New Roman"/>
          <w:sz w:val="24"/>
          <w:szCs w:val="24"/>
        </w:rPr>
        <w:t>I</w:t>
      </w:r>
      <w:r>
        <w:rPr>
          <w:rFonts w:ascii="Times New Roman" w:hAnsi="Times New Roman" w:cs="Times New Roman"/>
          <w:sz w:val="24"/>
          <w:szCs w:val="24"/>
        </w:rPr>
        <w:t xml:space="preserve">.3. </w:t>
      </w:r>
      <w:r w:rsidR="00C16598" w:rsidRPr="00BF6861">
        <w:rPr>
          <w:rFonts w:ascii="Times New Roman" w:hAnsi="Times New Roman" w:cs="Times New Roman"/>
          <w:caps w:val="0"/>
          <w:sz w:val="24"/>
          <w:szCs w:val="24"/>
        </w:rPr>
        <w:t>La production et les exportations du secteur extractif</w:t>
      </w:r>
      <w:bookmarkEnd w:id="153"/>
      <w:bookmarkEnd w:id="154"/>
    </w:p>
    <w:p w14:paraId="7CF50B0C" w14:textId="77777777" w:rsidR="00157F17" w:rsidRPr="00840E13" w:rsidRDefault="00157F17" w:rsidP="00157F17">
      <w:pPr>
        <w:ind w:left="567"/>
        <w:jc w:val="both"/>
        <w:rPr>
          <w:rFonts w:ascii="Times New Roman" w:eastAsiaTheme="minorHAnsi" w:hAnsi="Times New Roman"/>
          <w:sz w:val="24"/>
          <w:szCs w:val="24"/>
        </w:rPr>
      </w:pPr>
      <w:r w:rsidRPr="00840E13">
        <w:rPr>
          <w:rFonts w:ascii="Times New Roman" w:eastAsiaTheme="minorHAnsi" w:hAnsi="Times New Roman"/>
          <w:sz w:val="24"/>
          <w:szCs w:val="24"/>
        </w:rPr>
        <w:t xml:space="preserve">La divulgation des informations liées à la production et aux exportations permet aux parties prenantes d’évaluer la contribution du secteur extractif à la formation du PIB et de comprendre comment sont générés les revenus de l’Etat issus des recettes des exportations réalisées par les entreprises </w:t>
      </w:r>
    </w:p>
    <w:p w14:paraId="5FB5D394" w14:textId="77777777" w:rsidR="00157F17" w:rsidRPr="00840E13" w:rsidRDefault="00157F17" w:rsidP="00157F17">
      <w:pPr>
        <w:spacing w:after="0"/>
        <w:ind w:left="851"/>
        <w:rPr>
          <w:rStyle w:val="Titre3Car"/>
          <w:rFonts w:ascii="Times New Roman" w:hAnsi="Times New Roman"/>
          <w:sz w:val="24"/>
          <w:szCs w:val="24"/>
        </w:rPr>
      </w:pPr>
      <w:bookmarkStart w:id="155" w:name="_Toc516048000"/>
      <w:bookmarkStart w:id="156" w:name="_Toc518468088"/>
      <w:r>
        <w:rPr>
          <w:rStyle w:val="Titre3Car"/>
          <w:rFonts w:ascii="Times New Roman" w:hAnsi="Times New Roman"/>
          <w:sz w:val="24"/>
        </w:rPr>
        <w:t xml:space="preserve">3.1. </w:t>
      </w:r>
      <w:r w:rsidRPr="00840E13">
        <w:rPr>
          <w:rStyle w:val="Titre3Car"/>
          <w:rFonts w:ascii="Times New Roman" w:hAnsi="Times New Roman"/>
          <w:sz w:val="24"/>
        </w:rPr>
        <w:t xml:space="preserve"> </w:t>
      </w:r>
      <w:r w:rsidRPr="00840E13">
        <w:rPr>
          <w:rStyle w:val="Titre3Car"/>
          <w:rFonts w:ascii="Times New Roman" w:hAnsi="Times New Roman"/>
          <w:sz w:val="24"/>
          <w:szCs w:val="24"/>
        </w:rPr>
        <w:t>Secteur des Hydrocarbures</w:t>
      </w:r>
      <w:bookmarkEnd w:id="155"/>
      <w:bookmarkEnd w:id="156"/>
    </w:p>
    <w:p w14:paraId="5D82B74B" w14:textId="77777777" w:rsidR="00157F17" w:rsidRPr="00840E13" w:rsidRDefault="00157F17" w:rsidP="00157F17">
      <w:pPr>
        <w:autoSpaceDE w:val="0"/>
        <w:autoSpaceDN w:val="0"/>
        <w:adjustRightInd w:val="0"/>
        <w:spacing w:after="0"/>
        <w:ind w:left="851"/>
        <w:rPr>
          <w:rFonts w:ascii="Times New Roman" w:eastAsiaTheme="minorHAnsi" w:hAnsi="Times New Roman"/>
          <w:bCs/>
          <w:color w:val="000000"/>
          <w:szCs w:val="20"/>
        </w:rPr>
      </w:pPr>
    </w:p>
    <w:p w14:paraId="7ABEB2FA" w14:textId="77777777" w:rsidR="00157F17" w:rsidRPr="00B7713F" w:rsidRDefault="00157F17" w:rsidP="00157F17">
      <w:pPr>
        <w:autoSpaceDE w:val="0"/>
        <w:autoSpaceDN w:val="0"/>
        <w:adjustRightInd w:val="0"/>
        <w:spacing w:after="0"/>
        <w:ind w:left="851"/>
        <w:jc w:val="both"/>
        <w:rPr>
          <w:rFonts w:ascii="Times New Roman" w:eastAsiaTheme="minorHAnsi" w:hAnsi="Times New Roman"/>
          <w:color w:val="000000"/>
          <w:szCs w:val="20"/>
        </w:rPr>
      </w:pPr>
      <w:r w:rsidRPr="00840E13">
        <w:rPr>
          <w:rFonts w:ascii="Times New Roman" w:eastAsiaTheme="minorHAnsi" w:hAnsi="Times New Roman"/>
          <w:color w:val="000000"/>
          <w:szCs w:val="20"/>
        </w:rPr>
        <w:t>Dans le cadre de l’élaboration du présent rapport, le Comité Exécutif a décidé de concilier les données sur la production et les exportations déclarées par les entreprises pétrolières avec celles déclarées par le Secrétariat Général des Hydrocarbures (SGH).</w:t>
      </w:r>
    </w:p>
    <w:p w14:paraId="00E50EE5" w14:textId="77777777" w:rsidR="00157F17" w:rsidRPr="00840E13" w:rsidRDefault="00157F17" w:rsidP="00157F17">
      <w:pPr>
        <w:pStyle w:val="Titre4"/>
        <w:ind w:left="851"/>
        <w:rPr>
          <w:rFonts w:ascii="Times New Roman" w:eastAsiaTheme="minorHAnsi" w:hAnsi="Times New Roman" w:cs="Times New Roman"/>
          <w:bCs/>
        </w:rPr>
      </w:pPr>
      <w:r w:rsidRPr="00840E13">
        <w:rPr>
          <w:rFonts w:ascii="Times New Roman" w:eastAsiaTheme="minorHAnsi" w:hAnsi="Times New Roman" w:cs="Times New Roman"/>
        </w:rPr>
        <w:t xml:space="preserve">a) Production </w:t>
      </w:r>
    </w:p>
    <w:p w14:paraId="6E791439" w14:textId="77777777" w:rsidR="00157F17" w:rsidRPr="00840E13" w:rsidRDefault="00157F17" w:rsidP="00157F17">
      <w:pPr>
        <w:spacing w:after="0"/>
        <w:ind w:left="851"/>
        <w:jc w:val="both"/>
        <w:rPr>
          <w:rFonts w:ascii="Times New Roman" w:hAnsi="Times New Roman"/>
          <w:b/>
          <w:color w:val="323E4F" w:themeColor="text2" w:themeShade="BF"/>
        </w:rPr>
      </w:pPr>
      <w:r>
        <w:rPr>
          <w:rFonts w:ascii="Times New Roman" w:eastAsiaTheme="minorHAnsi" w:hAnsi="Times New Roman"/>
          <w:color w:val="000000"/>
          <w:szCs w:val="24"/>
        </w:rPr>
        <w:t xml:space="preserve">Les données sur  la </w:t>
      </w:r>
      <w:r w:rsidRPr="00840E13">
        <w:rPr>
          <w:rFonts w:ascii="Times New Roman" w:eastAsiaTheme="minorHAnsi" w:hAnsi="Times New Roman"/>
          <w:color w:val="000000"/>
          <w:szCs w:val="24"/>
        </w:rPr>
        <w:t xml:space="preserve"> production déclarées par les entreprises rapprochées avec celles fournies par le SGH sont résumées dans le tableau suivant </w:t>
      </w:r>
      <w:r w:rsidRPr="00840E13">
        <w:rPr>
          <w:rFonts w:ascii="Times New Roman" w:eastAsiaTheme="minorHAnsi" w:hAnsi="Times New Roman"/>
          <w:color w:val="000000"/>
          <w:szCs w:val="20"/>
        </w:rPr>
        <w:t>:</w:t>
      </w:r>
    </w:p>
    <w:p w14:paraId="3609AEEB" w14:textId="77777777" w:rsidR="00157F17" w:rsidRPr="00840E13" w:rsidRDefault="00157F17" w:rsidP="00157F17">
      <w:pPr>
        <w:spacing w:after="0"/>
        <w:rPr>
          <w:rFonts w:ascii="Times New Roman" w:hAnsi="Times New Roman"/>
          <w:b/>
          <w:color w:val="323E4F" w:themeColor="text2" w:themeShade="BF"/>
        </w:rPr>
      </w:pPr>
    </w:p>
    <w:tbl>
      <w:tblPr>
        <w:tblStyle w:val="TableauGrille1Clair1"/>
        <w:tblW w:w="3165" w:type="pct"/>
        <w:tblInd w:w="846" w:type="dxa"/>
        <w:tblLook w:val="04A0" w:firstRow="1" w:lastRow="0" w:firstColumn="1" w:lastColumn="0" w:noHBand="0" w:noVBand="1"/>
      </w:tblPr>
      <w:tblGrid>
        <w:gridCol w:w="1658"/>
        <w:gridCol w:w="2313"/>
        <w:gridCol w:w="2125"/>
      </w:tblGrid>
      <w:tr w:rsidR="00495B53" w:rsidRPr="00002ED3" w14:paraId="47D6FE96" w14:textId="77777777" w:rsidTr="00002ED3">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59" w:type="pct"/>
            <w:vMerge w:val="restart"/>
            <w:vAlign w:val="center"/>
            <w:hideMark/>
          </w:tcPr>
          <w:p w14:paraId="2C883514" w14:textId="77777777" w:rsidR="00157F17" w:rsidRPr="00002ED3" w:rsidRDefault="00157F17" w:rsidP="00002ED3">
            <w:pPr>
              <w:jc w:val="center"/>
              <w:rPr>
                <w:rFonts w:ascii="Times New Roman" w:hAnsi="Times New Roman"/>
                <w:color w:val="404040" w:themeColor="text1" w:themeTint="BF"/>
                <w:sz w:val="16"/>
                <w:szCs w:val="16"/>
                <w:lang w:eastAsia="en-GB"/>
              </w:rPr>
            </w:pPr>
            <w:r w:rsidRPr="00002ED3">
              <w:rPr>
                <w:rFonts w:ascii="Times New Roman" w:hAnsi="Times New Roman"/>
                <w:color w:val="404040" w:themeColor="text1" w:themeTint="BF"/>
                <w:sz w:val="16"/>
                <w:szCs w:val="16"/>
                <w:lang w:eastAsia="en-GB"/>
              </w:rPr>
              <w:t>Production</w:t>
            </w:r>
          </w:p>
        </w:tc>
        <w:tc>
          <w:tcPr>
            <w:tcW w:w="1897" w:type="pct"/>
            <w:vAlign w:val="center"/>
            <w:hideMark/>
          </w:tcPr>
          <w:p w14:paraId="00691397" w14:textId="77777777" w:rsidR="00157F17" w:rsidRPr="00002ED3" w:rsidRDefault="00157F17" w:rsidP="00002ED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404040" w:themeColor="text1" w:themeTint="BF"/>
                <w:sz w:val="16"/>
                <w:szCs w:val="16"/>
                <w:lang w:eastAsia="en-GB"/>
              </w:rPr>
            </w:pPr>
            <w:r w:rsidRPr="00002ED3">
              <w:rPr>
                <w:rFonts w:ascii="Times New Roman" w:hAnsi="Times New Roman"/>
                <w:color w:val="404040" w:themeColor="text1" w:themeTint="BF"/>
                <w:sz w:val="16"/>
                <w:szCs w:val="16"/>
                <w:lang w:eastAsia="en-GB"/>
              </w:rPr>
              <w:t>Entreprises</w:t>
            </w:r>
          </w:p>
        </w:tc>
        <w:tc>
          <w:tcPr>
            <w:tcW w:w="1743" w:type="pct"/>
            <w:vAlign w:val="center"/>
          </w:tcPr>
          <w:p w14:paraId="5A213ABB" w14:textId="77777777" w:rsidR="00157F17" w:rsidRPr="00002ED3" w:rsidRDefault="00157F17" w:rsidP="00002ED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404040" w:themeColor="text1" w:themeTint="BF"/>
                <w:sz w:val="16"/>
                <w:szCs w:val="16"/>
                <w:lang w:eastAsia="en-GB"/>
              </w:rPr>
            </w:pPr>
            <w:r w:rsidRPr="00002ED3">
              <w:rPr>
                <w:rFonts w:ascii="Times New Roman" w:hAnsi="Times New Roman"/>
                <w:color w:val="404040" w:themeColor="text1" w:themeTint="BF"/>
                <w:sz w:val="16"/>
                <w:szCs w:val="16"/>
                <w:lang w:eastAsia="en-GB"/>
              </w:rPr>
              <w:t>SGH</w:t>
            </w:r>
          </w:p>
        </w:tc>
      </w:tr>
      <w:tr w:rsidR="00157F17" w:rsidRPr="00840E13" w14:paraId="54825E60"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1359" w:type="pct"/>
            <w:vMerge/>
            <w:hideMark/>
          </w:tcPr>
          <w:p w14:paraId="1DF1A2E0" w14:textId="77777777" w:rsidR="00157F17" w:rsidRPr="00840E13" w:rsidRDefault="00157F17" w:rsidP="00E4464E">
            <w:pPr>
              <w:rPr>
                <w:rFonts w:ascii="Times New Roman" w:hAnsi="Times New Roman"/>
                <w:b w:val="0"/>
                <w:color w:val="FFFFFF"/>
                <w:sz w:val="16"/>
                <w:szCs w:val="16"/>
                <w:lang w:eastAsia="en-GB"/>
              </w:rPr>
            </w:pPr>
          </w:p>
        </w:tc>
        <w:tc>
          <w:tcPr>
            <w:tcW w:w="1897" w:type="pct"/>
            <w:hideMark/>
          </w:tcPr>
          <w:p w14:paraId="5A0231CE" w14:textId="77777777" w:rsidR="00157F17" w:rsidRPr="00495B53" w:rsidRDefault="00157F17" w:rsidP="00E446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404040" w:themeColor="text1" w:themeTint="BF"/>
                <w:sz w:val="16"/>
                <w:szCs w:val="16"/>
                <w:lang w:eastAsia="en-GB"/>
              </w:rPr>
            </w:pPr>
            <w:proofErr w:type="spellStart"/>
            <w:r w:rsidRPr="00495B53">
              <w:rPr>
                <w:rFonts w:ascii="Times New Roman" w:hAnsi="Times New Roman"/>
                <w:b/>
                <w:color w:val="404040" w:themeColor="text1" w:themeTint="BF"/>
                <w:sz w:val="16"/>
                <w:szCs w:val="16"/>
                <w:lang w:eastAsia="en-GB"/>
              </w:rPr>
              <w:t>Qté</w:t>
            </w:r>
            <w:proofErr w:type="spellEnd"/>
            <w:r w:rsidRPr="00495B53">
              <w:rPr>
                <w:rFonts w:ascii="Times New Roman" w:hAnsi="Times New Roman"/>
                <w:b/>
                <w:color w:val="404040" w:themeColor="text1" w:themeTint="BF"/>
                <w:sz w:val="16"/>
                <w:szCs w:val="16"/>
                <w:lang w:eastAsia="en-GB"/>
              </w:rPr>
              <w:t xml:space="preserve"> (bbl)</w:t>
            </w:r>
          </w:p>
        </w:tc>
        <w:tc>
          <w:tcPr>
            <w:tcW w:w="1743" w:type="pct"/>
            <w:hideMark/>
          </w:tcPr>
          <w:p w14:paraId="213DA226" w14:textId="77777777" w:rsidR="00157F17" w:rsidRPr="00495B53" w:rsidRDefault="00157F17" w:rsidP="00E4464E">
            <w:pPr>
              <w:ind w:hanging="1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404040" w:themeColor="text1" w:themeTint="BF"/>
                <w:sz w:val="16"/>
                <w:szCs w:val="16"/>
                <w:lang w:eastAsia="en-GB"/>
              </w:rPr>
            </w:pPr>
            <w:proofErr w:type="spellStart"/>
            <w:r w:rsidRPr="00495B53">
              <w:rPr>
                <w:rFonts w:ascii="Times New Roman" w:hAnsi="Times New Roman"/>
                <w:b/>
                <w:color w:val="404040" w:themeColor="text1" w:themeTint="BF"/>
                <w:sz w:val="16"/>
                <w:szCs w:val="16"/>
                <w:lang w:eastAsia="en-GB"/>
              </w:rPr>
              <w:t>Qté</w:t>
            </w:r>
            <w:proofErr w:type="spellEnd"/>
            <w:r w:rsidRPr="00495B53">
              <w:rPr>
                <w:rFonts w:ascii="Times New Roman" w:hAnsi="Times New Roman"/>
                <w:b/>
                <w:color w:val="404040" w:themeColor="text1" w:themeTint="BF"/>
                <w:sz w:val="16"/>
                <w:szCs w:val="16"/>
                <w:lang w:eastAsia="en-GB"/>
              </w:rPr>
              <w:t xml:space="preserve"> (bbl)</w:t>
            </w:r>
          </w:p>
        </w:tc>
      </w:tr>
      <w:tr w:rsidR="00157F17" w:rsidRPr="00840E13" w14:paraId="11DD129E" w14:textId="77777777" w:rsidTr="00495B53">
        <w:trPr>
          <w:trHeight w:val="300"/>
        </w:trPr>
        <w:tc>
          <w:tcPr>
            <w:cnfStyle w:val="001000000000" w:firstRow="0" w:lastRow="0" w:firstColumn="1" w:lastColumn="0" w:oddVBand="0" w:evenVBand="0" w:oddHBand="0" w:evenHBand="0" w:firstRowFirstColumn="0" w:firstRowLastColumn="0" w:lastRowFirstColumn="0" w:lastRowLastColumn="0"/>
            <w:tcW w:w="1359" w:type="pct"/>
          </w:tcPr>
          <w:p w14:paraId="286B6929" w14:textId="77777777" w:rsidR="00157F17" w:rsidRPr="00840E13" w:rsidRDefault="00157F17" w:rsidP="00E4464E">
            <w:pPr>
              <w:rPr>
                <w:rFonts w:ascii="Times New Roman" w:hAnsi="Times New Roman"/>
                <w:bCs w:val="0"/>
                <w:color w:val="000000"/>
                <w:sz w:val="16"/>
                <w:szCs w:val="16"/>
                <w:lang w:eastAsia="fr-FR"/>
              </w:rPr>
            </w:pPr>
            <w:r w:rsidRPr="00840E13">
              <w:rPr>
                <w:rFonts w:ascii="Times New Roman" w:hAnsi="Times New Roman"/>
                <w:color w:val="000000"/>
                <w:sz w:val="16"/>
                <w:szCs w:val="16"/>
                <w:lang w:val="en-GB" w:eastAsia="fr-FR"/>
              </w:rPr>
              <w:t xml:space="preserve">MIOC </w:t>
            </w:r>
          </w:p>
        </w:tc>
        <w:tc>
          <w:tcPr>
            <w:tcW w:w="1897" w:type="pct"/>
          </w:tcPr>
          <w:p w14:paraId="3BAE0D08"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val="en-GB" w:eastAsia="fr-FR"/>
              </w:rPr>
              <w:t xml:space="preserve">       2 317 116  </w:t>
            </w:r>
          </w:p>
        </w:tc>
        <w:tc>
          <w:tcPr>
            <w:tcW w:w="1743" w:type="pct"/>
          </w:tcPr>
          <w:p w14:paraId="1F36BC28"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val="en-GB" w:eastAsia="fr-FR"/>
              </w:rPr>
              <w:t xml:space="preserve">       2 317 116  </w:t>
            </w:r>
          </w:p>
        </w:tc>
      </w:tr>
      <w:tr w:rsidR="00157F17" w:rsidRPr="00840E13" w14:paraId="2FF9D6CE"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1359" w:type="pct"/>
          </w:tcPr>
          <w:p w14:paraId="691FE0D5" w14:textId="77777777" w:rsidR="00157F17" w:rsidRPr="00840E13" w:rsidRDefault="00157F17" w:rsidP="00E4464E">
            <w:pPr>
              <w:rPr>
                <w:rFonts w:ascii="Times New Roman" w:hAnsi="Times New Roman"/>
                <w:bCs w:val="0"/>
                <w:color w:val="000000"/>
                <w:sz w:val="16"/>
                <w:szCs w:val="16"/>
                <w:lang w:eastAsia="fr-FR"/>
              </w:rPr>
            </w:pPr>
            <w:r w:rsidRPr="00840E13">
              <w:rPr>
                <w:rFonts w:ascii="Times New Roman" w:hAnsi="Times New Roman"/>
                <w:color w:val="000000"/>
                <w:sz w:val="16"/>
                <w:szCs w:val="16"/>
                <w:lang w:val="en-GB" w:eastAsia="fr-FR"/>
              </w:rPr>
              <w:t>PERENCOREP</w:t>
            </w:r>
          </w:p>
        </w:tc>
        <w:tc>
          <w:tcPr>
            <w:tcW w:w="1897" w:type="pct"/>
          </w:tcPr>
          <w:p w14:paraId="07013661"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val="en-GB" w:eastAsia="fr-FR"/>
              </w:rPr>
              <w:t xml:space="preserve">1 746 993   </w:t>
            </w:r>
          </w:p>
        </w:tc>
        <w:tc>
          <w:tcPr>
            <w:tcW w:w="1743" w:type="pct"/>
          </w:tcPr>
          <w:p w14:paraId="548FE966"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val="en-GB" w:eastAsia="fr-FR"/>
              </w:rPr>
              <w:t xml:space="preserve">1 746 993   </w:t>
            </w:r>
          </w:p>
        </w:tc>
      </w:tr>
      <w:tr w:rsidR="00157F17" w:rsidRPr="00840E13" w14:paraId="58D50E15"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1359" w:type="pct"/>
          </w:tcPr>
          <w:p w14:paraId="1EB27421" w14:textId="77777777" w:rsidR="00157F17" w:rsidRPr="00840E13" w:rsidRDefault="00157F17" w:rsidP="00E4464E">
            <w:pPr>
              <w:rPr>
                <w:rFonts w:ascii="Times New Roman" w:hAnsi="Times New Roman"/>
                <w:bCs w:val="0"/>
                <w:color w:val="000000"/>
                <w:sz w:val="16"/>
                <w:szCs w:val="16"/>
                <w:lang w:eastAsia="fr-FR"/>
              </w:rPr>
            </w:pPr>
            <w:r w:rsidRPr="00840E13">
              <w:rPr>
                <w:rFonts w:ascii="Times New Roman" w:hAnsi="Times New Roman"/>
                <w:color w:val="000000"/>
                <w:sz w:val="16"/>
                <w:szCs w:val="16"/>
                <w:lang w:val="en-GB" w:eastAsia="fr-FR"/>
              </w:rPr>
              <w:t>TEIKOKU</w:t>
            </w:r>
          </w:p>
        </w:tc>
        <w:tc>
          <w:tcPr>
            <w:tcW w:w="1897" w:type="pct"/>
          </w:tcPr>
          <w:p w14:paraId="3F1DE0EB"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val="en-GB" w:eastAsia="fr-FR"/>
              </w:rPr>
              <w:t xml:space="preserve">       1 495 930   </w:t>
            </w:r>
          </w:p>
        </w:tc>
        <w:tc>
          <w:tcPr>
            <w:tcW w:w="1743" w:type="pct"/>
          </w:tcPr>
          <w:p w14:paraId="784A636C"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val="en-GB" w:eastAsia="fr-FR"/>
              </w:rPr>
              <w:t xml:space="preserve">       1 495 930   </w:t>
            </w:r>
          </w:p>
        </w:tc>
      </w:tr>
      <w:tr w:rsidR="00157F17" w:rsidRPr="00840E13" w14:paraId="0B370116" w14:textId="77777777" w:rsidTr="00495B53">
        <w:trPr>
          <w:trHeight w:val="450"/>
        </w:trPr>
        <w:tc>
          <w:tcPr>
            <w:cnfStyle w:val="001000000000" w:firstRow="0" w:lastRow="0" w:firstColumn="1" w:lastColumn="0" w:oddVBand="0" w:evenVBand="0" w:oddHBand="0" w:evenHBand="0" w:firstRowFirstColumn="0" w:firstRowLastColumn="0" w:lastRowFirstColumn="0" w:lastRowLastColumn="0"/>
            <w:tcW w:w="1359" w:type="pct"/>
          </w:tcPr>
          <w:p w14:paraId="008A328B" w14:textId="77777777" w:rsidR="00157F17" w:rsidRPr="00840E13" w:rsidRDefault="00157F17" w:rsidP="00E4464E">
            <w:pPr>
              <w:rPr>
                <w:rFonts w:ascii="Times New Roman" w:hAnsi="Times New Roman"/>
                <w:bCs w:val="0"/>
                <w:color w:val="000000"/>
                <w:sz w:val="16"/>
                <w:szCs w:val="16"/>
                <w:lang w:eastAsia="fr-FR"/>
              </w:rPr>
            </w:pPr>
            <w:r w:rsidRPr="00840E13">
              <w:rPr>
                <w:rFonts w:ascii="Times New Roman" w:hAnsi="Times New Roman"/>
                <w:color w:val="000000"/>
                <w:sz w:val="16"/>
                <w:szCs w:val="16"/>
                <w:lang w:val="en-GB" w:eastAsia="fr-FR"/>
              </w:rPr>
              <w:t>LIREX</w:t>
            </w:r>
          </w:p>
        </w:tc>
        <w:tc>
          <w:tcPr>
            <w:tcW w:w="1897" w:type="pct"/>
          </w:tcPr>
          <w:p w14:paraId="50C1BC16"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val="en-GB" w:eastAsia="fr-FR"/>
              </w:rPr>
              <w:t xml:space="preserve">       1 455 825   </w:t>
            </w:r>
          </w:p>
        </w:tc>
        <w:tc>
          <w:tcPr>
            <w:tcW w:w="1743" w:type="pct"/>
          </w:tcPr>
          <w:p w14:paraId="33597DAC"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val="en-GB" w:eastAsia="fr-FR"/>
              </w:rPr>
              <w:t xml:space="preserve">       1 455 825   </w:t>
            </w:r>
          </w:p>
        </w:tc>
      </w:tr>
      <w:tr w:rsidR="00157F17" w:rsidRPr="00840E13" w14:paraId="2FC6C605" w14:textId="77777777" w:rsidTr="00495B53">
        <w:trPr>
          <w:trHeight w:val="300"/>
        </w:trPr>
        <w:tc>
          <w:tcPr>
            <w:cnfStyle w:val="001000000000" w:firstRow="0" w:lastRow="0" w:firstColumn="1" w:lastColumn="0" w:oddVBand="0" w:evenVBand="0" w:oddHBand="0" w:evenHBand="0" w:firstRowFirstColumn="0" w:firstRowLastColumn="0" w:lastRowFirstColumn="0" w:lastRowLastColumn="0"/>
            <w:tcW w:w="1359" w:type="pct"/>
            <w:hideMark/>
          </w:tcPr>
          <w:p w14:paraId="5831550D" w14:textId="77777777" w:rsidR="00157F17" w:rsidRPr="00840E13" w:rsidRDefault="00157F17" w:rsidP="00E4464E">
            <w:pPr>
              <w:rPr>
                <w:rFonts w:ascii="Times New Roman" w:hAnsi="Times New Roman"/>
                <w:b w:val="0"/>
                <w:color w:val="000000"/>
                <w:sz w:val="16"/>
                <w:szCs w:val="16"/>
                <w:lang w:val="en-GB" w:eastAsia="en-GB"/>
              </w:rPr>
            </w:pPr>
            <w:r w:rsidRPr="00840E13">
              <w:rPr>
                <w:rFonts w:ascii="Times New Roman" w:hAnsi="Times New Roman"/>
                <w:b w:val="0"/>
                <w:color w:val="000000"/>
                <w:sz w:val="16"/>
                <w:szCs w:val="16"/>
                <w:lang w:val="en-GB" w:eastAsia="en-GB"/>
              </w:rPr>
              <w:t>Total</w:t>
            </w:r>
          </w:p>
        </w:tc>
        <w:tc>
          <w:tcPr>
            <w:tcW w:w="1897" w:type="pct"/>
          </w:tcPr>
          <w:p w14:paraId="7798A611"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sz w:val="16"/>
                <w:szCs w:val="16"/>
                <w:lang w:val="en-GB" w:eastAsia="en-GB"/>
              </w:rPr>
            </w:pPr>
            <w:r w:rsidRPr="00840E13">
              <w:rPr>
                <w:rFonts w:ascii="Times New Roman" w:hAnsi="Times New Roman"/>
                <w:b/>
                <w:color w:val="000000"/>
                <w:sz w:val="16"/>
                <w:szCs w:val="16"/>
                <w:lang w:eastAsia="fr-FR"/>
              </w:rPr>
              <w:t>7 015 864</w:t>
            </w:r>
          </w:p>
        </w:tc>
        <w:tc>
          <w:tcPr>
            <w:tcW w:w="1743" w:type="pct"/>
          </w:tcPr>
          <w:p w14:paraId="3627CBEB"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sz w:val="16"/>
                <w:szCs w:val="16"/>
                <w:lang w:eastAsia="fr-FR"/>
              </w:rPr>
            </w:pPr>
            <w:r w:rsidRPr="00840E13">
              <w:rPr>
                <w:rFonts w:ascii="Times New Roman" w:hAnsi="Times New Roman"/>
                <w:b/>
                <w:color w:val="000000"/>
                <w:sz w:val="16"/>
                <w:szCs w:val="16"/>
                <w:lang w:eastAsia="fr-FR"/>
              </w:rPr>
              <w:t>7 015 864</w:t>
            </w:r>
          </w:p>
        </w:tc>
      </w:tr>
    </w:tbl>
    <w:p w14:paraId="77A78AE0" w14:textId="77777777" w:rsidR="00157F17" w:rsidRPr="00840E13" w:rsidRDefault="00157F17" w:rsidP="00157F17">
      <w:pPr>
        <w:spacing w:after="0"/>
        <w:rPr>
          <w:rFonts w:ascii="Times New Roman" w:hAnsi="Times New Roman"/>
          <w:color w:val="FF0000"/>
        </w:rPr>
      </w:pPr>
    </w:p>
    <w:p w14:paraId="7187A424" w14:textId="77777777" w:rsidR="00157F17" w:rsidRPr="00840E13" w:rsidRDefault="00157F17" w:rsidP="00157F17">
      <w:pPr>
        <w:pStyle w:val="Titre4"/>
        <w:ind w:left="851"/>
        <w:rPr>
          <w:rFonts w:ascii="Times New Roman" w:eastAsiaTheme="minorHAnsi" w:hAnsi="Times New Roman" w:cs="Times New Roman"/>
          <w:bCs/>
          <w:color w:val="000000"/>
          <w:szCs w:val="20"/>
        </w:rPr>
      </w:pPr>
      <w:r w:rsidRPr="00840E13">
        <w:rPr>
          <w:rFonts w:ascii="Times New Roman" w:eastAsiaTheme="minorHAnsi" w:hAnsi="Times New Roman" w:cs="Times New Roman"/>
        </w:rPr>
        <w:t xml:space="preserve">b) Exportation </w:t>
      </w:r>
    </w:p>
    <w:p w14:paraId="7BB0E126" w14:textId="77777777" w:rsidR="00157F17" w:rsidRPr="00840E13" w:rsidRDefault="00157F17" w:rsidP="00157F17">
      <w:pPr>
        <w:spacing w:after="0"/>
        <w:ind w:left="851"/>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Le rapprochement des données sur les </w:t>
      </w:r>
      <w:r w:rsidRPr="00840E13">
        <w:rPr>
          <w:rFonts w:ascii="Times New Roman" w:eastAsiaTheme="minorHAnsi" w:hAnsi="Times New Roman"/>
          <w:color w:val="000000"/>
          <w:sz w:val="24"/>
          <w:szCs w:val="24"/>
        </w:rPr>
        <w:t xml:space="preserve"> exportations déclarées</w:t>
      </w:r>
      <w:r>
        <w:rPr>
          <w:rFonts w:ascii="Times New Roman" w:eastAsiaTheme="minorHAnsi" w:hAnsi="Times New Roman"/>
          <w:color w:val="000000"/>
          <w:sz w:val="24"/>
          <w:szCs w:val="24"/>
        </w:rPr>
        <w:t xml:space="preserve"> par les entreprises</w:t>
      </w:r>
      <w:r w:rsidRPr="00840E13">
        <w:rPr>
          <w:rFonts w:ascii="Times New Roman" w:eastAsiaTheme="minorHAnsi" w:hAnsi="Times New Roman"/>
          <w:color w:val="000000"/>
          <w:sz w:val="24"/>
          <w:szCs w:val="24"/>
        </w:rPr>
        <w:t xml:space="preserve"> avec</w:t>
      </w:r>
      <w:r>
        <w:rPr>
          <w:rFonts w:ascii="Times New Roman" w:eastAsiaTheme="minorHAnsi" w:hAnsi="Times New Roman"/>
          <w:color w:val="000000"/>
          <w:sz w:val="24"/>
          <w:szCs w:val="24"/>
        </w:rPr>
        <w:t xml:space="preserve"> celles fournies par le SGH est  contenu dans le tableau ci-après</w:t>
      </w:r>
      <w:r w:rsidRPr="00840E13">
        <w:rPr>
          <w:rFonts w:ascii="Times New Roman" w:eastAsiaTheme="minorHAnsi" w:hAnsi="Times New Roman"/>
          <w:color w:val="000000"/>
          <w:sz w:val="24"/>
          <w:szCs w:val="24"/>
        </w:rPr>
        <w:t> :</w:t>
      </w:r>
    </w:p>
    <w:p w14:paraId="4BBA7A8C" w14:textId="77777777" w:rsidR="00157F17" w:rsidRPr="00840E13" w:rsidRDefault="00157F17" w:rsidP="00157F17">
      <w:pPr>
        <w:spacing w:after="0"/>
        <w:ind w:left="426"/>
        <w:rPr>
          <w:rFonts w:ascii="Times New Roman" w:hAnsi="Times New Roman"/>
          <w:b/>
          <w:color w:val="323E4F" w:themeColor="text2" w:themeShade="BF"/>
        </w:rPr>
      </w:pPr>
    </w:p>
    <w:tbl>
      <w:tblPr>
        <w:tblStyle w:val="TableauGrille1Clair1"/>
        <w:tblW w:w="6682" w:type="dxa"/>
        <w:tblInd w:w="846" w:type="dxa"/>
        <w:tblLook w:val="04A0" w:firstRow="1" w:lastRow="0" w:firstColumn="1" w:lastColumn="0" w:noHBand="0" w:noVBand="1"/>
      </w:tblPr>
      <w:tblGrid>
        <w:gridCol w:w="1842"/>
        <w:gridCol w:w="1240"/>
        <w:gridCol w:w="1200"/>
        <w:gridCol w:w="1200"/>
        <w:gridCol w:w="1200"/>
      </w:tblGrid>
      <w:tr w:rsidR="00495B53" w:rsidRPr="00002ED3" w14:paraId="07809C5D" w14:textId="77777777" w:rsidTr="00002ED3">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2" w:type="dxa"/>
            <w:vMerge w:val="restart"/>
            <w:vAlign w:val="center"/>
            <w:hideMark/>
          </w:tcPr>
          <w:p w14:paraId="4BFC1D8F" w14:textId="77777777" w:rsidR="00157F17" w:rsidRPr="00002ED3" w:rsidRDefault="00157F17" w:rsidP="00002ED3">
            <w:pPr>
              <w:jc w:val="center"/>
              <w:rPr>
                <w:rFonts w:ascii="Times New Roman" w:hAnsi="Times New Roman"/>
                <w:color w:val="404040" w:themeColor="text1" w:themeTint="BF"/>
                <w:sz w:val="16"/>
                <w:szCs w:val="16"/>
                <w:lang w:eastAsia="fr-FR"/>
              </w:rPr>
            </w:pPr>
            <w:r w:rsidRPr="00002ED3">
              <w:rPr>
                <w:rFonts w:ascii="Times New Roman" w:hAnsi="Times New Roman"/>
                <w:color w:val="404040" w:themeColor="text1" w:themeTint="BF"/>
                <w:sz w:val="16"/>
                <w:szCs w:val="16"/>
                <w:lang w:eastAsia="en-GB"/>
              </w:rPr>
              <w:t>Exportation</w:t>
            </w:r>
          </w:p>
        </w:tc>
        <w:tc>
          <w:tcPr>
            <w:tcW w:w="2440" w:type="dxa"/>
            <w:gridSpan w:val="2"/>
            <w:vAlign w:val="center"/>
            <w:hideMark/>
          </w:tcPr>
          <w:p w14:paraId="2206C27B" w14:textId="77777777" w:rsidR="00157F17" w:rsidRPr="00002ED3" w:rsidRDefault="00157F17" w:rsidP="00002ED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404040" w:themeColor="text1" w:themeTint="BF"/>
                <w:sz w:val="16"/>
                <w:szCs w:val="16"/>
                <w:lang w:eastAsia="fr-FR"/>
              </w:rPr>
            </w:pPr>
            <w:r w:rsidRPr="00002ED3">
              <w:rPr>
                <w:rFonts w:ascii="Times New Roman" w:hAnsi="Times New Roman"/>
                <w:color w:val="404040" w:themeColor="text1" w:themeTint="BF"/>
                <w:sz w:val="16"/>
                <w:szCs w:val="16"/>
                <w:lang w:eastAsia="en-GB"/>
              </w:rPr>
              <w:t>Société</w:t>
            </w:r>
          </w:p>
        </w:tc>
        <w:tc>
          <w:tcPr>
            <w:tcW w:w="2400" w:type="dxa"/>
            <w:gridSpan w:val="2"/>
            <w:vAlign w:val="center"/>
            <w:hideMark/>
          </w:tcPr>
          <w:p w14:paraId="785F9FC1" w14:textId="77777777" w:rsidR="00157F17" w:rsidRPr="00002ED3" w:rsidRDefault="00157F17" w:rsidP="00002ED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404040" w:themeColor="text1" w:themeTint="BF"/>
                <w:sz w:val="16"/>
                <w:szCs w:val="16"/>
                <w:lang w:eastAsia="fr-FR"/>
              </w:rPr>
            </w:pPr>
            <w:r w:rsidRPr="00002ED3">
              <w:rPr>
                <w:rFonts w:ascii="Times New Roman" w:hAnsi="Times New Roman"/>
                <w:color w:val="404040" w:themeColor="text1" w:themeTint="BF"/>
                <w:sz w:val="16"/>
                <w:szCs w:val="16"/>
                <w:lang w:eastAsia="en-GB"/>
              </w:rPr>
              <w:t>SGH</w:t>
            </w:r>
          </w:p>
        </w:tc>
      </w:tr>
      <w:tr w:rsidR="00495B53" w:rsidRPr="00495B53" w14:paraId="0ACE364D"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1842" w:type="dxa"/>
            <w:vMerge/>
            <w:hideMark/>
          </w:tcPr>
          <w:p w14:paraId="6BFB48F7" w14:textId="77777777" w:rsidR="00157F17" w:rsidRPr="00495B53" w:rsidRDefault="00157F17" w:rsidP="00E4464E">
            <w:pPr>
              <w:rPr>
                <w:rFonts w:ascii="Times New Roman" w:hAnsi="Times New Roman"/>
                <w:b w:val="0"/>
                <w:color w:val="404040" w:themeColor="text1" w:themeTint="BF"/>
                <w:sz w:val="16"/>
                <w:szCs w:val="16"/>
                <w:lang w:eastAsia="fr-FR"/>
              </w:rPr>
            </w:pPr>
          </w:p>
        </w:tc>
        <w:tc>
          <w:tcPr>
            <w:tcW w:w="1240" w:type="dxa"/>
            <w:hideMark/>
          </w:tcPr>
          <w:p w14:paraId="222B19E1" w14:textId="77777777" w:rsidR="00157F17" w:rsidRPr="00495B53" w:rsidRDefault="00157F17" w:rsidP="00E446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404040" w:themeColor="text1" w:themeTint="BF"/>
                <w:sz w:val="16"/>
                <w:szCs w:val="16"/>
                <w:lang w:eastAsia="fr-FR"/>
              </w:rPr>
            </w:pPr>
            <w:proofErr w:type="spellStart"/>
            <w:r w:rsidRPr="00495B53">
              <w:rPr>
                <w:rFonts w:ascii="Times New Roman" w:hAnsi="Times New Roman"/>
                <w:b/>
                <w:color w:val="404040" w:themeColor="text1" w:themeTint="BF"/>
                <w:sz w:val="16"/>
                <w:szCs w:val="16"/>
                <w:lang w:eastAsia="en-GB"/>
              </w:rPr>
              <w:t>Qté</w:t>
            </w:r>
            <w:proofErr w:type="spellEnd"/>
            <w:r w:rsidRPr="00495B53">
              <w:rPr>
                <w:rFonts w:ascii="Times New Roman" w:hAnsi="Times New Roman"/>
                <w:b/>
                <w:color w:val="404040" w:themeColor="text1" w:themeTint="BF"/>
                <w:sz w:val="16"/>
                <w:szCs w:val="16"/>
                <w:lang w:eastAsia="en-GB"/>
              </w:rPr>
              <w:t xml:space="preserve"> (bbl)</w:t>
            </w:r>
          </w:p>
        </w:tc>
        <w:tc>
          <w:tcPr>
            <w:tcW w:w="1200" w:type="dxa"/>
            <w:hideMark/>
          </w:tcPr>
          <w:p w14:paraId="6A8C80D0" w14:textId="77777777" w:rsidR="00157F17" w:rsidRPr="00495B53" w:rsidRDefault="00157F17" w:rsidP="00E446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404040" w:themeColor="text1" w:themeTint="BF"/>
                <w:sz w:val="16"/>
                <w:szCs w:val="16"/>
                <w:lang w:eastAsia="fr-FR"/>
              </w:rPr>
            </w:pPr>
            <w:r w:rsidRPr="00495B53">
              <w:rPr>
                <w:rFonts w:ascii="Times New Roman" w:hAnsi="Times New Roman"/>
                <w:b/>
                <w:color w:val="404040" w:themeColor="text1" w:themeTint="BF"/>
                <w:sz w:val="16"/>
                <w:szCs w:val="16"/>
                <w:lang w:eastAsia="en-GB"/>
              </w:rPr>
              <w:t>Valeur (USD)</w:t>
            </w:r>
          </w:p>
        </w:tc>
        <w:tc>
          <w:tcPr>
            <w:tcW w:w="1200" w:type="dxa"/>
            <w:hideMark/>
          </w:tcPr>
          <w:p w14:paraId="2B368E9F" w14:textId="77777777" w:rsidR="00157F17" w:rsidRPr="00495B53" w:rsidRDefault="00157F17" w:rsidP="00E446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404040" w:themeColor="text1" w:themeTint="BF"/>
                <w:sz w:val="16"/>
                <w:szCs w:val="16"/>
                <w:lang w:eastAsia="fr-FR"/>
              </w:rPr>
            </w:pPr>
            <w:proofErr w:type="spellStart"/>
            <w:r w:rsidRPr="00495B53">
              <w:rPr>
                <w:rFonts w:ascii="Times New Roman" w:hAnsi="Times New Roman"/>
                <w:b/>
                <w:color w:val="404040" w:themeColor="text1" w:themeTint="BF"/>
                <w:sz w:val="16"/>
                <w:szCs w:val="16"/>
                <w:lang w:eastAsia="en-GB"/>
              </w:rPr>
              <w:t>Qté</w:t>
            </w:r>
            <w:proofErr w:type="spellEnd"/>
            <w:r w:rsidRPr="00495B53">
              <w:rPr>
                <w:rFonts w:ascii="Times New Roman" w:hAnsi="Times New Roman"/>
                <w:b/>
                <w:color w:val="404040" w:themeColor="text1" w:themeTint="BF"/>
                <w:sz w:val="16"/>
                <w:szCs w:val="16"/>
                <w:lang w:eastAsia="en-GB"/>
              </w:rPr>
              <w:t xml:space="preserve"> (bbl)</w:t>
            </w:r>
          </w:p>
        </w:tc>
        <w:tc>
          <w:tcPr>
            <w:tcW w:w="1200" w:type="dxa"/>
            <w:hideMark/>
          </w:tcPr>
          <w:p w14:paraId="670A222E" w14:textId="77777777" w:rsidR="00157F17" w:rsidRPr="00495B53" w:rsidRDefault="00157F17" w:rsidP="00E446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404040" w:themeColor="text1" w:themeTint="BF"/>
                <w:sz w:val="16"/>
                <w:szCs w:val="16"/>
                <w:lang w:eastAsia="fr-FR"/>
              </w:rPr>
            </w:pPr>
            <w:r w:rsidRPr="00495B53">
              <w:rPr>
                <w:rFonts w:ascii="Times New Roman" w:hAnsi="Times New Roman"/>
                <w:b/>
                <w:color w:val="404040" w:themeColor="text1" w:themeTint="BF"/>
                <w:sz w:val="16"/>
                <w:szCs w:val="16"/>
                <w:lang w:eastAsia="en-GB"/>
              </w:rPr>
              <w:t>Valeur (USD)</w:t>
            </w:r>
          </w:p>
        </w:tc>
      </w:tr>
      <w:tr w:rsidR="00495B53" w:rsidRPr="00495B53" w14:paraId="2A54FB56"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1842" w:type="dxa"/>
            <w:hideMark/>
          </w:tcPr>
          <w:p w14:paraId="2405D78E" w14:textId="77777777" w:rsidR="00157F17" w:rsidRPr="00495B53" w:rsidRDefault="00157F17" w:rsidP="00E4464E">
            <w:pPr>
              <w:rPr>
                <w:rFonts w:ascii="Times New Roman" w:hAnsi="Times New Roman"/>
                <w:bCs w:val="0"/>
                <w:color w:val="404040" w:themeColor="text1" w:themeTint="BF"/>
                <w:sz w:val="16"/>
                <w:szCs w:val="16"/>
                <w:lang w:eastAsia="fr-FR"/>
              </w:rPr>
            </w:pPr>
            <w:r w:rsidRPr="00495B53">
              <w:rPr>
                <w:rFonts w:ascii="Times New Roman" w:hAnsi="Times New Roman"/>
                <w:color w:val="404040" w:themeColor="text1" w:themeTint="BF"/>
                <w:sz w:val="16"/>
                <w:szCs w:val="16"/>
                <w:lang w:val="en-GB" w:eastAsia="fr-FR"/>
              </w:rPr>
              <w:t xml:space="preserve">MIOC </w:t>
            </w:r>
          </w:p>
        </w:tc>
        <w:tc>
          <w:tcPr>
            <w:tcW w:w="1240" w:type="dxa"/>
            <w:hideMark/>
          </w:tcPr>
          <w:p w14:paraId="0F2B232D"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404040" w:themeColor="text1" w:themeTint="BF"/>
                <w:sz w:val="16"/>
                <w:szCs w:val="16"/>
                <w:lang w:eastAsia="fr-FR"/>
              </w:rPr>
            </w:pPr>
            <w:r w:rsidRPr="00495B53">
              <w:rPr>
                <w:rFonts w:ascii="Times New Roman" w:hAnsi="Times New Roman"/>
                <w:color w:val="404040" w:themeColor="text1" w:themeTint="BF"/>
                <w:sz w:val="16"/>
                <w:szCs w:val="16"/>
                <w:lang w:eastAsia="fr-FR"/>
              </w:rPr>
              <w:t xml:space="preserve">      2 345 225   </w:t>
            </w:r>
          </w:p>
        </w:tc>
        <w:tc>
          <w:tcPr>
            <w:tcW w:w="1200" w:type="dxa"/>
            <w:hideMark/>
          </w:tcPr>
          <w:p w14:paraId="04F13EDB"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404040" w:themeColor="text1" w:themeTint="BF"/>
                <w:sz w:val="16"/>
                <w:szCs w:val="16"/>
                <w:lang w:eastAsia="fr-FR"/>
              </w:rPr>
            </w:pPr>
            <w:r w:rsidRPr="00495B53">
              <w:rPr>
                <w:rFonts w:ascii="Times New Roman" w:hAnsi="Times New Roman"/>
                <w:color w:val="404040" w:themeColor="text1" w:themeTint="BF"/>
                <w:sz w:val="16"/>
                <w:szCs w:val="16"/>
                <w:lang w:eastAsia="fr-FR"/>
              </w:rPr>
              <w:t xml:space="preserve">    56 931 530   </w:t>
            </w:r>
          </w:p>
        </w:tc>
        <w:tc>
          <w:tcPr>
            <w:tcW w:w="1200" w:type="dxa"/>
            <w:hideMark/>
          </w:tcPr>
          <w:p w14:paraId="3605124E"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404040" w:themeColor="text1" w:themeTint="BF"/>
                <w:sz w:val="16"/>
                <w:szCs w:val="16"/>
                <w:lang w:eastAsia="fr-FR"/>
              </w:rPr>
            </w:pPr>
            <w:r w:rsidRPr="00495B53">
              <w:rPr>
                <w:rFonts w:ascii="Times New Roman" w:hAnsi="Times New Roman"/>
                <w:color w:val="404040" w:themeColor="text1" w:themeTint="BF"/>
                <w:sz w:val="16"/>
                <w:szCs w:val="16"/>
                <w:lang w:eastAsia="fr-FR"/>
              </w:rPr>
              <w:t xml:space="preserve">      2 345 225   </w:t>
            </w:r>
          </w:p>
        </w:tc>
        <w:tc>
          <w:tcPr>
            <w:tcW w:w="1200" w:type="dxa"/>
            <w:hideMark/>
          </w:tcPr>
          <w:p w14:paraId="7B9BFD65"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404040" w:themeColor="text1" w:themeTint="BF"/>
                <w:sz w:val="16"/>
                <w:szCs w:val="16"/>
                <w:lang w:eastAsia="fr-FR"/>
              </w:rPr>
            </w:pPr>
            <w:r w:rsidRPr="00495B53">
              <w:rPr>
                <w:rFonts w:ascii="Times New Roman" w:hAnsi="Times New Roman"/>
                <w:color w:val="404040" w:themeColor="text1" w:themeTint="BF"/>
                <w:sz w:val="16"/>
                <w:szCs w:val="16"/>
                <w:lang w:eastAsia="fr-FR"/>
              </w:rPr>
              <w:t xml:space="preserve">    56 931 530   </w:t>
            </w:r>
          </w:p>
        </w:tc>
      </w:tr>
      <w:tr w:rsidR="00495B53" w:rsidRPr="00495B53" w14:paraId="65195D95"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1842" w:type="dxa"/>
            <w:hideMark/>
          </w:tcPr>
          <w:p w14:paraId="193ADE99" w14:textId="77777777" w:rsidR="00157F17" w:rsidRPr="00495B53" w:rsidRDefault="00157F17" w:rsidP="00E4464E">
            <w:pPr>
              <w:rPr>
                <w:rFonts w:ascii="Times New Roman" w:hAnsi="Times New Roman"/>
                <w:bCs w:val="0"/>
                <w:color w:val="404040" w:themeColor="text1" w:themeTint="BF"/>
                <w:sz w:val="16"/>
                <w:szCs w:val="16"/>
                <w:lang w:eastAsia="fr-FR"/>
              </w:rPr>
            </w:pPr>
            <w:r w:rsidRPr="00495B53">
              <w:rPr>
                <w:rFonts w:ascii="Times New Roman" w:hAnsi="Times New Roman"/>
                <w:color w:val="404040" w:themeColor="text1" w:themeTint="BF"/>
                <w:sz w:val="16"/>
                <w:szCs w:val="16"/>
                <w:lang w:val="en-GB" w:eastAsia="fr-FR"/>
              </w:rPr>
              <w:t>PERENCOREP</w:t>
            </w:r>
          </w:p>
        </w:tc>
        <w:tc>
          <w:tcPr>
            <w:tcW w:w="1240" w:type="dxa"/>
            <w:hideMark/>
          </w:tcPr>
          <w:p w14:paraId="027A4A95"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404040" w:themeColor="text1" w:themeTint="BF"/>
                <w:sz w:val="16"/>
                <w:szCs w:val="16"/>
                <w:lang w:eastAsia="fr-FR"/>
              </w:rPr>
            </w:pPr>
            <w:r w:rsidRPr="00495B53">
              <w:rPr>
                <w:rFonts w:ascii="Times New Roman" w:hAnsi="Times New Roman"/>
                <w:color w:val="404040" w:themeColor="text1" w:themeTint="BF"/>
                <w:sz w:val="16"/>
                <w:szCs w:val="16"/>
                <w:lang w:eastAsia="fr-FR"/>
              </w:rPr>
              <w:t xml:space="preserve">      1 813 000   </w:t>
            </w:r>
          </w:p>
        </w:tc>
        <w:tc>
          <w:tcPr>
            <w:tcW w:w="1200" w:type="dxa"/>
            <w:hideMark/>
          </w:tcPr>
          <w:p w14:paraId="288BF60B"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404040" w:themeColor="text1" w:themeTint="BF"/>
                <w:sz w:val="16"/>
                <w:szCs w:val="16"/>
                <w:lang w:eastAsia="fr-FR"/>
              </w:rPr>
            </w:pPr>
            <w:r w:rsidRPr="00495B53">
              <w:rPr>
                <w:rFonts w:ascii="Times New Roman" w:hAnsi="Times New Roman"/>
                <w:color w:val="404040" w:themeColor="text1" w:themeTint="BF"/>
                <w:sz w:val="16"/>
                <w:szCs w:val="16"/>
                <w:lang w:eastAsia="fr-FR"/>
              </w:rPr>
              <w:t xml:space="preserve">    90 225 943   </w:t>
            </w:r>
          </w:p>
        </w:tc>
        <w:tc>
          <w:tcPr>
            <w:tcW w:w="1200" w:type="dxa"/>
            <w:hideMark/>
          </w:tcPr>
          <w:p w14:paraId="1C6ADB84"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404040" w:themeColor="text1" w:themeTint="BF"/>
                <w:sz w:val="16"/>
                <w:szCs w:val="16"/>
                <w:lang w:eastAsia="fr-FR"/>
              </w:rPr>
            </w:pPr>
            <w:r w:rsidRPr="00495B53">
              <w:rPr>
                <w:rFonts w:ascii="Times New Roman" w:hAnsi="Times New Roman"/>
                <w:color w:val="404040" w:themeColor="text1" w:themeTint="BF"/>
                <w:sz w:val="16"/>
                <w:szCs w:val="16"/>
                <w:lang w:eastAsia="fr-FR"/>
              </w:rPr>
              <w:t xml:space="preserve">      1 813 000   </w:t>
            </w:r>
          </w:p>
        </w:tc>
        <w:tc>
          <w:tcPr>
            <w:tcW w:w="1200" w:type="dxa"/>
            <w:hideMark/>
          </w:tcPr>
          <w:p w14:paraId="4A74276D"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404040" w:themeColor="text1" w:themeTint="BF"/>
                <w:sz w:val="16"/>
                <w:szCs w:val="16"/>
                <w:lang w:eastAsia="fr-FR"/>
              </w:rPr>
            </w:pPr>
            <w:r w:rsidRPr="00495B53">
              <w:rPr>
                <w:rFonts w:ascii="Times New Roman" w:hAnsi="Times New Roman"/>
                <w:color w:val="404040" w:themeColor="text1" w:themeTint="BF"/>
                <w:sz w:val="16"/>
                <w:szCs w:val="16"/>
                <w:lang w:eastAsia="fr-FR"/>
              </w:rPr>
              <w:t xml:space="preserve">    90 225 943   </w:t>
            </w:r>
          </w:p>
        </w:tc>
      </w:tr>
      <w:tr w:rsidR="00495B53" w:rsidRPr="00495B53" w14:paraId="1262439E"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1842" w:type="dxa"/>
            <w:hideMark/>
          </w:tcPr>
          <w:p w14:paraId="192806EE" w14:textId="77777777" w:rsidR="00157F17" w:rsidRPr="00495B53" w:rsidRDefault="00157F17" w:rsidP="00E4464E">
            <w:pPr>
              <w:rPr>
                <w:rFonts w:ascii="Times New Roman" w:hAnsi="Times New Roman"/>
                <w:bCs w:val="0"/>
                <w:color w:val="404040" w:themeColor="text1" w:themeTint="BF"/>
                <w:sz w:val="16"/>
                <w:szCs w:val="16"/>
                <w:lang w:eastAsia="fr-FR"/>
              </w:rPr>
            </w:pPr>
            <w:r w:rsidRPr="00495B53">
              <w:rPr>
                <w:rFonts w:ascii="Times New Roman" w:hAnsi="Times New Roman"/>
                <w:color w:val="404040" w:themeColor="text1" w:themeTint="BF"/>
                <w:sz w:val="16"/>
                <w:szCs w:val="16"/>
                <w:lang w:val="en-GB" w:eastAsia="fr-FR"/>
              </w:rPr>
              <w:t>TEIKOKU</w:t>
            </w:r>
          </w:p>
        </w:tc>
        <w:tc>
          <w:tcPr>
            <w:tcW w:w="1240" w:type="dxa"/>
            <w:hideMark/>
          </w:tcPr>
          <w:p w14:paraId="2F9E9E38"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404040" w:themeColor="text1" w:themeTint="BF"/>
                <w:sz w:val="16"/>
                <w:szCs w:val="16"/>
                <w:lang w:eastAsia="fr-FR"/>
              </w:rPr>
            </w:pPr>
            <w:r w:rsidRPr="00495B53">
              <w:rPr>
                <w:rFonts w:ascii="Times New Roman" w:hAnsi="Times New Roman"/>
                <w:color w:val="404040" w:themeColor="text1" w:themeTint="BF"/>
                <w:sz w:val="16"/>
                <w:szCs w:val="16"/>
                <w:lang w:eastAsia="fr-FR"/>
              </w:rPr>
              <w:t xml:space="preserve">      1 515 000   </w:t>
            </w:r>
          </w:p>
        </w:tc>
        <w:tc>
          <w:tcPr>
            <w:tcW w:w="1200" w:type="dxa"/>
            <w:hideMark/>
          </w:tcPr>
          <w:p w14:paraId="7328A84D"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404040" w:themeColor="text1" w:themeTint="BF"/>
                <w:sz w:val="16"/>
                <w:szCs w:val="16"/>
                <w:lang w:eastAsia="fr-FR"/>
              </w:rPr>
            </w:pPr>
            <w:r w:rsidRPr="00495B53">
              <w:rPr>
                <w:rFonts w:ascii="Times New Roman" w:hAnsi="Times New Roman"/>
                <w:color w:val="404040" w:themeColor="text1" w:themeTint="BF"/>
                <w:sz w:val="16"/>
                <w:szCs w:val="16"/>
                <w:lang w:eastAsia="fr-FR"/>
              </w:rPr>
              <w:t xml:space="preserve">    68 375 324   </w:t>
            </w:r>
          </w:p>
        </w:tc>
        <w:tc>
          <w:tcPr>
            <w:tcW w:w="1200" w:type="dxa"/>
            <w:hideMark/>
          </w:tcPr>
          <w:p w14:paraId="79CD89A1"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404040" w:themeColor="text1" w:themeTint="BF"/>
                <w:sz w:val="16"/>
                <w:szCs w:val="16"/>
                <w:lang w:eastAsia="fr-FR"/>
              </w:rPr>
            </w:pPr>
            <w:r w:rsidRPr="00495B53">
              <w:rPr>
                <w:rFonts w:ascii="Times New Roman" w:hAnsi="Times New Roman"/>
                <w:color w:val="404040" w:themeColor="text1" w:themeTint="BF"/>
                <w:sz w:val="16"/>
                <w:szCs w:val="16"/>
                <w:lang w:eastAsia="fr-FR"/>
              </w:rPr>
              <w:t xml:space="preserve">      1 515 000   </w:t>
            </w:r>
          </w:p>
        </w:tc>
        <w:tc>
          <w:tcPr>
            <w:tcW w:w="1200" w:type="dxa"/>
            <w:hideMark/>
          </w:tcPr>
          <w:p w14:paraId="5D25E8D6"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404040" w:themeColor="text1" w:themeTint="BF"/>
                <w:sz w:val="16"/>
                <w:szCs w:val="16"/>
                <w:lang w:eastAsia="fr-FR"/>
              </w:rPr>
            </w:pPr>
            <w:r w:rsidRPr="00495B53">
              <w:rPr>
                <w:rFonts w:ascii="Times New Roman" w:hAnsi="Times New Roman"/>
                <w:color w:val="404040" w:themeColor="text1" w:themeTint="BF"/>
                <w:sz w:val="16"/>
                <w:szCs w:val="16"/>
                <w:lang w:eastAsia="fr-FR"/>
              </w:rPr>
              <w:t xml:space="preserve">    68 375 324   </w:t>
            </w:r>
          </w:p>
        </w:tc>
      </w:tr>
      <w:tr w:rsidR="00495B53" w:rsidRPr="00495B53" w14:paraId="2D14C2DA"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1842" w:type="dxa"/>
            <w:hideMark/>
          </w:tcPr>
          <w:p w14:paraId="5EC8D120" w14:textId="77777777" w:rsidR="00157F17" w:rsidRPr="00495B53" w:rsidRDefault="00157F17" w:rsidP="00E4464E">
            <w:pPr>
              <w:rPr>
                <w:rFonts w:ascii="Times New Roman" w:hAnsi="Times New Roman"/>
                <w:bCs w:val="0"/>
                <w:color w:val="404040" w:themeColor="text1" w:themeTint="BF"/>
                <w:sz w:val="16"/>
                <w:szCs w:val="16"/>
                <w:lang w:eastAsia="fr-FR"/>
              </w:rPr>
            </w:pPr>
            <w:r w:rsidRPr="00495B53">
              <w:rPr>
                <w:rFonts w:ascii="Times New Roman" w:hAnsi="Times New Roman"/>
                <w:color w:val="404040" w:themeColor="text1" w:themeTint="BF"/>
                <w:sz w:val="16"/>
                <w:szCs w:val="16"/>
                <w:lang w:val="en-GB" w:eastAsia="fr-FR"/>
              </w:rPr>
              <w:t>LIREX</w:t>
            </w:r>
          </w:p>
        </w:tc>
        <w:tc>
          <w:tcPr>
            <w:tcW w:w="1240" w:type="dxa"/>
            <w:hideMark/>
          </w:tcPr>
          <w:p w14:paraId="590B9276"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404040" w:themeColor="text1" w:themeTint="BF"/>
                <w:sz w:val="16"/>
                <w:szCs w:val="16"/>
                <w:lang w:eastAsia="fr-FR"/>
              </w:rPr>
            </w:pPr>
            <w:r w:rsidRPr="00495B53">
              <w:rPr>
                <w:rFonts w:ascii="Times New Roman" w:hAnsi="Times New Roman"/>
                <w:color w:val="404040" w:themeColor="text1" w:themeTint="BF"/>
                <w:sz w:val="16"/>
                <w:szCs w:val="16"/>
                <w:lang w:eastAsia="fr-FR"/>
              </w:rPr>
              <w:t xml:space="preserve">      1 510 000   </w:t>
            </w:r>
          </w:p>
        </w:tc>
        <w:tc>
          <w:tcPr>
            <w:tcW w:w="1200" w:type="dxa"/>
            <w:hideMark/>
          </w:tcPr>
          <w:p w14:paraId="2BFEB0E7"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404040" w:themeColor="text1" w:themeTint="BF"/>
                <w:sz w:val="16"/>
                <w:szCs w:val="16"/>
                <w:lang w:eastAsia="fr-FR"/>
              </w:rPr>
            </w:pPr>
            <w:r w:rsidRPr="00495B53">
              <w:rPr>
                <w:rFonts w:ascii="Times New Roman" w:hAnsi="Times New Roman"/>
                <w:color w:val="404040" w:themeColor="text1" w:themeTint="BF"/>
                <w:sz w:val="16"/>
                <w:szCs w:val="16"/>
                <w:lang w:eastAsia="fr-FR"/>
              </w:rPr>
              <w:t xml:space="preserve">    58 328 650   </w:t>
            </w:r>
          </w:p>
        </w:tc>
        <w:tc>
          <w:tcPr>
            <w:tcW w:w="1200" w:type="dxa"/>
            <w:hideMark/>
          </w:tcPr>
          <w:p w14:paraId="64D5674E"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404040" w:themeColor="text1" w:themeTint="BF"/>
                <w:sz w:val="16"/>
                <w:szCs w:val="16"/>
                <w:lang w:eastAsia="fr-FR"/>
              </w:rPr>
            </w:pPr>
            <w:r w:rsidRPr="00495B53">
              <w:rPr>
                <w:rFonts w:ascii="Times New Roman" w:hAnsi="Times New Roman"/>
                <w:color w:val="404040" w:themeColor="text1" w:themeTint="BF"/>
                <w:sz w:val="16"/>
                <w:szCs w:val="16"/>
                <w:lang w:eastAsia="fr-FR"/>
              </w:rPr>
              <w:t xml:space="preserve">      1 510 000   </w:t>
            </w:r>
          </w:p>
        </w:tc>
        <w:tc>
          <w:tcPr>
            <w:tcW w:w="1200" w:type="dxa"/>
            <w:hideMark/>
          </w:tcPr>
          <w:p w14:paraId="69E90FEC"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404040" w:themeColor="text1" w:themeTint="BF"/>
                <w:sz w:val="16"/>
                <w:szCs w:val="16"/>
                <w:lang w:eastAsia="fr-FR"/>
              </w:rPr>
            </w:pPr>
            <w:r w:rsidRPr="00495B53">
              <w:rPr>
                <w:rFonts w:ascii="Times New Roman" w:hAnsi="Times New Roman"/>
                <w:color w:val="404040" w:themeColor="text1" w:themeTint="BF"/>
                <w:sz w:val="16"/>
                <w:szCs w:val="16"/>
                <w:lang w:eastAsia="fr-FR"/>
              </w:rPr>
              <w:t xml:space="preserve">    58 328 650   </w:t>
            </w:r>
          </w:p>
        </w:tc>
      </w:tr>
      <w:tr w:rsidR="00495B53" w:rsidRPr="00495B53" w14:paraId="661152A5"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1842" w:type="dxa"/>
            <w:hideMark/>
          </w:tcPr>
          <w:p w14:paraId="1083F12D" w14:textId="77777777" w:rsidR="00157F17" w:rsidRPr="00495B53" w:rsidRDefault="00157F17" w:rsidP="00E4464E">
            <w:pPr>
              <w:rPr>
                <w:rFonts w:ascii="Times New Roman" w:hAnsi="Times New Roman"/>
                <w:b w:val="0"/>
                <w:color w:val="404040" w:themeColor="text1" w:themeTint="BF"/>
                <w:sz w:val="16"/>
                <w:szCs w:val="16"/>
                <w:lang w:eastAsia="fr-FR"/>
              </w:rPr>
            </w:pPr>
            <w:r w:rsidRPr="00495B53">
              <w:rPr>
                <w:rFonts w:ascii="Times New Roman" w:hAnsi="Times New Roman"/>
                <w:b w:val="0"/>
                <w:color w:val="404040" w:themeColor="text1" w:themeTint="BF"/>
                <w:sz w:val="16"/>
                <w:szCs w:val="16"/>
                <w:lang w:eastAsia="en-GB"/>
              </w:rPr>
              <w:t>Total</w:t>
            </w:r>
          </w:p>
        </w:tc>
        <w:tc>
          <w:tcPr>
            <w:tcW w:w="1240" w:type="dxa"/>
            <w:hideMark/>
          </w:tcPr>
          <w:p w14:paraId="30C805DE"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color w:val="404040" w:themeColor="text1" w:themeTint="BF"/>
                <w:sz w:val="16"/>
                <w:szCs w:val="16"/>
                <w:lang w:eastAsia="fr-FR"/>
              </w:rPr>
            </w:pPr>
            <w:r w:rsidRPr="00495B53">
              <w:rPr>
                <w:rFonts w:ascii="Times New Roman" w:hAnsi="Times New Roman"/>
                <w:b/>
                <w:color w:val="404040" w:themeColor="text1" w:themeTint="BF"/>
                <w:sz w:val="16"/>
                <w:szCs w:val="16"/>
                <w:lang w:eastAsia="en-GB"/>
              </w:rPr>
              <w:t xml:space="preserve">      7 183 225   </w:t>
            </w:r>
          </w:p>
        </w:tc>
        <w:tc>
          <w:tcPr>
            <w:tcW w:w="1200" w:type="dxa"/>
            <w:hideMark/>
          </w:tcPr>
          <w:p w14:paraId="0495EA2C"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color w:val="404040" w:themeColor="text1" w:themeTint="BF"/>
                <w:sz w:val="16"/>
                <w:szCs w:val="16"/>
                <w:lang w:eastAsia="fr-FR"/>
              </w:rPr>
            </w:pPr>
            <w:r w:rsidRPr="00495B53">
              <w:rPr>
                <w:rFonts w:ascii="Times New Roman" w:hAnsi="Times New Roman"/>
                <w:b/>
                <w:color w:val="404040" w:themeColor="text1" w:themeTint="BF"/>
                <w:sz w:val="16"/>
                <w:szCs w:val="16"/>
                <w:lang w:eastAsia="fr-FR"/>
              </w:rPr>
              <w:t xml:space="preserve">  273 861 447   </w:t>
            </w:r>
          </w:p>
        </w:tc>
        <w:tc>
          <w:tcPr>
            <w:tcW w:w="1200" w:type="dxa"/>
            <w:hideMark/>
          </w:tcPr>
          <w:p w14:paraId="06454945"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color w:val="404040" w:themeColor="text1" w:themeTint="BF"/>
                <w:sz w:val="16"/>
                <w:szCs w:val="16"/>
                <w:lang w:eastAsia="fr-FR"/>
              </w:rPr>
            </w:pPr>
            <w:r w:rsidRPr="00495B53">
              <w:rPr>
                <w:rFonts w:ascii="Times New Roman" w:hAnsi="Times New Roman"/>
                <w:b/>
                <w:color w:val="404040" w:themeColor="text1" w:themeTint="BF"/>
                <w:sz w:val="16"/>
                <w:szCs w:val="16"/>
                <w:lang w:eastAsia="en-GB"/>
              </w:rPr>
              <w:t xml:space="preserve">      7 183 225   </w:t>
            </w:r>
          </w:p>
        </w:tc>
        <w:tc>
          <w:tcPr>
            <w:tcW w:w="1200" w:type="dxa"/>
            <w:hideMark/>
          </w:tcPr>
          <w:p w14:paraId="2B1880C8"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color w:val="404040" w:themeColor="text1" w:themeTint="BF"/>
                <w:sz w:val="16"/>
                <w:szCs w:val="16"/>
                <w:lang w:eastAsia="fr-FR"/>
              </w:rPr>
            </w:pPr>
            <w:r w:rsidRPr="00495B53">
              <w:rPr>
                <w:rFonts w:ascii="Times New Roman" w:hAnsi="Times New Roman"/>
                <w:b/>
                <w:color w:val="404040" w:themeColor="text1" w:themeTint="BF"/>
                <w:sz w:val="16"/>
                <w:szCs w:val="16"/>
                <w:lang w:eastAsia="fr-FR"/>
              </w:rPr>
              <w:t xml:space="preserve">  273 861 447   </w:t>
            </w:r>
          </w:p>
        </w:tc>
      </w:tr>
    </w:tbl>
    <w:p w14:paraId="419C638D" w14:textId="77777777" w:rsidR="00157F17" w:rsidRPr="00840E13" w:rsidRDefault="00157F17" w:rsidP="00157F17">
      <w:pPr>
        <w:spacing w:after="0"/>
        <w:rPr>
          <w:rFonts w:ascii="Times New Roman" w:hAnsi="Times New Roman"/>
          <w:color w:val="FF0000"/>
        </w:rPr>
      </w:pPr>
    </w:p>
    <w:p w14:paraId="27A3E95F" w14:textId="746094BA" w:rsidR="00157F17" w:rsidRPr="00840E13" w:rsidRDefault="003B49C0" w:rsidP="00157F17">
      <w:pPr>
        <w:spacing w:after="0"/>
        <w:ind w:left="709"/>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Il est constaté</w:t>
      </w:r>
      <w:r w:rsidR="00157F17" w:rsidRPr="00840E13">
        <w:rPr>
          <w:rFonts w:ascii="Times New Roman" w:eastAsiaTheme="minorHAnsi" w:hAnsi="Times New Roman"/>
          <w:color w:val="000000"/>
          <w:sz w:val="24"/>
          <w:szCs w:val="24"/>
        </w:rPr>
        <w:t xml:space="preserve"> une identité des chiffre</w:t>
      </w:r>
      <w:r>
        <w:rPr>
          <w:rFonts w:ascii="Times New Roman" w:eastAsiaTheme="minorHAnsi" w:hAnsi="Times New Roman"/>
          <w:color w:val="000000"/>
          <w:sz w:val="24"/>
          <w:szCs w:val="24"/>
        </w:rPr>
        <w:t xml:space="preserve">s déclarés par les deux parties. </w:t>
      </w:r>
      <w:r w:rsidR="00157F17" w:rsidRPr="00840E13">
        <w:rPr>
          <w:rFonts w:ascii="Times New Roman" w:eastAsiaTheme="minorHAnsi" w:hAnsi="Times New Roman"/>
          <w:color w:val="000000"/>
          <w:sz w:val="24"/>
          <w:szCs w:val="24"/>
        </w:rPr>
        <w:t xml:space="preserve"> </w:t>
      </w:r>
      <w:r w:rsidRPr="00840E13">
        <w:rPr>
          <w:rFonts w:ascii="Times New Roman" w:eastAsiaTheme="minorHAnsi" w:hAnsi="Times New Roman"/>
          <w:color w:val="000000"/>
          <w:sz w:val="24"/>
          <w:szCs w:val="24"/>
        </w:rPr>
        <w:t>Cela</w:t>
      </w:r>
      <w:r w:rsidR="00157F17" w:rsidRPr="00840E13">
        <w:rPr>
          <w:rFonts w:ascii="Times New Roman" w:eastAsiaTheme="minorHAnsi" w:hAnsi="Times New Roman"/>
          <w:color w:val="000000"/>
          <w:sz w:val="24"/>
          <w:szCs w:val="24"/>
        </w:rPr>
        <w:t xml:space="preserve"> est dû au fait que les chiffres que le SGH déclare proviennent des entreprises</w:t>
      </w:r>
      <w:r>
        <w:rPr>
          <w:rFonts w:ascii="Times New Roman" w:eastAsiaTheme="minorHAnsi" w:hAnsi="Times New Roman"/>
          <w:color w:val="000000"/>
          <w:sz w:val="24"/>
          <w:szCs w:val="24"/>
        </w:rPr>
        <w:t>. Il n’a pas</w:t>
      </w:r>
      <w:r w:rsidR="00157F17" w:rsidRPr="00840E13">
        <w:rPr>
          <w:rFonts w:ascii="Times New Roman" w:eastAsiaTheme="minorHAnsi" w:hAnsi="Times New Roman"/>
          <w:color w:val="000000"/>
          <w:sz w:val="24"/>
          <w:szCs w:val="24"/>
        </w:rPr>
        <w:t xml:space="preserve"> la possibilité de les contrevérifier.</w:t>
      </w:r>
    </w:p>
    <w:p w14:paraId="563CB07C" w14:textId="77777777" w:rsidR="00157F17" w:rsidRPr="00840E13" w:rsidRDefault="00157F17" w:rsidP="00157F17">
      <w:pPr>
        <w:spacing w:after="0"/>
        <w:ind w:left="709"/>
        <w:jc w:val="both"/>
        <w:rPr>
          <w:rFonts w:ascii="Times New Roman" w:hAnsi="Times New Roman"/>
          <w:b/>
          <w:color w:val="323E4F" w:themeColor="text2" w:themeShade="BF"/>
          <w:sz w:val="24"/>
          <w:szCs w:val="24"/>
        </w:rPr>
      </w:pPr>
    </w:p>
    <w:p w14:paraId="714B701E" w14:textId="09051AA6" w:rsidR="00051E32" w:rsidRDefault="00157F17" w:rsidP="00157F17">
      <w:pPr>
        <w:spacing w:after="0"/>
        <w:ind w:left="709"/>
        <w:jc w:val="both"/>
        <w:rPr>
          <w:rFonts w:ascii="Times New Roman" w:hAnsi="Times New Roman"/>
          <w:color w:val="323E4F" w:themeColor="text2" w:themeShade="BF"/>
          <w:sz w:val="24"/>
          <w:szCs w:val="24"/>
        </w:rPr>
      </w:pPr>
      <w:r w:rsidRPr="003B49C0">
        <w:rPr>
          <w:rFonts w:ascii="Times New Roman" w:eastAsiaTheme="minorHAnsi" w:hAnsi="Times New Roman"/>
          <w:color w:val="000000"/>
          <w:sz w:val="24"/>
          <w:szCs w:val="24"/>
        </w:rPr>
        <w:t>En effet, seuls l’OCC et la DGDA sont présents aux points des exportations, et les statistiques qu’ils réalisent ne sont pas partagées avec le SGH. Aussi, le système fiscal congolais étant déclaratif, le SGH se contente des rapports mensuels que lui transmettent les entreprises pour alimenter sa base des données</w:t>
      </w:r>
      <w:r w:rsidRPr="00840E13">
        <w:rPr>
          <w:rFonts w:ascii="Times New Roman" w:hAnsi="Times New Roman"/>
          <w:color w:val="323E4F" w:themeColor="text2" w:themeShade="BF"/>
          <w:sz w:val="24"/>
          <w:szCs w:val="24"/>
        </w:rPr>
        <w:t>.</w:t>
      </w:r>
    </w:p>
    <w:p w14:paraId="099BBD5E" w14:textId="77777777" w:rsidR="00783E42" w:rsidRDefault="00783E42" w:rsidP="00157F17">
      <w:pPr>
        <w:spacing w:after="0"/>
        <w:ind w:left="709"/>
        <w:jc w:val="both"/>
        <w:rPr>
          <w:rFonts w:ascii="Times New Roman" w:hAnsi="Times New Roman"/>
          <w:color w:val="323E4F" w:themeColor="text2" w:themeShade="BF"/>
          <w:sz w:val="24"/>
          <w:szCs w:val="24"/>
        </w:rPr>
      </w:pPr>
    </w:p>
    <w:p w14:paraId="36BC654A" w14:textId="77777777" w:rsidR="00783E42" w:rsidRDefault="00783E42" w:rsidP="00157F17">
      <w:pPr>
        <w:spacing w:after="0"/>
        <w:ind w:left="709"/>
        <w:jc w:val="both"/>
        <w:rPr>
          <w:rFonts w:ascii="Times New Roman" w:hAnsi="Times New Roman"/>
          <w:color w:val="323E4F" w:themeColor="text2" w:themeShade="BF"/>
          <w:sz w:val="24"/>
          <w:szCs w:val="24"/>
        </w:rPr>
      </w:pPr>
    </w:p>
    <w:p w14:paraId="74868CD0" w14:textId="2917F85E" w:rsidR="00783E42" w:rsidRDefault="00783E42" w:rsidP="00157F17">
      <w:pPr>
        <w:spacing w:after="0"/>
        <w:ind w:left="709"/>
        <w:jc w:val="both"/>
        <w:rPr>
          <w:rFonts w:ascii="Times New Roman" w:hAnsi="Times New Roman"/>
          <w:color w:val="323E4F" w:themeColor="text2" w:themeShade="BF"/>
          <w:sz w:val="24"/>
          <w:szCs w:val="24"/>
        </w:rPr>
      </w:pPr>
      <w:r>
        <w:rPr>
          <w:noProof/>
          <w:lang w:eastAsia="fr-FR"/>
        </w:rPr>
        <w:lastRenderedPageBreak/>
        <mc:AlternateContent>
          <mc:Choice Requires="wps">
            <w:drawing>
              <wp:anchor distT="0" distB="0" distL="114300" distR="114300" simplePos="0" relativeHeight="251676672" behindDoc="0" locked="0" layoutInCell="1" allowOverlap="1" wp14:anchorId="179FFFAC" wp14:editId="13654E44">
                <wp:simplePos x="0" y="0"/>
                <wp:positionH relativeFrom="column">
                  <wp:posOffset>272838</wp:posOffset>
                </wp:positionH>
                <wp:positionV relativeFrom="paragraph">
                  <wp:posOffset>82127</wp:posOffset>
                </wp:positionV>
                <wp:extent cx="5567363" cy="1426633"/>
                <wp:effectExtent l="0" t="0" r="14605" b="21590"/>
                <wp:wrapNone/>
                <wp:docPr id="24" name="Zone de texte 24"/>
                <wp:cNvGraphicFramePr/>
                <a:graphic xmlns:a="http://schemas.openxmlformats.org/drawingml/2006/main">
                  <a:graphicData uri="http://schemas.microsoft.com/office/word/2010/wordprocessingShape">
                    <wps:wsp>
                      <wps:cNvSpPr txBox="1"/>
                      <wps:spPr>
                        <a:xfrm>
                          <a:off x="0" y="0"/>
                          <a:ext cx="5567363" cy="1426633"/>
                        </a:xfrm>
                        <a:prstGeom prst="rect">
                          <a:avLst/>
                        </a:prstGeom>
                        <a:solidFill>
                          <a:schemeClr val="accent1">
                            <a:lumMod val="20000"/>
                            <a:lumOff val="80000"/>
                          </a:schemeClr>
                        </a:solidFill>
                        <a:ln w="6350">
                          <a:solidFill>
                            <a:schemeClr val="accent1">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8D50BF5" w14:textId="0893EAD6" w:rsidR="00E357DF" w:rsidRDefault="00E357DF" w:rsidP="00783E42">
                            <w:pPr>
                              <w:spacing w:after="0" w:line="360" w:lineRule="auto"/>
                              <w:jc w:val="both"/>
                              <w:rPr>
                                <w:rFonts w:ascii="Times New Roman" w:hAnsi="Times New Roman"/>
                                <w:color w:val="FF0000"/>
                                <w:sz w:val="24"/>
                                <w:szCs w:val="24"/>
                              </w:rPr>
                            </w:pPr>
                            <w:r w:rsidRPr="00051E32">
                              <w:rPr>
                                <w:rFonts w:ascii="Times New Roman" w:hAnsi="Times New Roman"/>
                                <w:b/>
                                <w:color w:val="1F3864" w:themeColor="accent5" w:themeShade="80"/>
                                <w:sz w:val="24"/>
                                <w:szCs w:val="24"/>
                                <w:u w:val="single"/>
                              </w:rPr>
                              <w:t>Recommandation</w:t>
                            </w:r>
                            <w:r>
                              <w:rPr>
                                <w:rFonts w:ascii="Times New Roman" w:hAnsi="Times New Roman"/>
                                <w:color w:val="323E4F" w:themeColor="text2" w:themeShade="BF"/>
                                <w:sz w:val="24"/>
                                <w:szCs w:val="24"/>
                              </w:rPr>
                              <w:t> </w:t>
                            </w:r>
                            <w:r>
                              <w:rPr>
                                <w:rFonts w:ascii="Times New Roman" w:hAnsi="Times New Roman"/>
                                <w:b/>
                                <w:color w:val="44546A" w:themeColor="text2"/>
                                <w:sz w:val="24"/>
                                <w:szCs w:val="24"/>
                              </w:rPr>
                              <w:t xml:space="preserve">: </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r w:rsidRPr="00656071">
                              <w:rPr>
                                <w:rFonts w:ascii="Times New Roman" w:hAnsi="Times New Roman"/>
                                <w:color w:val="FF0000"/>
                                <w:sz w:val="24"/>
                                <w:szCs w:val="24"/>
                              </w:rPr>
                              <w:t xml:space="preserve"> </w:t>
                            </w:r>
                          </w:p>
                          <w:p w14:paraId="5038B4B5" w14:textId="77777777" w:rsidR="00E357DF" w:rsidRPr="00051E32" w:rsidRDefault="00E357DF" w:rsidP="00783E42">
                            <w:pPr>
                              <w:spacing w:after="0" w:line="360" w:lineRule="auto"/>
                              <w:jc w:val="both"/>
                              <w:rPr>
                                <w:rFonts w:ascii="Times New Roman" w:hAnsi="Times New Roman"/>
                                <w:color w:val="3B3838" w:themeColor="background2" w:themeShade="40"/>
                                <w:sz w:val="24"/>
                                <w:szCs w:val="24"/>
                              </w:rPr>
                            </w:pPr>
                            <w:r w:rsidRPr="00051E32">
                              <w:rPr>
                                <w:rFonts w:ascii="Times New Roman" w:hAnsi="Times New Roman"/>
                                <w:b/>
                                <w:color w:val="3B3838" w:themeColor="background2" w:themeShade="40"/>
                                <w:sz w:val="24"/>
                                <w:szCs w:val="24"/>
                              </w:rPr>
                              <w:t>Au Comité Exécutif</w:t>
                            </w:r>
                            <w:r>
                              <w:rPr>
                                <w:rFonts w:ascii="Times New Roman" w:hAnsi="Times New Roman"/>
                                <w:b/>
                                <w:color w:val="3B3838" w:themeColor="background2" w:themeShade="40"/>
                                <w:sz w:val="24"/>
                                <w:szCs w:val="24"/>
                              </w:rPr>
                              <w:t xml:space="preserve"> de</w:t>
                            </w:r>
                            <w:r w:rsidRPr="00051E32">
                              <w:rPr>
                                <w:rFonts w:ascii="Times New Roman" w:hAnsi="Times New Roman"/>
                                <w:color w:val="3B3838" w:themeColor="background2" w:themeShade="40"/>
                                <w:sz w:val="24"/>
                                <w:szCs w:val="24"/>
                              </w:rPr>
                              <w:t xml:space="preserve"> : </w:t>
                            </w:r>
                          </w:p>
                          <w:p w14:paraId="2A796384" w14:textId="77777777" w:rsidR="00E357DF" w:rsidRPr="008C6D8D" w:rsidRDefault="00E357DF" w:rsidP="00783E42">
                            <w:pPr>
                              <w:pStyle w:val="Paragraphedeliste"/>
                              <w:ind w:left="0"/>
                              <w:jc w:val="both"/>
                              <w:rPr>
                                <w:rFonts w:ascii="Times New Roman" w:hAnsi="Times New Roman"/>
                                <w:color w:val="323E4F" w:themeColor="text2" w:themeShade="BF"/>
                                <w:sz w:val="24"/>
                                <w:szCs w:val="24"/>
                              </w:rPr>
                            </w:pPr>
                            <w:r w:rsidRPr="008C6D8D">
                              <w:rPr>
                                <w:rFonts w:ascii="Times New Roman" w:hAnsi="Times New Roman"/>
                                <w:color w:val="3B3838" w:themeColor="background2" w:themeShade="40"/>
                                <w:sz w:val="24"/>
                                <w:szCs w:val="24"/>
                              </w:rPr>
                              <w:t>veiller à ce que le SGH soit présent aux points des exportations pour avoir des éléments qui fondent d’une part l’exactitude de l’assiette fiscale et, d’autre part, l’assurance  de l’exhaustivité et de la fiabilité des données déclarées</w:t>
                            </w:r>
                            <w:r w:rsidRPr="008C6D8D">
                              <w:rPr>
                                <w:rFonts w:ascii="Times New Roman" w:hAnsi="Times New Roman"/>
                                <w:i/>
                                <w:color w:val="3B3838" w:themeColor="background2" w:themeShade="40"/>
                                <w:sz w:val="24"/>
                                <w:szCs w:val="24"/>
                              </w:rPr>
                              <w:t xml:space="preserve"> </w:t>
                            </w:r>
                            <w:r w:rsidRPr="00105074">
                              <w:rPr>
                                <w:rFonts w:ascii="Times New Roman" w:hAnsi="Times New Roman"/>
                                <w:color w:val="323E4F" w:themeColor="text2" w:themeShade="BF"/>
                                <w:sz w:val="24"/>
                                <w:szCs w:val="24"/>
                              </w:rPr>
                              <w:t>à</w:t>
                            </w:r>
                            <w:r w:rsidRPr="008C6D8D">
                              <w:rPr>
                                <w:rFonts w:ascii="Times New Roman" w:hAnsi="Times New Roman"/>
                                <w:i/>
                                <w:color w:val="323E4F" w:themeColor="text2" w:themeShade="BF"/>
                                <w:sz w:val="24"/>
                                <w:szCs w:val="24"/>
                              </w:rPr>
                              <w:t xml:space="preserve"> </w:t>
                            </w:r>
                            <w:r w:rsidRPr="008C6D8D">
                              <w:rPr>
                                <w:rFonts w:ascii="Times New Roman" w:hAnsi="Times New Roman"/>
                                <w:color w:val="323E4F" w:themeColor="text2" w:themeShade="BF"/>
                                <w:sz w:val="24"/>
                                <w:szCs w:val="24"/>
                              </w:rPr>
                              <w:t xml:space="preserve">l’ITIE, ce dernier </w:t>
                            </w:r>
                            <w:r w:rsidRPr="008C6D8D">
                              <w:rPr>
                                <w:rFonts w:ascii="Times New Roman" w:hAnsi="Times New Roman"/>
                                <w:color w:val="3B3838" w:themeColor="background2" w:themeShade="40"/>
                                <w:sz w:val="24"/>
                                <w:szCs w:val="24"/>
                              </w:rPr>
                              <w:t>étant un service d’assiette et représentant du Ministère de tutelle.</w:t>
                            </w:r>
                          </w:p>
                          <w:p w14:paraId="447F8F96" w14:textId="77777777" w:rsidR="00E357DF" w:rsidRPr="008C6D8D" w:rsidRDefault="00E357DF" w:rsidP="00783E42">
                            <w:pPr>
                              <w:pStyle w:val="Paragraphedeliste"/>
                              <w:numPr>
                                <w:ilvl w:val="0"/>
                                <w:numId w:val="60"/>
                              </w:numPr>
                              <w:spacing w:after="0"/>
                              <w:ind w:left="0"/>
                              <w:jc w:val="both"/>
                              <w:rPr>
                                <w:rFonts w:ascii="Times New Roman" w:hAnsi="Times New Roman"/>
                                <w:color w:val="323E4F" w:themeColor="text2" w:themeShade="BF"/>
                                <w:sz w:val="24"/>
                                <w:szCs w:val="24"/>
                              </w:rPr>
                            </w:pPr>
                          </w:p>
                          <w:p w14:paraId="6CB455F1" w14:textId="77777777" w:rsidR="00E357DF" w:rsidRDefault="00E357DF" w:rsidP="00783E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9FFFAC" id="Zone de texte 24" o:spid="_x0000_s1031" type="#_x0000_t202" style="position:absolute;left:0;text-align:left;margin-left:21.5pt;margin-top:6.45pt;width:438.4pt;height:112.3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" fillcolor="#deeaf6 [660]" strokecolor="#deeaf6 [660]" strokeweight=".5pt">
                <v:textbox>
                  <w:txbxContent>
                    <w:p w14:paraId="68D50BF5" w14:textId="0893EAD6" w:rsidR="00E357DF" w:rsidRDefault="00E357DF" w:rsidP="00783E42">
                      <w:pPr>
                        <w:spacing w:after="0" w:line="360" w:lineRule="auto"/>
                        <w:jc w:val="both"/>
                        <w:rPr>
                          <w:rFonts w:ascii="Times New Roman" w:hAnsi="Times New Roman"/>
                          <w:color w:val="FF0000"/>
                          <w:sz w:val="24"/>
                          <w:szCs w:val="24"/>
                        </w:rPr>
                      </w:pPr>
                      <w:r w:rsidRPr="00051E32">
                        <w:rPr>
                          <w:rFonts w:ascii="Times New Roman" w:hAnsi="Times New Roman"/>
                          <w:b/>
                          <w:color w:val="1F3864" w:themeColor="accent5" w:themeShade="80"/>
                          <w:sz w:val="24"/>
                          <w:szCs w:val="24"/>
                          <w:u w:val="single"/>
                        </w:rPr>
                        <w:t>Recommandation</w:t>
                      </w:r>
                      <w:r>
                        <w:rPr>
                          <w:rFonts w:ascii="Times New Roman" w:hAnsi="Times New Roman"/>
                          <w:color w:val="323E4F" w:themeColor="text2" w:themeShade="BF"/>
                          <w:sz w:val="24"/>
                          <w:szCs w:val="24"/>
                        </w:rPr>
                        <w:t> </w:t>
                      </w:r>
                      <w:r>
                        <w:rPr>
                          <w:rFonts w:ascii="Times New Roman" w:hAnsi="Times New Roman"/>
                          <w:b/>
                          <w:color w:val="44546A" w:themeColor="text2"/>
                          <w:sz w:val="24"/>
                          <w:szCs w:val="24"/>
                        </w:rPr>
                        <w:t xml:space="preserve">: </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r w:rsidRPr="00656071">
                        <w:rPr>
                          <w:rFonts w:ascii="Times New Roman" w:hAnsi="Times New Roman"/>
                          <w:color w:val="FF0000"/>
                          <w:sz w:val="24"/>
                          <w:szCs w:val="24"/>
                        </w:rPr>
                        <w:t xml:space="preserve"> </w:t>
                      </w:r>
                    </w:p>
                    <w:p w14:paraId="5038B4B5" w14:textId="77777777" w:rsidR="00E357DF" w:rsidRPr="00051E32" w:rsidRDefault="00E357DF" w:rsidP="00783E42">
                      <w:pPr>
                        <w:spacing w:after="0" w:line="360" w:lineRule="auto"/>
                        <w:jc w:val="both"/>
                        <w:rPr>
                          <w:rFonts w:ascii="Times New Roman" w:hAnsi="Times New Roman"/>
                          <w:color w:val="3B3838" w:themeColor="background2" w:themeShade="40"/>
                          <w:sz w:val="24"/>
                          <w:szCs w:val="24"/>
                        </w:rPr>
                      </w:pPr>
                      <w:r w:rsidRPr="00051E32">
                        <w:rPr>
                          <w:rFonts w:ascii="Times New Roman" w:hAnsi="Times New Roman"/>
                          <w:b/>
                          <w:color w:val="3B3838" w:themeColor="background2" w:themeShade="40"/>
                          <w:sz w:val="24"/>
                          <w:szCs w:val="24"/>
                        </w:rPr>
                        <w:t>Au Comité Exécutif</w:t>
                      </w:r>
                      <w:r>
                        <w:rPr>
                          <w:rFonts w:ascii="Times New Roman" w:hAnsi="Times New Roman"/>
                          <w:b/>
                          <w:color w:val="3B3838" w:themeColor="background2" w:themeShade="40"/>
                          <w:sz w:val="24"/>
                          <w:szCs w:val="24"/>
                        </w:rPr>
                        <w:t xml:space="preserve"> de</w:t>
                      </w:r>
                      <w:r w:rsidRPr="00051E32">
                        <w:rPr>
                          <w:rFonts w:ascii="Times New Roman" w:hAnsi="Times New Roman"/>
                          <w:color w:val="3B3838" w:themeColor="background2" w:themeShade="40"/>
                          <w:sz w:val="24"/>
                          <w:szCs w:val="24"/>
                        </w:rPr>
                        <w:t xml:space="preserve"> : </w:t>
                      </w:r>
                    </w:p>
                    <w:p w14:paraId="2A796384" w14:textId="77777777" w:rsidR="00E357DF" w:rsidRPr="008C6D8D" w:rsidRDefault="00E357DF" w:rsidP="00783E42">
                      <w:pPr>
                        <w:pStyle w:val="Paragraphedeliste"/>
                        <w:ind w:left="0"/>
                        <w:jc w:val="both"/>
                        <w:rPr>
                          <w:rFonts w:ascii="Times New Roman" w:hAnsi="Times New Roman"/>
                          <w:color w:val="323E4F" w:themeColor="text2" w:themeShade="BF"/>
                          <w:sz w:val="24"/>
                          <w:szCs w:val="24"/>
                        </w:rPr>
                      </w:pPr>
                      <w:r w:rsidRPr="008C6D8D">
                        <w:rPr>
                          <w:rFonts w:ascii="Times New Roman" w:hAnsi="Times New Roman"/>
                          <w:color w:val="3B3838" w:themeColor="background2" w:themeShade="40"/>
                          <w:sz w:val="24"/>
                          <w:szCs w:val="24"/>
                        </w:rPr>
                        <w:t>veiller à ce que le SGH soit présent aux points des exportations pour avoir des éléments qui fondent d’une part l’exactitude de l’assiette fiscale et, d’autre part, l’assurance  de l’exhaustivité et de la fiabilité des données déclarées</w:t>
                      </w:r>
                      <w:r w:rsidRPr="008C6D8D">
                        <w:rPr>
                          <w:rFonts w:ascii="Times New Roman" w:hAnsi="Times New Roman"/>
                          <w:i/>
                          <w:color w:val="3B3838" w:themeColor="background2" w:themeShade="40"/>
                          <w:sz w:val="24"/>
                          <w:szCs w:val="24"/>
                        </w:rPr>
                        <w:t xml:space="preserve"> </w:t>
                      </w:r>
                      <w:r w:rsidRPr="00105074">
                        <w:rPr>
                          <w:rFonts w:ascii="Times New Roman" w:hAnsi="Times New Roman"/>
                          <w:color w:val="323E4F" w:themeColor="text2" w:themeShade="BF"/>
                          <w:sz w:val="24"/>
                          <w:szCs w:val="24"/>
                        </w:rPr>
                        <w:t>à</w:t>
                      </w:r>
                      <w:r w:rsidRPr="008C6D8D">
                        <w:rPr>
                          <w:rFonts w:ascii="Times New Roman" w:hAnsi="Times New Roman"/>
                          <w:i/>
                          <w:color w:val="323E4F" w:themeColor="text2" w:themeShade="BF"/>
                          <w:sz w:val="24"/>
                          <w:szCs w:val="24"/>
                        </w:rPr>
                        <w:t xml:space="preserve"> </w:t>
                      </w:r>
                      <w:r w:rsidRPr="008C6D8D">
                        <w:rPr>
                          <w:rFonts w:ascii="Times New Roman" w:hAnsi="Times New Roman"/>
                          <w:color w:val="323E4F" w:themeColor="text2" w:themeShade="BF"/>
                          <w:sz w:val="24"/>
                          <w:szCs w:val="24"/>
                        </w:rPr>
                        <w:t xml:space="preserve">l’ITIE, ce dernier </w:t>
                      </w:r>
                      <w:r w:rsidRPr="008C6D8D">
                        <w:rPr>
                          <w:rFonts w:ascii="Times New Roman" w:hAnsi="Times New Roman"/>
                          <w:color w:val="3B3838" w:themeColor="background2" w:themeShade="40"/>
                          <w:sz w:val="24"/>
                          <w:szCs w:val="24"/>
                        </w:rPr>
                        <w:t>étant un service d’assiette et représentant du Ministère de tutelle.</w:t>
                      </w:r>
                    </w:p>
                    <w:p w14:paraId="447F8F96" w14:textId="77777777" w:rsidR="00E357DF" w:rsidRPr="008C6D8D" w:rsidRDefault="00E357DF" w:rsidP="00783E42">
                      <w:pPr>
                        <w:pStyle w:val="Paragraphedeliste"/>
                        <w:numPr>
                          <w:ilvl w:val="0"/>
                          <w:numId w:val="60"/>
                        </w:numPr>
                        <w:spacing w:after="0"/>
                        <w:ind w:left="0"/>
                        <w:jc w:val="both"/>
                        <w:rPr>
                          <w:rFonts w:ascii="Times New Roman" w:hAnsi="Times New Roman"/>
                          <w:color w:val="323E4F" w:themeColor="text2" w:themeShade="BF"/>
                          <w:sz w:val="24"/>
                          <w:szCs w:val="24"/>
                        </w:rPr>
                      </w:pPr>
                    </w:p>
                    <w:p w14:paraId="6CB455F1" w14:textId="77777777" w:rsidR="00E357DF" w:rsidRDefault="00E357DF" w:rsidP="00783E42"/>
                  </w:txbxContent>
                </v:textbox>
              </v:shape>
            </w:pict>
          </mc:Fallback>
        </mc:AlternateContent>
      </w:r>
    </w:p>
    <w:p w14:paraId="30782F64" w14:textId="77777777" w:rsidR="00783E42" w:rsidRDefault="00783E42">
      <w:pPr>
        <w:rPr>
          <w:rFonts w:ascii="Times New Roman" w:hAnsi="Times New Roman"/>
          <w:color w:val="323E4F" w:themeColor="text2" w:themeShade="BF"/>
          <w:sz w:val="24"/>
          <w:szCs w:val="24"/>
        </w:rPr>
      </w:pPr>
    </w:p>
    <w:p w14:paraId="0DBEDB02" w14:textId="77777777" w:rsidR="00783E42" w:rsidRDefault="00783E42">
      <w:pPr>
        <w:rPr>
          <w:rFonts w:ascii="Times New Roman" w:hAnsi="Times New Roman"/>
          <w:color w:val="323E4F" w:themeColor="text2" w:themeShade="BF"/>
          <w:sz w:val="24"/>
          <w:szCs w:val="24"/>
        </w:rPr>
      </w:pPr>
    </w:p>
    <w:p w14:paraId="6DE4A0BC" w14:textId="77777777" w:rsidR="00783E42" w:rsidRDefault="00783E42">
      <w:pPr>
        <w:rPr>
          <w:rFonts w:ascii="Times New Roman" w:hAnsi="Times New Roman"/>
          <w:color w:val="323E4F" w:themeColor="text2" w:themeShade="BF"/>
          <w:sz w:val="24"/>
          <w:szCs w:val="24"/>
        </w:rPr>
      </w:pPr>
    </w:p>
    <w:p w14:paraId="76F7314C" w14:textId="77777777" w:rsidR="00783E42" w:rsidRDefault="00783E42">
      <w:pPr>
        <w:rPr>
          <w:rFonts w:ascii="Times New Roman" w:hAnsi="Times New Roman"/>
          <w:color w:val="323E4F" w:themeColor="text2" w:themeShade="BF"/>
          <w:sz w:val="24"/>
          <w:szCs w:val="24"/>
        </w:rPr>
      </w:pPr>
    </w:p>
    <w:p w14:paraId="042B2B1F" w14:textId="77777777" w:rsidR="00783E42" w:rsidRDefault="00783E42">
      <w:pPr>
        <w:rPr>
          <w:rFonts w:ascii="Times New Roman" w:hAnsi="Times New Roman"/>
          <w:color w:val="323E4F" w:themeColor="text2" w:themeShade="BF"/>
          <w:sz w:val="24"/>
          <w:szCs w:val="24"/>
        </w:rPr>
      </w:pPr>
    </w:p>
    <w:p w14:paraId="76191E64" w14:textId="77777777" w:rsidR="00157F17" w:rsidRPr="00840E13" w:rsidRDefault="00157F17" w:rsidP="00157F17">
      <w:pPr>
        <w:spacing w:after="0"/>
        <w:ind w:left="709"/>
        <w:jc w:val="both"/>
        <w:rPr>
          <w:rFonts w:ascii="Times New Roman" w:hAnsi="Times New Roman"/>
          <w:color w:val="323E4F" w:themeColor="text2" w:themeShade="BF"/>
          <w:sz w:val="24"/>
          <w:szCs w:val="24"/>
        </w:rPr>
      </w:pPr>
    </w:p>
    <w:p w14:paraId="35420788" w14:textId="77777777" w:rsidR="00157F17" w:rsidRPr="00840E13" w:rsidRDefault="00157F17" w:rsidP="00157F17">
      <w:pPr>
        <w:spacing w:after="0"/>
        <w:ind w:left="851"/>
        <w:rPr>
          <w:rStyle w:val="Titre3Car"/>
          <w:rFonts w:ascii="Times New Roman" w:hAnsi="Times New Roman"/>
          <w:sz w:val="24"/>
        </w:rPr>
      </w:pPr>
      <w:bookmarkStart w:id="157" w:name="_Toc516048001"/>
      <w:bookmarkStart w:id="158" w:name="_Toc518468089"/>
      <w:r>
        <w:rPr>
          <w:rStyle w:val="Titre3Car"/>
          <w:rFonts w:ascii="Times New Roman" w:hAnsi="Times New Roman"/>
          <w:sz w:val="24"/>
        </w:rPr>
        <w:t>3.</w:t>
      </w:r>
      <w:r w:rsidRPr="00840E13">
        <w:rPr>
          <w:rStyle w:val="Titre3Car"/>
          <w:rFonts w:ascii="Times New Roman" w:hAnsi="Times New Roman"/>
          <w:sz w:val="24"/>
        </w:rPr>
        <w:t>2. Secteur Minier</w:t>
      </w:r>
      <w:bookmarkEnd w:id="157"/>
      <w:bookmarkEnd w:id="158"/>
    </w:p>
    <w:p w14:paraId="4127B037" w14:textId="77777777" w:rsidR="00157F17" w:rsidRPr="00840E13" w:rsidRDefault="00157F17" w:rsidP="00157F17">
      <w:pPr>
        <w:spacing w:after="0"/>
        <w:rPr>
          <w:rFonts w:ascii="Times New Roman" w:hAnsi="Times New Roman"/>
          <w:b/>
          <w:color w:val="323E4F" w:themeColor="text2" w:themeShade="BF"/>
        </w:rPr>
      </w:pPr>
    </w:p>
    <w:p w14:paraId="2AA01695" w14:textId="77777777" w:rsidR="00157F17" w:rsidRPr="00026C6E" w:rsidRDefault="00157F17" w:rsidP="00157F17">
      <w:pPr>
        <w:ind w:left="851"/>
        <w:rPr>
          <w:rFonts w:ascii="Times New Roman" w:hAnsi="Times New Roman"/>
          <w:i/>
          <w:sz w:val="24"/>
          <w:szCs w:val="24"/>
        </w:rPr>
      </w:pPr>
      <w:r w:rsidRPr="00026C6E">
        <w:rPr>
          <w:rFonts w:ascii="Times New Roman" w:hAnsi="Times New Roman"/>
          <w:i/>
          <w:color w:val="2E74B5" w:themeColor="accent1" w:themeShade="BF"/>
          <w:sz w:val="24"/>
          <w:szCs w:val="24"/>
        </w:rPr>
        <w:t>Pour les données sur la production :</w:t>
      </w:r>
      <w:r w:rsidRPr="00026C6E">
        <w:rPr>
          <w:rFonts w:ascii="Times New Roman" w:hAnsi="Times New Roman"/>
          <w:i/>
          <w:sz w:val="24"/>
          <w:szCs w:val="24"/>
        </w:rPr>
        <w:t xml:space="preserve"> </w:t>
      </w:r>
    </w:p>
    <w:p w14:paraId="5A8F1B7B" w14:textId="7ECFC3E6" w:rsidR="00157F17" w:rsidRPr="00840E13" w:rsidRDefault="00157F17" w:rsidP="00157F17">
      <w:pPr>
        <w:spacing w:after="0"/>
        <w:ind w:left="851"/>
        <w:rPr>
          <w:rFonts w:ascii="Times New Roman" w:hAnsi="Times New Roman"/>
          <w:bCs/>
          <w:sz w:val="24"/>
          <w:szCs w:val="24"/>
          <w:lang w:eastAsia="fr-FR"/>
        </w:rPr>
      </w:pPr>
      <w:r w:rsidRPr="00840E13">
        <w:rPr>
          <w:rFonts w:ascii="Times New Roman" w:hAnsi="Times New Roman"/>
          <w:bCs/>
          <w:sz w:val="24"/>
          <w:szCs w:val="24"/>
          <w:lang w:eastAsia="fr-FR"/>
        </w:rPr>
        <w:t>Les données condensées par matière fournies par le Ministère de Mine</w:t>
      </w:r>
      <w:r w:rsidR="003B49C0">
        <w:rPr>
          <w:rFonts w:ascii="Times New Roman" w:hAnsi="Times New Roman"/>
          <w:bCs/>
          <w:sz w:val="24"/>
          <w:szCs w:val="24"/>
          <w:lang w:eastAsia="fr-FR"/>
        </w:rPr>
        <w:t>s</w:t>
      </w:r>
      <w:r w:rsidRPr="00840E13">
        <w:rPr>
          <w:rFonts w:ascii="Times New Roman" w:hAnsi="Times New Roman"/>
          <w:bCs/>
          <w:sz w:val="24"/>
          <w:szCs w:val="24"/>
          <w:lang w:eastAsia="fr-FR"/>
        </w:rPr>
        <w:t xml:space="preserve"> sont présentées ci-après :</w:t>
      </w:r>
    </w:p>
    <w:p w14:paraId="3F1E3738" w14:textId="77777777" w:rsidR="00157F17" w:rsidRPr="00840E13" w:rsidRDefault="00157F17" w:rsidP="00157F17">
      <w:pPr>
        <w:spacing w:after="0"/>
        <w:ind w:left="426"/>
        <w:rPr>
          <w:rFonts w:ascii="Times New Roman" w:hAnsi="Times New Roman"/>
          <w:bCs/>
          <w:sz w:val="24"/>
          <w:szCs w:val="24"/>
          <w:lang w:eastAsia="fr-FR"/>
        </w:rPr>
      </w:pPr>
    </w:p>
    <w:tbl>
      <w:tblPr>
        <w:tblStyle w:val="TableauGrille1Clair1"/>
        <w:tblW w:w="8558" w:type="dxa"/>
        <w:tblInd w:w="562" w:type="dxa"/>
        <w:tblLook w:val="04A0" w:firstRow="1" w:lastRow="0" w:firstColumn="1" w:lastColumn="0" w:noHBand="0" w:noVBand="1"/>
      </w:tblPr>
      <w:tblGrid>
        <w:gridCol w:w="2127"/>
        <w:gridCol w:w="1417"/>
        <w:gridCol w:w="1693"/>
        <w:gridCol w:w="1897"/>
        <w:gridCol w:w="1424"/>
      </w:tblGrid>
      <w:tr w:rsidR="00157F17" w:rsidRPr="00840E13" w14:paraId="7AE04A41" w14:textId="77777777" w:rsidTr="00002ED3">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127" w:type="dxa"/>
            <w:vMerge w:val="restart"/>
            <w:vAlign w:val="center"/>
            <w:hideMark/>
          </w:tcPr>
          <w:p w14:paraId="05392AA7" w14:textId="77777777" w:rsidR="00157F17" w:rsidRPr="00840E13" w:rsidRDefault="00157F17" w:rsidP="00002ED3">
            <w:pPr>
              <w:jc w:val="center"/>
              <w:rPr>
                <w:rFonts w:ascii="Times New Roman" w:hAnsi="Times New Roman"/>
                <w:sz w:val="16"/>
                <w:szCs w:val="16"/>
                <w:lang w:eastAsia="fr-FR"/>
              </w:rPr>
            </w:pPr>
            <w:r w:rsidRPr="00840E13">
              <w:rPr>
                <w:rFonts w:ascii="Times New Roman" w:hAnsi="Times New Roman"/>
                <w:sz w:val="16"/>
                <w:szCs w:val="16"/>
                <w:lang w:eastAsia="fr-FR"/>
              </w:rPr>
              <w:t>Produit</w:t>
            </w:r>
          </w:p>
        </w:tc>
        <w:tc>
          <w:tcPr>
            <w:tcW w:w="1417" w:type="dxa"/>
            <w:vMerge w:val="restart"/>
            <w:vAlign w:val="center"/>
            <w:hideMark/>
          </w:tcPr>
          <w:p w14:paraId="7D25EAD5" w14:textId="77777777" w:rsidR="00157F17" w:rsidRPr="00840E13" w:rsidRDefault="00157F17" w:rsidP="00002ED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lang w:eastAsia="fr-FR"/>
              </w:rPr>
            </w:pPr>
            <w:r w:rsidRPr="00840E13">
              <w:rPr>
                <w:rFonts w:ascii="Times New Roman" w:hAnsi="Times New Roman"/>
                <w:sz w:val="16"/>
                <w:szCs w:val="16"/>
                <w:lang w:eastAsia="fr-FR"/>
              </w:rPr>
              <w:t>Unité</w:t>
            </w:r>
          </w:p>
        </w:tc>
        <w:tc>
          <w:tcPr>
            <w:tcW w:w="5014" w:type="dxa"/>
            <w:gridSpan w:val="3"/>
            <w:vAlign w:val="center"/>
            <w:hideMark/>
          </w:tcPr>
          <w:p w14:paraId="32AEE6FD" w14:textId="77777777" w:rsidR="00157F17" w:rsidRPr="00840E13" w:rsidRDefault="00157F17" w:rsidP="00002ED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lang w:eastAsia="fr-FR"/>
              </w:rPr>
            </w:pPr>
            <w:r w:rsidRPr="00840E13">
              <w:rPr>
                <w:rFonts w:ascii="Times New Roman" w:hAnsi="Times New Roman"/>
                <w:sz w:val="16"/>
                <w:szCs w:val="16"/>
                <w:lang w:eastAsia="fr-FR"/>
              </w:rPr>
              <w:t>Production</w:t>
            </w:r>
          </w:p>
        </w:tc>
      </w:tr>
      <w:tr w:rsidR="00157F17" w:rsidRPr="00840E13" w14:paraId="600DA349" w14:textId="77777777" w:rsidTr="00002ED3">
        <w:trPr>
          <w:trHeight w:val="371"/>
        </w:trPr>
        <w:tc>
          <w:tcPr>
            <w:cnfStyle w:val="001000000000" w:firstRow="0" w:lastRow="0" w:firstColumn="1" w:lastColumn="0" w:oddVBand="0" w:evenVBand="0" w:oddHBand="0" w:evenHBand="0" w:firstRowFirstColumn="0" w:firstRowLastColumn="0" w:lastRowFirstColumn="0" w:lastRowLastColumn="0"/>
            <w:tcW w:w="2127" w:type="dxa"/>
            <w:vMerge/>
            <w:vAlign w:val="center"/>
            <w:hideMark/>
          </w:tcPr>
          <w:p w14:paraId="098D915C" w14:textId="77777777" w:rsidR="00157F17" w:rsidRPr="00840E13" w:rsidRDefault="00157F17" w:rsidP="00002ED3">
            <w:pPr>
              <w:jc w:val="center"/>
              <w:rPr>
                <w:rFonts w:ascii="Times New Roman" w:hAnsi="Times New Roman"/>
                <w:color w:val="FFFFFF"/>
                <w:sz w:val="16"/>
                <w:szCs w:val="16"/>
                <w:lang w:eastAsia="fr-FR"/>
              </w:rPr>
            </w:pPr>
          </w:p>
        </w:tc>
        <w:tc>
          <w:tcPr>
            <w:tcW w:w="1417" w:type="dxa"/>
            <w:vMerge/>
            <w:vAlign w:val="center"/>
            <w:hideMark/>
          </w:tcPr>
          <w:p w14:paraId="170E1FB6" w14:textId="77777777" w:rsidR="00157F17" w:rsidRPr="00840E13" w:rsidRDefault="00157F17" w:rsidP="00002E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FFFFFF"/>
                <w:sz w:val="16"/>
                <w:szCs w:val="16"/>
                <w:lang w:eastAsia="fr-FR"/>
              </w:rPr>
            </w:pPr>
          </w:p>
        </w:tc>
        <w:tc>
          <w:tcPr>
            <w:tcW w:w="1693" w:type="dxa"/>
            <w:vAlign w:val="center"/>
            <w:hideMark/>
          </w:tcPr>
          <w:p w14:paraId="13E33FD1" w14:textId="77777777" w:rsidR="00157F17" w:rsidRPr="00840E13" w:rsidRDefault="00157F17" w:rsidP="00002E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323E4F" w:themeColor="text2" w:themeShade="BF"/>
                <w:sz w:val="16"/>
                <w:szCs w:val="16"/>
                <w:lang w:eastAsia="fr-FR"/>
              </w:rPr>
            </w:pPr>
            <w:r w:rsidRPr="00840E13">
              <w:rPr>
                <w:rFonts w:ascii="Times New Roman" w:hAnsi="Times New Roman"/>
                <w:b/>
                <w:color w:val="323E4F" w:themeColor="text2" w:themeShade="BF"/>
                <w:sz w:val="16"/>
                <w:szCs w:val="16"/>
                <w:lang w:eastAsia="fr-FR"/>
              </w:rPr>
              <w:t>2015</w:t>
            </w:r>
          </w:p>
        </w:tc>
        <w:tc>
          <w:tcPr>
            <w:tcW w:w="1897" w:type="dxa"/>
            <w:vAlign w:val="center"/>
            <w:hideMark/>
          </w:tcPr>
          <w:p w14:paraId="1013FF55" w14:textId="77777777" w:rsidR="00157F17" w:rsidRPr="00840E13" w:rsidRDefault="00157F17" w:rsidP="00002E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323E4F" w:themeColor="text2" w:themeShade="BF"/>
                <w:sz w:val="16"/>
                <w:szCs w:val="16"/>
                <w:lang w:eastAsia="fr-FR"/>
              </w:rPr>
            </w:pPr>
            <w:r w:rsidRPr="00840E13">
              <w:rPr>
                <w:rFonts w:ascii="Times New Roman" w:hAnsi="Times New Roman"/>
                <w:b/>
                <w:color w:val="323E4F" w:themeColor="text2" w:themeShade="BF"/>
                <w:sz w:val="16"/>
                <w:szCs w:val="16"/>
                <w:lang w:eastAsia="fr-FR"/>
              </w:rPr>
              <w:t>2016</w:t>
            </w:r>
          </w:p>
        </w:tc>
        <w:tc>
          <w:tcPr>
            <w:tcW w:w="1424" w:type="dxa"/>
            <w:vAlign w:val="center"/>
            <w:hideMark/>
          </w:tcPr>
          <w:p w14:paraId="6A372184" w14:textId="77777777" w:rsidR="00157F17" w:rsidRPr="00840E13" w:rsidRDefault="00157F17" w:rsidP="00002E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323E4F" w:themeColor="text2" w:themeShade="BF"/>
                <w:sz w:val="16"/>
                <w:szCs w:val="16"/>
                <w:lang w:eastAsia="fr-FR"/>
              </w:rPr>
            </w:pPr>
            <w:r w:rsidRPr="00840E13">
              <w:rPr>
                <w:rFonts w:ascii="Times New Roman" w:hAnsi="Times New Roman"/>
                <w:b/>
                <w:color w:val="323E4F" w:themeColor="text2" w:themeShade="BF"/>
                <w:sz w:val="16"/>
                <w:szCs w:val="16"/>
                <w:lang w:eastAsia="fr-FR"/>
              </w:rPr>
              <w:t>Variation</w:t>
            </w:r>
          </w:p>
        </w:tc>
      </w:tr>
      <w:tr w:rsidR="00157F17" w:rsidRPr="00840E13" w14:paraId="3A808356"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2127" w:type="dxa"/>
            <w:noWrap/>
            <w:hideMark/>
          </w:tcPr>
          <w:p w14:paraId="063E1BAA" w14:textId="77777777" w:rsidR="00157F17" w:rsidRPr="00840E13" w:rsidRDefault="00157F17" w:rsidP="00E4464E">
            <w:pPr>
              <w:rPr>
                <w:rFonts w:ascii="Times New Roman" w:hAnsi="Times New Roman"/>
                <w:sz w:val="16"/>
                <w:szCs w:val="16"/>
                <w:lang w:eastAsia="fr-FR"/>
              </w:rPr>
            </w:pPr>
            <w:r w:rsidRPr="00840E13">
              <w:rPr>
                <w:rFonts w:ascii="Times New Roman" w:hAnsi="Times New Roman"/>
                <w:sz w:val="16"/>
                <w:szCs w:val="16"/>
                <w:lang w:eastAsia="fr-FR"/>
              </w:rPr>
              <w:t>Cuivre</w:t>
            </w:r>
          </w:p>
        </w:tc>
        <w:tc>
          <w:tcPr>
            <w:tcW w:w="1417" w:type="dxa"/>
            <w:noWrap/>
            <w:hideMark/>
          </w:tcPr>
          <w:p w14:paraId="17B7EAB4"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tonne</w:t>
            </w:r>
          </w:p>
        </w:tc>
        <w:tc>
          <w:tcPr>
            <w:tcW w:w="1693" w:type="dxa"/>
            <w:noWrap/>
            <w:hideMark/>
          </w:tcPr>
          <w:p w14:paraId="05B3B9BC"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1 069 038</w:t>
            </w:r>
          </w:p>
        </w:tc>
        <w:tc>
          <w:tcPr>
            <w:tcW w:w="1897" w:type="dxa"/>
            <w:noWrap/>
            <w:hideMark/>
          </w:tcPr>
          <w:p w14:paraId="5AE91991"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1 035 631</w:t>
            </w:r>
          </w:p>
        </w:tc>
        <w:tc>
          <w:tcPr>
            <w:tcW w:w="1424" w:type="dxa"/>
            <w:noWrap/>
            <w:hideMark/>
          </w:tcPr>
          <w:p w14:paraId="3B86B953"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-3,23% </w:t>
            </w:r>
          </w:p>
        </w:tc>
      </w:tr>
      <w:tr w:rsidR="00157F17" w:rsidRPr="00840E13" w14:paraId="1183A837"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2127" w:type="dxa"/>
            <w:noWrap/>
            <w:hideMark/>
          </w:tcPr>
          <w:p w14:paraId="6F3B6071" w14:textId="77777777" w:rsidR="00157F17" w:rsidRPr="00840E13" w:rsidRDefault="00157F17" w:rsidP="00E4464E">
            <w:pPr>
              <w:rPr>
                <w:rFonts w:ascii="Times New Roman" w:hAnsi="Times New Roman"/>
                <w:sz w:val="16"/>
                <w:szCs w:val="16"/>
                <w:lang w:eastAsia="fr-FR"/>
              </w:rPr>
            </w:pPr>
            <w:r w:rsidRPr="00840E13">
              <w:rPr>
                <w:rFonts w:ascii="Times New Roman" w:hAnsi="Times New Roman"/>
                <w:sz w:val="16"/>
                <w:szCs w:val="16"/>
                <w:lang w:eastAsia="fr-FR"/>
              </w:rPr>
              <w:t>Cobalt</w:t>
            </w:r>
          </w:p>
        </w:tc>
        <w:tc>
          <w:tcPr>
            <w:tcW w:w="1417" w:type="dxa"/>
            <w:noWrap/>
            <w:hideMark/>
          </w:tcPr>
          <w:p w14:paraId="53EFC5F6"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tonne</w:t>
            </w:r>
          </w:p>
        </w:tc>
        <w:tc>
          <w:tcPr>
            <w:tcW w:w="1693" w:type="dxa"/>
            <w:noWrap/>
            <w:hideMark/>
          </w:tcPr>
          <w:p w14:paraId="308A5266"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84 400</w:t>
            </w:r>
          </w:p>
        </w:tc>
        <w:tc>
          <w:tcPr>
            <w:tcW w:w="1897" w:type="dxa"/>
            <w:noWrap/>
            <w:hideMark/>
          </w:tcPr>
          <w:p w14:paraId="4587D956"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69 038</w:t>
            </w:r>
          </w:p>
        </w:tc>
        <w:tc>
          <w:tcPr>
            <w:tcW w:w="1424" w:type="dxa"/>
            <w:noWrap/>
            <w:hideMark/>
          </w:tcPr>
          <w:p w14:paraId="07A9A09F"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18% </w:t>
            </w:r>
          </w:p>
        </w:tc>
      </w:tr>
      <w:tr w:rsidR="00157F17" w:rsidRPr="00840E13" w14:paraId="56BFABCB" w14:textId="77777777" w:rsidTr="00495B53">
        <w:trPr>
          <w:trHeight w:val="373"/>
        </w:trPr>
        <w:tc>
          <w:tcPr>
            <w:cnfStyle w:val="001000000000" w:firstRow="0" w:lastRow="0" w:firstColumn="1" w:lastColumn="0" w:oddVBand="0" w:evenVBand="0" w:oddHBand="0" w:evenHBand="0" w:firstRowFirstColumn="0" w:firstRowLastColumn="0" w:lastRowFirstColumn="0" w:lastRowLastColumn="0"/>
            <w:tcW w:w="2127" w:type="dxa"/>
            <w:noWrap/>
            <w:hideMark/>
          </w:tcPr>
          <w:p w14:paraId="02D8FF28" w14:textId="77777777" w:rsidR="00157F17" w:rsidRPr="00840E13" w:rsidRDefault="00157F17" w:rsidP="00E4464E">
            <w:pPr>
              <w:rPr>
                <w:rFonts w:ascii="Times New Roman" w:hAnsi="Times New Roman"/>
                <w:sz w:val="16"/>
                <w:szCs w:val="16"/>
                <w:lang w:eastAsia="fr-FR"/>
              </w:rPr>
            </w:pPr>
            <w:r w:rsidRPr="00840E13">
              <w:rPr>
                <w:rFonts w:ascii="Times New Roman" w:hAnsi="Times New Roman"/>
                <w:sz w:val="16"/>
                <w:szCs w:val="16"/>
                <w:lang w:eastAsia="fr-FR"/>
              </w:rPr>
              <w:t>Zinc (métal contenu)</w:t>
            </w:r>
          </w:p>
        </w:tc>
        <w:tc>
          <w:tcPr>
            <w:tcW w:w="1417" w:type="dxa"/>
            <w:noWrap/>
            <w:hideMark/>
          </w:tcPr>
          <w:p w14:paraId="59C14559"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tonne</w:t>
            </w:r>
          </w:p>
        </w:tc>
        <w:tc>
          <w:tcPr>
            <w:tcW w:w="1693" w:type="dxa"/>
            <w:noWrap/>
            <w:hideMark/>
          </w:tcPr>
          <w:p w14:paraId="668E3A6E"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12 675</w:t>
            </w:r>
          </w:p>
        </w:tc>
        <w:tc>
          <w:tcPr>
            <w:tcW w:w="1897" w:type="dxa"/>
            <w:noWrap/>
            <w:hideMark/>
          </w:tcPr>
          <w:p w14:paraId="7964694C"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12 587</w:t>
            </w:r>
          </w:p>
        </w:tc>
        <w:tc>
          <w:tcPr>
            <w:tcW w:w="1424" w:type="dxa"/>
            <w:noWrap/>
            <w:hideMark/>
          </w:tcPr>
          <w:p w14:paraId="1C28728F"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-0,69% </w:t>
            </w:r>
          </w:p>
        </w:tc>
      </w:tr>
      <w:tr w:rsidR="00157F17" w:rsidRPr="00840E13" w14:paraId="4475789E" w14:textId="77777777" w:rsidTr="00495B53">
        <w:trPr>
          <w:trHeight w:val="304"/>
        </w:trPr>
        <w:tc>
          <w:tcPr>
            <w:cnfStyle w:val="001000000000" w:firstRow="0" w:lastRow="0" w:firstColumn="1" w:lastColumn="0" w:oddVBand="0" w:evenVBand="0" w:oddHBand="0" w:evenHBand="0" w:firstRowFirstColumn="0" w:firstRowLastColumn="0" w:lastRowFirstColumn="0" w:lastRowLastColumn="0"/>
            <w:tcW w:w="2127" w:type="dxa"/>
            <w:noWrap/>
            <w:hideMark/>
          </w:tcPr>
          <w:p w14:paraId="122E6E67" w14:textId="77777777" w:rsidR="00157F17" w:rsidRPr="00840E13" w:rsidRDefault="00157F17" w:rsidP="00E4464E">
            <w:pPr>
              <w:rPr>
                <w:rFonts w:ascii="Times New Roman" w:hAnsi="Times New Roman"/>
                <w:sz w:val="16"/>
                <w:szCs w:val="16"/>
                <w:lang w:eastAsia="fr-FR"/>
              </w:rPr>
            </w:pPr>
            <w:r w:rsidRPr="00840E13">
              <w:rPr>
                <w:rFonts w:ascii="Times New Roman" w:hAnsi="Times New Roman"/>
                <w:sz w:val="16"/>
                <w:szCs w:val="16"/>
                <w:lang w:eastAsia="fr-FR"/>
              </w:rPr>
              <w:t>Plomb (contenu)</w:t>
            </w:r>
          </w:p>
        </w:tc>
        <w:tc>
          <w:tcPr>
            <w:tcW w:w="1417" w:type="dxa"/>
            <w:noWrap/>
            <w:hideMark/>
          </w:tcPr>
          <w:p w14:paraId="1A4E2F3A"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tonne</w:t>
            </w:r>
          </w:p>
        </w:tc>
        <w:tc>
          <w:tcPr>
            <w:tcW w:w="1693" w:type="dxa"/>
            <w:noWrap/>
            <w:hideMark/>
          </w:tcPr>
          <w:p w14:paraId="44767453"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653</w:t>
            </w:r>
          </w:p>
        </w:tc>
        <w:tc>
          <w:tcPr>
            <w:tcW w:w="1897" w:type="dxa"/>
            <w:noWrap/>
            <w:hideMark/>
          </w:tcPr>
          <w:p w14:paraId="0F596D18"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101</w:t>
            </w:r>
          </w:p>
        </w:tc>
        <w:tc>
          <w:tcPr>
            <w:tcW w:w="1424" w:type="dxa"/>
            <w:noWrap/>
            <w:hideMark/>
          </w:tcPr>
          <w:p w14:paraId="74BAFC7F"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-84,53% </w:t>
            </w:r>
          </w:p>
        </w:tc>
      </w:tr>
      <w:tr w:rsidR="00157F17" w:rsidRPr="00840E13" w14:paraId="2D70BE80"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2127" w:type="dxa"/>
            <w:noWrap/>
            <w:hideMark/>
          </w:tcPr>
          <w:p w14:paraId="69A10F33" w14:textId="77777777" w:rsidR="00157F17" w:rsidRPr="00840E13" w:rsidRDefault="00157F17" w:rsidP="00E4464E">
            <w:pPr>
              <w:rPr>
                <w:rFonts w:ascii="Times New Roman" w:hAnsi="Times New Roman"/>
                <w:sz w:val="16"/>
                <w:szCs w:val="16"/>
                <w:lang w:eastAsia="fr-FR"/>
              </w:rPr>
            </w:pPr>
            <w:r w:rsidRPr="00840E13">
              <w:rPr>
                <w:rFonts w:ascii="Times New Roman" w:hAnsi="Times New Roman"/>
                <w:sz w:val="16"/>
                <w:szCs w:val="16"/>
                <w:lang w:eastAsia="fr-FR"/>
              </w:rPr>
              <w:t>Or fin</w:t>
            </w:r>
          </w:p>
        </w:tc>
        <w:tc>
          <w:tcPr>
            <w:tcW w:w="1417" w:type="dxa"/>
            <w:noWrap/>
            <w:hideMark/>
          </w:tcPr>
          <w:p w14:paraId="62D11482"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kilos</w:t>
            </w:r>
          </w:p>
        </w:tc>
        <w:tc>
          <w:tcPr>
            <w:tcW w:w="1693" w:type="dxa"/>
            <w:noWrap/>
            <w:hideMark/>
          </w:tcPr>
          <w:p w14:paraId="0A0C982C"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31 878</w:t>
            </w:r>
          </w:p>
        </w:tc>
        <w:tc>
          <w:tcPr>
            <w:tcW w:w="1897" w:type="dxa"/>
            <w:noWrap/>
            <w:hideMark/>
          </w:tcPr>
          <w:p w14:paraId="20367467"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30 664</w:t>
            </w:r>
          </w:p>
        </w:tc>
        <w:tc>
          <w:tcPr>
            <w:tcW w:w="1424" w:type="dxa"/>
            <w:noWrap/>
            <w:hideMark/>
          </w:tcPr>
          <w:p w14:paraId="641C5188"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-3,81% </w:t>
            </w:r>
          </w:p>
        </w:tc>
      </w:tr>
      <w:tr w:rsidR="00157F17" w:rsidRPr="00840E13" w14:paraId="0C549446"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9490426" w14:textId="77777777" w:rsidR="00157F17" w:rsidRPr="00840E13" w:rsidRDefault="00157F17" w:rsidP="00E4464E">
            <w:pPr>
              <w:rPr>
                <w:rFonts w:ascii="Times New Roman" w:hAnsi="Times New Roman"/>
                <w:sz w:val="16"/>
                <w:szCs w:val="16"/>
                <w:lang w:eastAsia="fr-FR"/>
              </w:rPr>
            </w:pPr>
            <w:r w:rsidRPr="00840E13">
              <w:rPr>
                <w:rFonts w:ascii="Times New Roman" w:hAnsi="Times New Roman"/>
                <w:sz w:val="16"/>
                <w:szCs w:val="16"/>
                <w:lang w:eastAsia="fr-FR"/>
              </w:rPr>
              <w:t>Diamant</w:t>
            </w:r>
          </w:p>
        </w:tc>
        <w:tc>
          <w:tcPr>
            <w:tcW w:w="1417" w:type="dxa"/>
            <w:noWrap/>
            <w:hideMark/>
          </w:tcPr>
          <w:p w14:paraId="613102DD"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par Carat</w:t>
            </w:r>
          </w:p>
        </w:tc>
        <w:tc>
          <w:tcPr>
            <w:tcW w:w="1693" w:type="dxa"/>
            <w:noWrap/>
            <w:hideMark/>
          </w:tcPr>
          <w:p w14:paraId="3047C90E"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15 753 487</w:t>
            </w:r>
          </w:p>
        </w:tc>
        <w:tc>
          <w:tcPr>
            <w:tcW w:w="1897" w:type="dxa"/>
            <w:noWrap/>
            <w:hideMark/>
          </w:tcPr>
          <w:p w14:paraId="4CF8DFB9"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15 559 447</w:t>
            </w:r>
          </w:p>
        </w:tc>
        <w:tc>
          <w:tcPr>
            <w:tcW w:w="1424" w:type="dxa"/>
            <w:noWrap/>
            <w:hideMark/>
          </w:tcPr>
          <w:p w14:paraId="02AB9A8C"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-1,23% </w:t>
            </w:r>
          </w:p>
        </w:tc>
      </w:tr>
      <w:tr w:rsidR="00157F17" w:rsidRPr="00840E13" w14:paraId="16DF0C00"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2127" w:type="dxa"/>
            <w:noWrap/>
            <w:hideMark/>
          </w:tcPr>
          <w:p w14:paraId="23C909BD" w14:textId="77777777" w:rsidR="00157F17" w:rsidRPr="00840E13" w:rsidRDefault="00157F17" w:rsidP="00E4464E">
            <w:pPr>
              <w:rPr>
                <w:rFonts w:ascii="Times New Roman" w:hAnsi="Times New Roman"/>
                <w:sz w:val="16"/>
                <w:szCs w:val="16"/>
                <w:lang w:eastAsia="fr-FR"/>
              </w:rPr>
            </w:pPr>
            <w:r w:rsidRPr="00840E13">
              <w:rPr>
                <w:rFonts w:ascii="Times New Roman" w:hAnsi="Times New Roman"/>
                <w:sz w:val="16"/>
                <w:szCs w:val="16"/>
                <w:lang w:eastAsia="fr-FR"/>
              </w:rPr>
              <w:t>Cassitérite</w:t>
            </w:r>
          </w:p>
        </w:tc>
        <w:tc>
          <w:tcPr>
            <w:tcW w:w="1417" w:type="dxa"/>
            <w:noWrap/>
            <w:hideMark/>
          </w:tcPr>
          <w:p w14:paraId="72876CFE"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tonne</w:t>
            </w:r>
          </w:p>
        </w:tc>
        <w:tc>
          <w:tcPr>
            <w:tcW w:w="1693" w:type="dxa"/>
            <w:noWrap/>
            <w:hideMark/>
          </w:tcPr>
          <w:p w14:paraId="506D38F5"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8 304</w:t>
            </w:r>
          </w:p>
        </w:tc>
        <w:tc>
          <w:tcPr>
            <w:tcW w:w="1897" w:type="dxa"/>
            <w:noWrap/>
            <w:hideMark/>
          </w:tcPr>
          <w:p w14:paraId="092EE7CC"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11 824</w:t>
            </w:r>
          </w:p>
        </w:tc>
        <w:tc>
          <w:tcPr>
            <w:tcW w:w="1424" w:type="dxa"/>
            <w:noWrap/>
            <w:hideMark/>
          </w:tcPr>
          <w:p w14:paraId="677F39F3"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42,39% </w:t>
            </w:r>
          </w:p>
        </w:tc>
      </w:tr>
      <w:tr w:rsidR="00157F17" w:rsidRPr="00840E13" w14:paraId="0F07C2F9"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2127" w:type="dxa"/>
            <w:noWrap/>
            <w:hideMark/>
          </w:tcPr>
          <w:p w14:paraId="05DC24FC" w14:textId="77777777" w:rsidR="00157F17" w:rsidRPr="00840E13" w:rsidRDefault="00157F17" w:rsidP="00E4464E">
            <w:pPr>
              <w:rPr>
                <w:rFonts w:ascii="Times New Roman" w:hAnsi="Times New Roman"/>
                <w:sz w:val="16"/>
                <w:szCs w:val="16"/>
                <w:lang w:eastAsia="fr-FR"/>
              </w:rPr>
            </w:pPr>
            <w:proofErr w:type="spellStart"/>
            <w:r w:rsidRPr="00840E13">
              <w:rPr>
                <w:rFonts w:ascii="Times New Roman" w:hAnsi="Times New Roman"/>
                <w:sz w:val="16"/>
                <w:szCs w:val="16"/>
                <w:lang w:eastAsia="fr-FR"/>
              </w:rPr>
              <w:t>Coltan</w:t>
            </w:r>
            <w:proofErr w:type="spellEnd"/>
          </w:p>
        </w:tc>
        <w:tc>
          <w:tcPr>
            <w:tcW w:w="1417" w:type="dxa"/>
            <w:noWrap/>
            <w:hideMark/>
          </w:tcPr>
          <w:p w14:paraId="698387E0"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tonne</w:t>
            </w:r>
          </w:p>
        </w:tc>
        <w:tc>
          <w:tcPr>
            <w:tcW w:w="1693" w:type="dxa"/>
            <w:noWrap/>
            <w:hideMark/>
          </w:tcPr>
          <w:p w14:paraId="76007C48"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2 102</w:t>
            </w:r>
          </w:p>
        </w:tc>
        <w:tc>
          <w:tcPr>
            <w:tcW w:w="1897" w:type="dxa"/>
            <w:noWrap/>
            <w:hideMark/>
          </w:tcPr>
          <w:p w14:paraId="0BACC32E"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2 414</w:t>
            </w:r>
          </w:p>
        </w:tc>
        <w:tc>
          <w:tcPr>
            <w:tcW w:w="1424" w:type="dxa"/>
            <w:noWrap/>
            <w:hideMark/>
          </w:tcPr>
          <w:p w14:paraId="7DC87A46"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14,84% </w:t>
            </w:r>
          </w:p>
        </w:tc>
      </w:tr>
      <w:tr w:rsidR="00157F17" w:rsidRPr="00840E13" w14:paraId="438D9AC7"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2127" w:type="dxa"/>
            <w:noWrap/>
            <w:hideMark/>
          </w:tcPr>
          <w:p w14:paraId="37CF8188" w14:textId="77777777" w:rsidR="00157F17" w:rsidRPr="00840E13" w:rsidRDefault="00157F17" w:rsidP="00E4464E">
            <w:pPr>
              <w:rPr>
                <w:rFonts w:ascii="Times New Roman" w:hAnsi="Times New Roman"/>
                <w:sz w:val="16"/>
                <w:szCs w:val="16"/>
                <w:lang w:eastAsia="fr-FR"/>
              </w:rPr>
            </w:pPr>
            <w:r w:rsidRPr="00840E13">
              <w:rPr>
                <w:rFonts w:ascii="Times New Roman" w:hAnsi="Times New Roman"/>
                <w:sz w:val="16"/>
                <w:szCs w:val="16"/>
                <w:lang w:eastAsia="fr-FR"/>
              </w:rPr>
              <w:t>Wolframite</w:t>
            </w:r>
          </w:p>
        </w:tc>
        <w:tc>
          <w:tcPr>
            <w:tcW w:w="1417" w:type="dxa"/>
            <w:noWrap/>
            <w:hideMark/>
          </w:tcPr>
          <w:p w14:paraId="2EA9054A"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tonne</w:t>
            </w:r>
          </w:p>
        </w:tc>
        <w:tc>
          <w:tcPr>
            <w:tcW w:w="1693" w:type="dxa"/>
            <w:noWrap/>
            <w:hideMark/>
          </w:tcPr>
          <w:p w14:paraId="253CBB48"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106</w:t>
            </w:r>
          </w:p>
        </w:tc>
        <w:tc>
          <w:tcPr>
            <w:tcW w:w="1897" w:type="dxa"/>
            <w:noWrap/>
            <w:hideMark/>
          </w:tcPr>
          <w:p w14:paraId="25E97301"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154</w:t>
            </w:r>
          </w:p>
        </w:tc>
        <w:tc>
          <w:tcPr>
            <w:tcW w:w="1424" w:type="dxa"/>
            <w:noWrap/>
            <w:hideMark/>
          </w:tcPr>
          <w:p w14:paraId="07EDA989"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45,28% </w:t>
            </w:r>
          </w:p>
        </w:tc>
      </w:tr>
    </w:tbl>
    <w:p w14:paraId="2A778C00" w14:textId="77777777" w:rsidR="00157F17" w:rsidRPr="00840E13" w:rsidRDefault="00157F17" w:rsidP="00157F17">
      <w:pPr>
        <w:spacing w:after="0"/>
        <w:rPr>
          <w:rFonts w:ascii="Times New Roman" w:hAnsi="Times New Roman"/>
          <w:bCs/>
          <w:sz w:val="24"/>
          <w:szCs w:val="24"/>
          <w:lang w:eastAsia="fr-FR"/>
        </w:rPr>
      </w:pPr>
    </w:p>
    <w:p w14:paraId="4742AF52" w14:textId="77777777" w:rsidR="00157F17" w:rsidRPr="00840E13" w:rsidRDefault="00157F17" w:rsidP="00157F17">
      <w:pPr>
        <w:spacing w:after="0"/>
        <w:rPr>
          <w:rFonts w:ascii="Times New Roman" w:hAnsi="Times New Roman"/>
          <w:bCs/>
          <w:sz w:val="24"/>
          <w:szCs w:val="24"/>
          <w:lang w:eastAsia="fr-FR"/>
        </w:rPr>
      </w:pPr>
    </w:p>
    <w:p w14:paraId="644CB607" w14:textId="77777777" w:rsidR="00157F17" w:rsidRPr="00840E13" w:rsidRDefault="00157F17" w:rsidP="00157F17">
      <w:pPr>
        <w:spacing w:after="0"/>
        <w:ind w:left="709"/>
        <w:rPr>
          <w:rFonts w:ascii="Times New Roman" w:hAnsi="Times New Roman"/>
          <w:bCs/>
          <w:sz w:val="24"/>
          <w:szCs w:val="24"/>
          <w:lang w:eastAsia="fr-FR"/>
        </w:rPr>
      </w:pPr>
      <w:r w:rsidRPr="0003008B">
        <w:rPr>
          <w:rFonts w:ascii="Times New Roman" w:hAnsi="Times New Roman"/>
          <w:bCs/>
          <w:sz w:val="24"/>
          <w:szCs w:val="24"/>
          <w:lang w:eastAsia="fr-FR"/>
        </w:rPr>
        <w:t xml:space="preserve">Vu leur volume, les informations désagrégées par entreprise, matière et produit marchand sont postées  sur le site. Elles sont  </w:t>
      </w:r>
      <w:r>
        <w:rPr>
          <w:rFonts w:ascii="Times New Roman" w:hAnsi="Times New Roman"/>
          <w:bCs/>
          <w:sz w:val="24"/>
          <w:szCs w:val="24"/>
          <w:lang w:eastAsia="fr-FR"/>
        </w:rPr>
        <w:t xml:space="preserve">donc disponibles sur  notre </w:t>
      </w:r>
      <w:hyperlink r:id="rId40" w:history="1">
        <w:r>
          <w:rPr>
            <w:rStyle w:val="Lienhypertexte"/>
            <w:rFonts w:ascii="Times New Roman" w:hAnsi="Times New Roman"/>
            <w:bCs/>
            <w:sz w:val="24"/>
            <w:szCs w:val="24"/>
            <w:lang w:eastAsia="fr-FR"/>
          </w:rPr>
          <w:t>P</w:t>
        </w:r>
        <w:r w:rsidRPr="00840E13">
          <w:rPr>
            <w:rStyle w:val="Lienhypertexte"/>
            <w:rFonts w:ascii="Times New Roman" w:hAnsi="Times New Roman"/>
            <w:bCs/>
            <w:sz w:val="24"/>
            <w:szCs w:val="24"/>
            <w:lang w:eastAsia="fr-FR"/>
          </w:rPr>
          <w:t>ortail des données.</w:t>
        </w:r>
      </w:hyperlink>
      <w:r w:rsidRPr="00840E13">
        <w:rPr>
          <w:rFonts w:ascii="Times New Roman" w:hAnsi="Times New Roman"/>
          <w:sz w:val="24"/>
          <w:szCs w:val="24"/>
        </w:rPr>
        <w:t xml:space="preserve"> </w:t>
      </w:r>
    </w:p>
    <w:p w14:paraId="6DF01131" w14:textId="77777777" w:rsidR="00157F17" w:rsidRDefault="00157F17" w:rsidP="00157F17">
      <w:pPr>
        <w:spacing w:after="0"/>
        <w:ind w:left="709"/>
        <w:rPr>
          <w:rFonts w:ascii="Times New Roman" w:hAnsi="Times New Roman"/>
          <w:bCs/>
          <w:sz w:val="24"/>
          <w:szCs w:val="24"/>
          <w:lang w:eastAsia="fr-FR"/>
        </w:rPr>
      </w:pPr>
      <w:r>
        <w:rPr>
          <w:rFonts w:ascii="Times New Roman" w:hAnsi="Times New Roman"/>
          <w:bCs/>
          <w:sz w:val="24"/>
          <w:szCs w:val="24"/>
          <w:lang w:eastAsia="fr-FR"/>
        </w:rPr>
        <w:t xml:space="preserve"> L</w:t>
      </w:r>
      <w:r w:rsidRPr="00840E13">
        <w:rPr>
          <w:rFonts w:ascii="Times New Roman" w:hAnsi="Times New Roman"/>
          <w:bCs/>
          <w:sz w:val="24"/>
          <w:szCs w:val="24"/>
          <w:lang w:eastAsia="fr-FR"/>
        </w:rPr>
        <w:t xml:space="preserve">e site du </w:t>
      </w:r>
      <w:hyperlink r:id="rId41" w:history="1">
        <w:r w:rsidRPr="00840E13">
          <w:rPr>
            <w:rStyle w:val="Lienhypertexte"/>
            <w:rFonts w:ascii="Times New Roman" w:hAnsi="Times New Roman"/>
            <w:bCs/>
            <w:sz w:val="24"/>
            <w:szCs w:val="24"/>
            <w:lang w:eastAsia="fr-FR"/>
          </w:rPr>
          <w:t>Ministère des Mines</w:t>
        </w:r>
      </w:hyperlink>
      <w:r>
        <w:rPr>
          <w:rStyle w:val="Marquedecommentaire"/>
        </w:rPr>
        <w:t xml:space="preserve"> (voir Bulletins statistiques minières de la CTCPM) ainsi que </w:t>
      </w:r>
      <w:r w:rsidRPr="00840E13">
        <w:rPr>
          <w:rFonts w:ascii="Times New Roman" w:hAnsi="Times New Roman"/>
          <w:bCs/>
          <w:sz w:val="24"/>
          <w:szCs w:val="24"/>
          <w:lang w:eastAsia="fr-FR"/>
        </w:rPr>
        <w:t xml:space="preserve"> et dans le </w:t>
      </w:r>
      <w:hyperlink r:id="rId42" w:history="1">
        <w:r>
          <w:rPr>
            <w:rStyle w:val="Lienhypertexte"/>
            <w:rFonts w:ascii="Times New Roman" w:hAnsi="Times New Roman"/>
            <w:bCs/>
            <w:sz w:val="24"/>
            <w:szCs w:val="24"/>
            <w:lang w:eastAsia="fr-FR"/>
          </w:rPr>
          <w:t>R</w:t>
        </w:r>
        <w:r w:rsidRPr="00840E13">
          <w:rPr>
            <w:rStyle w:val="Lienhypertexte"/>
            <w:rFonts w:ascii="Times New Roman" w:hAnsi="Times New Roman"/>
            <w:bCs/>
            <w:sz w:val="24"/>
            <w:szCs w:val="24"/>
            <w:lang w:eastAsia="fr-FR"/>
          </w:rPr>
          <w:t>apport 2016 de la BCC</w:t>
        </w:r>
      </w:hyperlink>
      <w:r>
        <w:rPr>
          <w:rFonts w:ascii="Times New Roman" w:hAnsi="Times New Roman"/>
          <w:bCs/>
          <w:sz w:val="24"/>
          <w:szCs w:val="24"/>
          <w:lang w:eastAsia="fr-FR"/>
        </w:rPr>
        <w:t xml:space="preserve">  renseignent aussi des informations sur la production.</w:t>
      </w:r>
    </w:p>
    <w:p w14:paraId="2DD07F29" w14:textId="3505FFC8" w:rsidR="00B50BF9" w:rsidRDefault="00157F17" w:rsidP="00051E32">
      <w:pPr>
        <w:ind w:left="709"/>
        <w:rPr>
          <w:rFonts w:ascii="Times New Roman" w:hAnsi="Times New Roman"/>
          <w:bCs/>
          <w:sz w:val="24"/>
          <w:szCs w:val="24"/>
          <w:lang w:eastAsia="fr-FR"/>
        </w:rPr>
      </w:pPr>
      <w:r>
        <w:rPr>
          <w:rFonts w:ascii="Times New Roman" w:hAnsi="Times New Roman"/>
          <w:bCs/>
          <w:sz w:val="24"/>
          <w:szCs w:val="24"/>
          <w:lang w:eastAsia="fr-FR"/>
        </w:rPr>
        <w:t xml:space="preserve">Il est aussi utile de noter les données ci-dessus  contiennent  une  production d’origine artisanale particulièrement la cassitérite, le </w:t>
      </w:r>
      <w:proofErr w:type="spellStart"/>
      <w:r>
        <w:rPr>
          <w:rFonts w:ascii="Times New Roman" w:hAnsi="Times New Roman"/>
          <w:bCs/>
          <w:sz w:val="24"/>
          <w:szCs w:val="24"/>
          <w:lang w:eastAsia="fr-FR"/>
        </w:rPr>
        <w:t>coltan</w:t>
      </w:r>
      <w:proofErr w:type="spellEnd"/>
      <w:r>
        <w:rPr>
          <w:rFonts w:ascii="Times New Roman" w:hAnsi="Times New Roman"/>
          <w:bCs/>
          <w:sz w:val="24"/>
          <w:szCs w:val="24"/>
          <w:lang w:eastAsia="fr-FR"/>
        </w:rPr>
        <w:t xml:space="preserve">,  le wolframite et dans une certaine mesure le diamant.  </w:t>
      </w:r>
    </w:p>
    <w:p w14:paraId="423264B6" w14:textId="77777777" w:rsidR="00B50BF9" w:rsidRDefault="00B50BF9">
      <w:pPr>
        <w:rPr>
          <w:rFonts w:ascii="Times New Roman" w:hAnsi="Times New Roman"/>
          <w:bCs/>
          <w:sz w:val="24"/>
          <w:szCs w:val="24"/>
          <w:lang w:eastAsia="fr-FR"/>
        </w:rPr>
      </w:pPr>
      <w:r>
        <w:rPr>
          <w:rFonts w:ascii="Times New Roman" w:hAnsi="Times New Roman"/>
          <w:bCs/>
          <w:sz w:val="24"/>
          <w:szCs w:val="24"/>
          <w:lang w:eastAsia="fr-FR"/>
        </w:rPr>
        <w:br w:type="page"/>
      </w:r>
    </w:p>
    <w:p w14:paraId="680C540E" w14:textId="77777777" w:rsidR="00157F17" w:rsidRPr="00026C6E" w:rsidRDefault="00157F17" w:rsidP="00157F17">
      <w:pPr>
        <w:ind w:left="851"/>
        <w:rPr>
          <w:rFonts w:ascii="Times New Roman" w:hAnsi="Times New Roman"/>
          <w:i/>
          <w:color w:val="2E74B5" w:themeColor="accent1" w:themeShade="BF"/>
          <w:sz w:val="24"/>
          <w:szCs w:val="24"/>
        </w:rPr>
      </w:pPr>
      <w:r w:rsidRPr="00026C6E">
        <w:rPr>
          <w:rFonts w:ascii="Times New Roman" w:hAnsi="Times New Roman"/>
          <w:i/>
          <w:color w:val="2E74B5" w:themeColor="accent1" w:themeShade="BF"/>
          <w:sz w:val="24"/>
          <w:szCs w:val="24"/>
        </w:rPr>
        <w:lastRenderedPageBreak/>
        <w:t>Pour les données sur les exportations:</w:t>
      </w:r>
    </w:p>
    <w:p w14:paraId="3C0196B2" w14:textId="77777777" w:rsidR="00157F17" w:rsidRPr="00840E13" w:rsidRDefault="00157F17" w:rsidP="00157F17">
      <w:pPr>
        <w:ind w:left="709"/>
        <w:rPr>
          <w:rFonts w:ascii="Times New Roman" w:hAnsi="Times New Roman"/>
          <w:bCs/>
          <w:sz w:val="24"/>
          <w:szCs w:val="24"/>
          <w:lang w:eastAsia="fr-FR"/>
        </w:rPr>
      </w:pPr>
      <w:r w:rsidRPr="00840E13">
        <w:rPr>
          <w:rFonts w:ascii="Times New Roman" w:hAnsi="Times New Roman"/>
          <w:bCs/>
          <w:sz w:val="24"/>
          <w:szCs w:val="24"/>
          <w:lang w:eastAsia="fr-FR"/>
        </w:rPr>
        <w:t>Les données condensées par matière fournies par le Ministère de Mine sont présentées ci-après :</w:t>
      </w:r>
    </w:p>
    <w:tbl>
      <w:tblPr>
        <w:tblStyle w:val="TableauGrille1Clair1"/>
        <w:tblW w:w="7834" w:type="dxa"/>
        <w:tblInd w:w="666" w:type="dxa"/>
        <w:tblLook w:val="04A0" w:firstRow="1" w:lastRow="0" w:firstColumn="1" w:lastColumn="0" w:noHBand="0" w:noVBand="1"/>
      </w:tblPr>
      <w:tblGrid>
        <w:gridCol w:w="1844"/>
        <w:gridCol w:w="1313"/>
        <w:gridCol w:w="1559"/>
        <w:gridCol w:w="1674"/>
        <w:gridCol w:w="1444"/>
      </w:tblGrid>
      <w:tr w:rsidR="00495B53" w:rsidRPr="00840E13" w14:paraId="3AE475A4" w14:textId="77777777" w:rsidTr="00002ED3">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844" w:type="dxa"/>
            <w:vMerge w:val="restart"/>
            <w:vAlign w:val="center"/>
            <w:hideMark/>
          </w:tcPr>
          <w:p w14:paraId="23FEFCF0" w14:textId="77777777" w:rsidR="00495B53" w:rsidRPr="00840E13" w:rsidRDefault="00495B53" w:rsidP="00002ED3">
            <w:pPr>
              <w:jc w:val="center"/>
              <w:rPr>
                <w:rFonts w:ascii="Times New Roman" w:hAnsi="Times New Roman"/>
                <w:sz w:val="16"/>
                <w:szCs w:val="16"/>
                <w:lang w:eastAsia="fr-FR"/>
              </w:rPr>
            </w:pPr>
            <w:r w:rsidRPr="00840E13">
              <w:rPr>
                <w:rFonts w:ascii="Times New Roman" w:hAnsi="Times New Roman"/>
                <w:sz w:val="16"/>
                <w:szCs w:val="16"/>
                <w:lang w:eastAsia="fr-FR"/>
              </w:rPr>
              <w:t>Produit</w:t>
            </w:r>
          </w:p>
        </w:tc>
        <w:tc>
          <w:tcPr>
            <w:tcW w:w="1313" w:type="dxa"/>
            <w:vMerge w:val="restart"/>
            <w:vAlign w:val="center"/>
            <w:hideMark/>
          </w:tcPr>
          <w:p w14:paraId="083A479A" w14:textId="77777777" w:rsidR="00495B53" w:rsidRPr="00840E13" w:rsidRDefault="00495B53" w:rsidP="00002ED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lang w:eastAsia="fr-FR"/>
              </w:rPr>
            </w:pPr>
            <w:r w:rsidRPr="00840E13">
              <w:rPr>
                <w:rFonts w:ascii="Times New Roman" w:hAnsi="Times New Roman"/>
                <w:sz w:val="16"/>
                <w:szCs w:val="16"/>
                <w:lang w:eastAsia="fr-FR"/>
              </w:rPr>
              <w:t>Unité</w:t>
            </w:r>
          </w:p>
        </w:tc>
        <w:tc>
          <w:tcPr>
            <w:tcW w:w="4677" w:type="dxa"/>
            <w:gridSpan w:val="3"/>
            <w:vAlign w:val="center"/>
            <w:hideMark/>
          </w:tcPr>
          <w:p w14:paraId="3ED98C34" w14:textId="77777777" w:rsidR="00495B53" w:rsidRPr="00840E13" w:rsidRDefault="00495B53" w:rsidP="00002ED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lang w:eastAsia="fr-FR"/>
              </w:rPr>
            </w:pPr>
            <w:r w:rsidRPr="00840E13">
              <w:rPr>
                <w:rFonts w:ascii="Times New Roman" w:hAnsi="Times New Roman"/>
                <w:sz w:val="16"/>
                <w:szCs w:val="16"/>
                <w:lang w:eastAsia="fr-FR"/>
              </w:rPr>
              <w:t>Exportation</w:t>
            </w:r>
          </w:p>
        </w:tc>
      </w:tr>
      <w:tr w:rsidR="00495B53" w:rsidRPr="00840E13" w14:paraId="51E65384" w14:textId="77777777" w:rsidTr="00002ED3">
        <w:trPr>
          <w:trHeight w:val="371"/>
        </w:trPr>
        <w:tc>
          <w:tcPr>
            <w:cnfStyle w:val="001000000000" w:firstRow="0" w:lastRow="0" w:firstColumn="1" w:lastColumn="0" w:oddVBand="0" w:evenVBand="0" w:oddHBand="0" w:evenHBand="0" w:firstRowFirstColumn="0" w:firstRowLastColumn="0" w:lastRowFirstColumn="0" w:lastRowLastColumn="0"/>
            <w:tcW w:w="1844" w:type="dxa"/>
            <w:vMerge/>
            <w:vAlign w:val="center"/>
            <w:hideMark/>
          </w:tcPr>
          <w:p w14:paraId="6981EABE" w14:textId="77777777" w:rsidR="00495B53" w:rsidRPr="00840E13" w:rsidRDefault="00495B53" w:rsidP="00002ED3">
            <w:pPr>
              <w:jc w:val="center"/>
              <w:rPr>
                <w:rFonts w:ascii="Times New Roman" w:hAnsi="Times New Roman"/>
                <w:color w:val="FFFFFF"/>
                <w:sz w:val="16"/>
                <w:szCs w:val="16"/>
                <w:lang w:eastAsia="fr-FR"/>
              </w:rPr>
            </w:pPr>
          </w:p>
        </w:tc>
        <w:tc>
          <w:tcPr>
            <w:tcW w:w="1313" w:type="dxa"/>
            <w:vMerge/>
            <w:vAlign w:val="center"/>
            <w:hideMark/>
          </w:tcPr>
          <w:p w14:paraId="381776E1" w14:textId="77777777" w:rsidR="00495B53" w:rsidRPr="00840E13" w:rsidRDefault="00495B53" w:rsidP="00002E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FFFFFF"/>
                <w:sz w:val="16"/>
                <w:szCs w:val="16"/>
                <w:lang w:eastAsia="fr-FR"/>
              </w:rPr>
            </w:pPr>
          </w:p>
        </w:tc>
        <w:tc>
          <w:tcPr>
            <w:tcW w:w="1559" w:type="dxa"/>
            <w:vAlign w:val="center"/>
            <w:hideMark/>
          </w:tcPr>
          <w:p w14:paraId="7738793D" w14:textId="77777777" w:rsidR="00495B53" w:rsidRPr="00840E13" w:rsidRDefault="00495B53" w:rsidP="00002E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323E4F" w:themeColor="text2" w:themeShade="BF"/>
                <w:sz w:val="16"/>
                <w:szCs w:val="16"/>
                <w:lang w:eastAsia="fr-FR"/>
              </w:rPr>
            </w:pPr>
            <w:r w:rsidRPr="00840E13">
              <w:rPr>
                <w:rFonts w:ascii="Times New Roman" w:hAnsi="Times New Roman"/>
                <w:b/>
                <w:color w:val="323E4F" w:themeColor="text2" w:themeShade="BF"/>
                <w:sz w:val="16"/>
                <w:szCs w:val="16"/>
                <w:lang w:eastAsia="fr-FR"/>
              </w:rPr>
              <w:t>2015</w:t>
            </w:r>
          </w:p>
        </w:tc>
        <w:tc>
          <w:tcPr>
            <w:tcW w:w="1674" w:type="dxa"/>
            <w:vAlign w:val="center"/>
            <w:hideMark/>
          </w:tcPr>
          <w:p w14:paraId="4C9021C1" w14:textId="77777777" w:rsidR="00495B53" w:rsidRPr="00840E13" w:rsidRDefault="00495B53" w:rsidP="00002E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323E4F" w:themeColor="text2" w:themeShade="BF"/>
                <w:sz w:val="16"/>
                <w:szCs w:val="16"/>
                <w:lang w:eastAsia="fr-FR"/>
              </w:rPr>
            </w:pPr>
            <w:r w:rsidRPr="00840E13">
              <w:rPr>
                <w:rFonts w:ascii="Times New Roman" w:hAnsi="Times New Roman"/>
                <w:b/>
                <w:color w:val="323E4F" w:themeColor="text2" w:themeShade="BF"/>
                <w:sz w:val="16"/>
                <w:szCs w:val="16"/>
                <w:lang w:eastAsia="fr-FR"/>
              </w:rPr>
              <w:t>2016</w:t>
            </w:r>
          </w:p>
        </w:tc>
        <w:tc>
          <w:tcPr>
            <w:tcW w:w="1444" w:type="dxa"/>
            <w:vAlign w:val="center"/>
            <w:hideMark/>
          </w:tcPr>
          <w:p w14:paraId="506BC80C" w14:textId="77777777" w:rsidR="00495B53" w:rsidRPr="00840E13" w:rsidRDefault="00495B53" w:rsidP="00002E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323E4F" w:themeColor="text2" w:themeShade="BF"/>
                <w:sz w:val="16"/>
                <w:szCs w:val="16"/>
                <w:lang w:eastAsia="fr-FR"/>
              </w:rPr>
            </w:pPr>
            <w:r w:rsidRPr="00840E13">
              <w:rPr>
                <w:rFonts w:ascii="Times New Roman" w:hAnsi="Times New Roman"/>
                <w:b/>
                <w:color w:val="323E4F" w:themeColor="text2" w:themeShade="BF"/>
                <w:sz w:val="16"/>
                <w:szCs w:val="16"/>
                <w:lang w:eastAsia="fr-FR"/>
              </w:rPr>
              <w:t>Variation</w:t>
            </w:r>
          </w:p>
        </w:tc>
      </w:tr>
      <w:tr w:rsidR="00495B53" w:rsidRPr="00840E13" w14:paraId="321A6632"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1844" w:type="dxa"/>
            <w:noWrap/>
            <w:hideMark/>
          </w:tcPr>
          <w:p w14:paraId="0C1EE305" w14:textId="77777777" w:rsidR="00495B53" w:rsidRPr="00840E13" w:rsidRDefault="00495B53" w:rsidP="00E4464E">
            <w:pPr>
              <w:rPr>
                <w:rFonts w:ascii="Times New Roman" w:hAnsi="Times New Roman"/>
                <w:sz w:val="16"/>
                <w:szCs w:val="16"/>
                <w:lang w:eastAsia="fr-FR"/>
              </w:rPr>
            </w:pPr>
            <w:r w:rsidRPr="00840E13">
              <w:rPr>
                <w:rFonts w:ascii="Times New Roman" w:hAnsi="Times New Roman"/>
                <w:sz w:val="16"/>
                <w:szCs w:val="16"/>
                <w:lang w:eastAsia="fr-FR"/>
              </w:rPr>
              <w:t>Cuivre</w:t>
            </w:r>
          </w:p>
        </w:tc>
        <w:tc>
          <w:tcPr>
            <w:tcW w:w="1313" w:type="dxa"/>
            <w:noWrap/>
            <w:hideMark/>
          </w:tcPr>
          <w:p w14:paraId="17F7F828" w14:textId="77777777" w:rsidR="00495B53" w:rsidRPr="00840E13" w:rsidRDefault="00495B53"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tonne</w:t>
            </w:r>
          </w:p>
        </w:tc>
        <w:tc>
          <w:tcPr>
            <w:tcW w:w="1559" w:type="dxa"/>
            <w:noWrap/>
            <w:hideMark/>
          </w:tcPr>
          <w:p w14:paraId="1EF7D8FF"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1 021 116</w:t>
            </w:r>
          </w:p>
        </w:tc>
        <w:tc>
          <w:tcPr>
            <w:tcW w:w="1674" w:type="dxa"/>
            <w:noWrap/>
            <w:hideMark/>
          </w:tcPr>
          <w:p w14:paraId="254C6689"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1 023 686</w:t>
            </w:r>
          </w:p>
        </w:tc>
        <w:tc>
          <w:tcPr>
            <w:tcW w:w="1444" w:type="dxa"/>
            <w:noWrap/>
            <w:hideMark/>
          </w:tcPr>
          <w:p w14:paraId="7F065C93"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0,25% </w:t>
            </w:r>
          </w:p>
        </w:tc>
      </w:tr>
      <w:tr w:rsidR="00495B53" w:rsidRPr="00840E13" w14:paraId="125AE6BD"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1844" w:type="dxa"/>
            <w:noWrap/>
            <w:hideMark/>
          </w:tcPr>
          <w:p w14:paraId="39CF4A21" w14:textId="77777777" w:rsidR="00495B53" w:rsidRPr="00840E13" w:rsidRDefault="00495B53" w:rsidP="00E4464E">
            <w:pPr>
              <w:rPr>
                <w:rFonts w:ascii="Times New Roman" w:hAnsi="Times New Roman"/>
                <w:sz w:val="16"/>
                <w:szCs w:val="16"/>
                <w:lang w:eastAsia="fr-FR"/>
              </w:rPr>
            </w:pPr>
            <w:r w:rsidRPr="00840E13">
              <w:rPr>
                <w:rFonts w:ascii="Times New Roman" w:hAnsi="Times New Roman"/>
                <w:sz w:val="16"/>
                <w:szCs w:val="16"/>
                <w:lang w:eastAsia="fr-FR"/>
              </w:rPr>
              <w:t>Cobalt</w:t>
            </w:r>
          </w:p>
        </w:tc>
        <w:tc>
          <w:tcPr>
            <w:tcW w:w="1313" w:type="dxa"/>
            <w:noWrap/>
            <w:hideMark/>
          </w:tcPr>
          <w:p w14:paraId="605BB625" w14:textId="77777777" w:rsidR="00495B53" w:rsidRPr="00840E13" w:rsidRDefault="00495B53"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tonne</w:t>
            </w:r>
          </w:p>
        </w:tc>
        <w:tc>
          <w:tcPr>
            <w:tcW w:w="1559" w:type="dxa"/>
            <w:noWrap/>
            <w:hideMark/>
          </w:tcPr>
          <w:p w14:paraId="39678155"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83 529</w:t>
            </w:r>
          </w:p>
        </w:tc>
        <w:tc>
          <w:tcPr>
            <w:tcW w:w="1674" w:type="dxa"/>
            <w:noWrap/>
            <w:hideMark/>
          </w:tcPr>
          <w:p w14:paraId="52D97631"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68 821</w:t>
            </w:r>
          </w:p>
        </w:tc>
        <w:tc>
          <w:tcPr>
            <w:tcW w:w="1444" w:type="dxa"/>
            <w:noWrap/>
            <w:hideMark/>
          </w:tcPr>
          <w:p w14:paraId="7B98073F"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-17,61% </w:t>
            </w:r>
          </w:p>
        </w:tc>
      </w:tr>
      <w:tr w:rsidR="00495B53" w:rsidRPr="00840E13" w14:paraId="3A2DF049" w14:textId="77777777" w:rsidTr="00495B53">
        <w:trPr>
          <w:trHeight w:val="373"/>
        </w:trPr>
        <w:tc>
          <w:tcPr>
            <w:cnfStyle w:val="001000000000" w:firstRow="0" w:lastRow="0" w:firstColumn="1" w:lastColumn="0" w:oddVBand="0" w:evenVBand="0" w:oddHBand="0" w:evenHBand="0" w:firstRowFirstColumn="0" w:firstRowLastColumn="0" w:lastRowFirstColumn="0" w:lastRowLastColumn="0"/>
            <w:tcW w:w="1844" w:type="dxa"/>
            <w:noWrap/>
            <w:hideMark/>
          </w:tcPr>
          <w:p w14:paraId="44529509" w14:textId="77777777" w:rsidR="00495B53" w:rsidRPr="00840E13" w:rsidRDefault="00495B53" w:rsidP="00E4464E">
            <w:pPr>
              <w:rPr>
                <w:rFonts w:ascii="Times New Roman" w:hAnsi="Times New Roman"/>
                <w:sz w:val="16"/>
                <w:szCs w:val="16"/>
                <w:lang w:eastAsia="fr-FR"/>
              </w:rPr>
            </w:pPr>
            <w:r w:rsidRPr="00840E13">
              <w:rPr>
                <w:rFonts w:ascii="Times New Roman" w:hAnsi="Times New Roman"/>
                <w:sz w:val="16"/>
                <w:szCs w:val="16"/>
                <w:lang w:eastAsia="fr-FR"/>
              </w:rPr>
              <w:t>Zinc (métal contenu)</w:t>
            </w:r>
          </w:p>
        </w:tc>
        <w:tc>
          <w:tcPr>
            <w:tcW w:w="1313" w:type="dxa"/>
            <w:noWrap/>
            <w:hideMark/>
          </w:tcPr>
          <w:p w14:paraId="2F2C52D6" w14:textId="77777777" w:rsidR="00495B53" w:rsidRPr="00840E13" w:rsidRDefault="00495B53"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tonne</w:t>
            </w:r>
          </w:p>
        </w:tc>
        <w:tc>
          <w:tcPr>
            <w:tcW w:w="1559" w:type="dxa"/>
            <w:noWrap/>
            <w:hideMark/>
          </w:tcPr>
          <w:p w14:paraId="5272AA0B"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12 675</w:t>
            </w:r>
          </w:p>
        </w:tc>
        <w:tc>
          <w:tcPr>
            <w:tcW w:w="1674" w:type="dxa"/>
            <w:noWrap/>
            <w:hideMark/>
          </w:tcPr>
          <w:p w14:paraId="13F23AB8"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12 587</w:t>
            </w:r>
          </w:p>
        </w:tc>
        <w:tc>
          <w:tcPr>
            <w:tcW w:w="1444" w:type="dxa"/>
            <w:noWrap/>
            <w:hideMark/>
          </w:tcPr>
          <w:p w14:paraId="4EC36CB3"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-0,69% </w:t>
            </w:r>
          </w:p>
        </w:tc>
      </w:tr>
      <w:tr w:rsidR="00495B53" w:rsidRPr="00840E13" w14:paraId="23E534F6" w14:textId="77777777" w:rsidTr="00495B53">
        <w:trPr>
          <w:trHeight w:val="304"/>
        </w:trPr>
        <w:tc>
          <w:tcPr>
            <w:cnfStyle w:val="001000000000" w:firstRow="0" w:lastRow="0" w:firstColumn="1" w:lastColumn="0" w:oddVBand="0" w:evenVBand="0" w:oddHBand="0" w:evenHBand="0" w:firstRowFirstColumn="0" w:firstRowLastColumn="0" w:lastRowFirstColumn="0" w:lastRowLastColumn="0"/>
            <w:tcW w:w="1844" w:type="dxa"/>
            <w:noWrap/>
            <w:hideMark/>
          </w:tcPr>
          <w:p w14:paraId="0F67F185" w14:textId="77777777" w:rsidR="00495B53" w:rsidRPr="00840E13" w:rsidRDefault="00495B53" w:rsidP="00E4464E">
            <w:pPr>
              <w:rPr>
                <w:rFonts w:ascii="Times New Roman" w:hAnsi="Times New Roman"/>
                <w:sz w:val="16"/>
                <w:szCs w:val="16"/>
                <w:lang w:eastAsia="fr-FR"/>
              </w:rPr>
            </w:pPr>
            <w:r w:rsidRPr="00840E13">
              <w:rPr>
                <w:rFonts w:ascii="Times New Roman" w:hAnsi="Times New Roman"/>
                <w:sz w:val="16"/>
                <w:szCs w:val="16"/>
                <w:lang w:eastAsia="fr-FR"/>
              </w:rPr>
              <w:t>Plomb (contenu)</w:t>
            </w:r>
          </w:p>
        </w:tc>
        <w:tc>
          <w:tcPr>
            <w:tcW w:w="1313" w:type="dxa"/>
            <w:noWrap/>
            <w:hideMark/>
          </w:tcPr>
          <w:p w14:paraId="21A93C5B" w14:textId="77777777" w:rsidR="00495B53" w:rsidRPr="00840E13" w:rsidRDefault="00495B53"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tonne</w:t>
            </w:r>
          </w:p>
        </w:tc>
        <w:tc>
          <w:tcPr>
            <w:tcW w:w="1559" w:type="dxa"/>
            <w:noWrap/>
            <w:hideMark/>
          </w:tcPr>
          <w:p w14:paraId="747D3C02"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653</w:t>
            </w:r>
          </w:p>
        </w:tc>
        <w:tc>
          <w:tcPr>
            <w:tcW w:w="1674" w:type="dxa"/>
            <w:noWrap/>
            <w:hideMark/>
          </w:tcPr>
          <w:p w14:paraId="0374077A"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101</w:t>
            </w:r>
          </w:p>
        </w:tc>
        <w:tc>
          <w:tcPr>
            <w:tcW w:w="1444" w:type="dxa"/>
            <w:noWrap/>
            <w:hideMark/>
          </w:tcPr>
          <w:p w14:paraId="154F726B"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-84,53% </w:t>
            </w:r>
          </w:p>
        </w:tc>
      </w:tr>
      <w:tr w:rsidR="00495B53" w:rsidRPr="00840E13" w14:paraId="75677521"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1844" w:type="dxa"/>
            <w:noWrap/>
            <w:hideMark/>
          </w:tcPr>
          <w:p w14:paraId="2B2D7CC9" w14:textId="77777777" w:rsidR="00495B53" w:rsidRPr="00840E13" w:rsidRDefault="00495B53" w:rsidP="00E4464E">
            <w:pPr>
              <w:rPr>
                <w:rFonts w:ascii="Times New Roman" w:hAnsi="Times New Roman"/>
                <w:sz w:val="16"/>
                <w:szCs w:val="16"/>
                <w:lang w:eastAsia="fr-FR"/>
              </w:rPr>
            </w:pPr>
            <w:r w:rsidRPr="00840E13">
              <w:rPr>
                <w:rFonts w:ascii="Times New Roman" w:hAnsi="Times New Roman"/>
                <w:sz w:val="16"/>
                <w:szCs w:val="16"/>
                <w:lang w:eastAsia="fr-FR"/>
              </w:rPr>
              <w:t>Or fin</w:t>
            </w:r>
          </w:p>
        </w:tc>
        <w:tc>
          <w:tcPr>
            <w:tcW w:w="1313" w:type="dxa"/>
            <w:noWrap/>
            <w:hideMark/>
          </w:tcPr>
          <w:p w14:paraId="0B190670" w14:textId="77777777" w:rsidR="00495B53" w:rsidRPr="00840E13" w:rsidRDefault="00495B53"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kilos</w:t>
            </w:r>
          </w:p>
        </w:tc>
        <w:tc>
          <w:tcPr>
            <w:tcW w:w="1559" w:type="dxa"/>
            <w:noWrap/>
            <w:hideMark/>
          </w:tcPr>
          <w:p w14:paraId="5A189AE0"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31 791</w:t>
            </w:r>
          </w:p>
        </w:tc>
        <w:tc>
          <w:tcPr>
            <w:tcW w:w="1674" w:type="dxa"/>
            <w:noWrap/>
            <w:hideMark/>
          </w:tcPr>
          <w:p w14:paraId="7CFA794F"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30 178</w:t>
            </w:r>
          </w:p>
        </w:tc>
        <w:tc>
          <w:tcPr>
            <w:tcW w:w="1444" w:type="dxa"/>
            <w:noWrap/>
            <w:hideMark/>
          </w:tcPr>
          <w:p w14:paraId="300CC828"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-5,08% </w:t>
            </w:r>
          </w:p>
        </w:tc>
      </w:tr>
      <w:tr w:rsidR="00495B53" w:rsidRPr="00840E13" w14:paraId="5EFAFE22"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1844" w:type="dxa"/>
            <w:noWrap/>
            <w:hideMark/>
          </w:tcPr>
          <w:p w14:paraId="1D056196" w14:textId="77777777" w:rsidR="00495B53" w:rsidRPr="00840E13" w:rsidRDefault="00495B53" w:rsidP="00E4464E">
            <w:pPr>
              <w:rPr>
                <w:rFonts w:ascii="Times New Roman" w:hAnsi="Times New Roman"/>
                <w:sz w:val="16"/>
                <w:szCs w:val="16"/>
                <w:lang w:eastAsia="fr-FR"/>
              </w:rPr>
            </w:pPr>
            <w:r w:rsidRPr="00840E13">
              <w:rPr>
                <w:rFonts w:ascii="Times New Roman" w:hAnsi="Times New Roman"/>
                <w:sz w:val="16"/>
                <w:szCs w:val="16"/>
                <w:lang w:eastAsia="fr-FR"/>
              </w:rPr>
              <w:t>Diamant</w:t>
            </w:r>
          </w:p>
        </w:tc>
        <w:tc>
          <w:tcPr>
            <w:tcW w:w="1313" w:type="dxa"/>
            <w:noWrap/>
            <w:hideMark/>
          </w:tcPr>
          <w:p w14:paraId="727D6EDD" w14:textId="77777777" w:rsidR="00495B53" w:rsidRPr="00840E13" w:rsidRDefault="00495B53"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par Carat</w:t>
            </w:r>
          </w:p>
        </w:tc>
        <w:tc>
          <w:tcPr>
            <w:tcW w:w="1559" w:type="dxa"/>
            <w:noWrap/>
            <w:hideMark/>
          </w:tcPr>
          <w:p w14:paraId="5112F70A"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15 789 209</w:t>
            </w:r>
          </w:p>
        </w:tc>
        <w:tc>
          <w:tcPr>
            <w:tcW w:w="1674" w:type="dxa"/>
            <w:noWrap/>
            <w:hideMark/>
          </w:tcPr>
          <w:p w14:paraId="5F9C240E"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14 746 354</w:t>
            </w:r>
          </w:p>
        </w:tc>
        <w:tc>
          <w:tcPr>
            <w:tcW w:w="1444" w:type="dxa"/>
            <w:noWrap/>
            <w:hideMark/>
          </w:tcPr>
          <w:p w14:paraId="04201CBC"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-6,6% </w:t>
            </w:r>
          </w:p>
        </w:tc>
      </w:tr>
      <w:tr w:rsidR="00495B53" w:rsidRPr="00840E13" w14:paraId="52C2FE6D"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1844" w:type="dxa"/>
            <w:noWrap/>
            <w:hideMark/>
          </w:tcPr>
          <w:p w14:paraId="5DF45423" w14:textId="77777777" w:rsidR="00495B53" w:rsidRPr="00840E13" w:rsidRDefault="00495B53" w:rsidP="00E4464E">
            <w:pPr>
              <w:rPr>
                <w:rFonts w:ascii="Times New Roman" w:hAnsi="Times New Roman"/>
                <w:sz w:val="16"/>
                <w:szCs w:val="16"/>
                <w:lang w:eastAsia="fr-FR"/>
              </w:rPr>
            </w:pPr>
            <w:r w:rsidRPr="00840E13">
              <w:rPr>
                <w:rFonts w:ascii="Times New Roman" w:hAnsi="Times New Roman"/>
                <w:sz w:val="16"/>
                <w:szCs w:val="16"/>
                <w:lang w:eastAsia="fr-FR"/>
              </w:rPr>
              <w:t>Cassitérite</w:t>
            </w:r>
          </w:p>
        </w:tc>
        <w:tc>
          <w:tcPr>
            <w:tcW w:w="1313" w:type="dxa"/>
            <w:noWrap/>
            <w:hideMark/>
          </w:tcPr>
          <w:p w14:paraId="014CB13D" w14:textId="77777777" w:rsidR="00495B53" w:rsidRPr="00840E13" w:rsidRDefault="00495B53"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tonne</w:t>
            </w:r>
          </w:p>
        </w:tc>
        <w:tc>
          <w:tcPr>
            <w:tcW w:w="1559" w:type="dxa"/>
            <w:noWrap/>
            <w:hideMark/>
          </w:tcPr>
          <w:p w14:paraId="76382190"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7 470</w:t>
            </w:r>
          </w:p>
        </w:tc>
        <w:tc>
          <w:tcPr>
            <w:tcW w:w="1674" w:type="dxa"/>
            <w:noWrap/>
            <w:hideMark/>
          </w:tcPr>
          <w:p w14:paraId="626C7830"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9 466</w:t>
            </w:r>
          </w:p>
        </w:tc>
        <w:tc>
          <w:tcPr>
            <w:tcW w:w="1444" w:type="dxa"/>
            <w:noWrap/>
            <w:hideMark/>
          </w:tcPr>
          <w:p w14:paraId="764BBDF3"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26,71% </w:t>
            </w:r>
          </w:p>
        </w:tc>
      </w:tr>
      <w:tr w:rsidR="00495B53" w:rsidRPr="00840E13" w14:paraId="5AA079AB"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1844" w:type="dxa"/>
            <w:noWrap/>
            <w:hideMark/>
          </w:tcPr>
          <w:p w14:paraId="1DA76BD9" w14:textId="77777777" w:rsidR="00495B53" w:rsidRPr="00840E13" w:rsidRDefault="00495B53" w:rsidP="00E4464E">
            <w:pPr>
              <w:rPr>
                <w:rFonts w:ascii="Times New Roman" w:hAnsi="Times New Roman"/>
                <w:sz w:val="16"/>
                <w:szCs w:val="16"/>
                <w:lang w:eastAsia="fr-FR"/>
              </w:rPr>
            </w:pPr>
            <w:proofErr w:type="spellStart"/>
            <w:r w:rsidRPr="00840E13">
              <w:rPr>
                <w:rFonts w:ascii="Times New Roman" w:hAnsi="Times New Roman"/>
                <w:sz w:val="16"/>
                <w:szCs w:val="16"/>
                <w:lang w:eastAsia="fr-FR"/>
              </w:rPr>
              <w:t>Coltan</w:t>
            </w:r>
            <w:proofErr w:type="spellEnd"/>
          </w:p>
        </w:tc>
        <w:tc>
          <w:tcPr>
            <w:tcW w:w="1313" w:type="dxa"/>
            <w:noWrap/>
            <w:hideMark/>
          </w:tcPr>
          <w:p w14:paraId="3AE12BEA" w14:textId="77777777" w:rsidR="00495B53" w:rsidRPr="00840E13" w:rsidRDefault="00495B53"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tonne</w:t>
            </w:r>
          </w:p>
        </w:tc>
        <w:tc>
          <w:tcPr>
            <w:tcW w:w="1559" w:type="dxa"/>
            <w:noWrap/>
            <w:hideMark/>
          </w:tcPr>
          <w:p w14:paraId="6B5E7FCE"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1 293</w:t>
            </w:r>
          </w:p>
        </w:tc>
        <w:tc>
          <w:tcPr>
            <w:tcW w:w="1674" w:type="dxa"/>
            <w:noWrap/>
            <w:hideMark/>
          </w:tcPr>
          <w:p w14:paraId="2359ECD6"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1 787</w:t>
            </w:r>
          </w:p>
        </w:tc>
        <w:tc>
          <w:tcPr>
            <w:tcW w:w="1444" w:type="dxa"/>
            <w:noWrap/>
            <w:hideMark/>
          </w:tcPr>
          <w:p w14:paraId="4BDF8FE7"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38,13% </w:t>
            </w:r>
          </w:p>
        </w:tc>
      </w:tr>
      <w:tr w:rsidR="00495B53" w:rsidRPr="00840E13" w14:paraId="182673EE"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1844" w:type="dxa"/>
            <w:noWrap/>
            <w:hideMark/>
          </w:tcPr>
          <w:p w14:paraId="59686C69" w14:textId="77777777" w:rsidR="00495B53" w:rsidRPr="00840E13" w:rsidRDefault="00495B53" w:rsidP="00E4464E">
            <w:pPr>
              <w:rPr>
                <w:rFonts w:ascii="Times New Roman" w:hAnsi="Times New Roman"/>
                <w:sz w:val="16"/>
                <w:szCs w:val="16"/>
                <w:lang w:eastAsia="fr-FR"/>
              </w:rPr>
            </w:pPr>
            <w:r w:rsidRPr="00840E13">
              <w:rPr>
                <w:rFonts w:ascii="Times New Roman" w:hAnsi="Times New Roman"/>
                <w:sz w:val="16"/>
                <w:szCs w:val="16"/>
                <w:lang w:eastAsia="fr-FR"/>
              </w:rPr>
              <w:t>Wolframite</w:t>
            </w:r>
          </w:p>
        </w:tc>
        <w:tc>
          <w:tcPr>
            <w:tcW w:w="1313" w:type="dxa"/>
            <w:noWrap/>
            <w:hideMark/>
          </w:tcPr>
          <w:p w14:paraId="1613E970" w14:textId="77777777" w:rsidR="00495B53" w:rsidRPr="00840E13" w:rsidRDefault="00495B53"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tonne</w:t>
            </w:r>
          </w:p>
        </w:tc>
        <w:tc>
          <w:tcPr>
            <w:tcW w:w="1559" w:type="dxa"/>
            <w:noWrap/>
            <w:hideMark/>
          </w:tcPr>
          <w:p w14:paraId="14EF39BE"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14</w:t>
            </w:r>
          </w:p>
        </w:tc>
        <w:tc>
          <w:tcPr>
            <w:tcW w:w="1674" w:type="dxa"/>
            <w:noWrap/>
            <w:hideMark/>
          </w:tcPr>
          <w:p w14:paraId="3886EF83"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90</w:t>
            </w:r>
          </w:p>
        </w:tc>
        <w:tc>
          <w:tcPr>
            <w:tcW w:w="1444" w:type="dxa"/>
            <w:noWrap/>
            <w:hideMark/>
          </w:tcPr>
          <w:p w14:paraId="2B9F44FD"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542,86% </w:t>
            </w:r>
          </w:p>
        </w:tc>
      </w:tr>
    </w:tbl>
    <w:p w14:paraId="163A3905" w14:textId="77777777" w:rsidR="00157F17" w:rsidRPr="00840E13" w:rsidRDefault="00157F17" w:rsidP="00157F17">
      <w:pPr>
        <w:spacing w:after="0"/>
        <w:rPr>
          <w:rFonts w:ascii="Times New Roman" w:hAnsi="Times New Roman"/>
          <w:bCs/>
          <w:sz w:val="24"/>
          <w:szCs w:val="24"/>
          <w:lang w:eastAsia="fr-FR"/>
        </w:rPr>
      </w:pPr>
    </w:p>
    <w:p w14:paraId="52AA3A33" w14:textId="77777777" w:rsidR="00157F17" w:rsidRPr="00840E13" w:rsidRDefault="00157F17" w:rsidP="00553F42">
      <w:pPr>
        <w:spacing w:after="0"/>
        <w:ind w:left="567"/>
        <w:jc w:val="both"/>
        <w:rPr>
          <w:rFonts w:ascii="Times New Roman" w:hAnsi="Times New Roman"/>
          <w:sz w:val="24"/>
          <w:szCs w:val="24"/>
        </w:rPr>
      </w:pPr>
      <w:r w:rsidRPr="00840E13">
        <w:rPr>
          <w:rFonts w:ascii="Times New Roman" w:hAnsi="Times New Roman"/>
          <w:bCs/>
          <w:sz w:val="24"/>
          <w:szCs w:val="24"/>
          <w:lang w:eastAsia="fr-FR"/>
        </w:rPr>
        <w:t xml:space="preserve">Les données des exportations déclarées à l’ITIE par les entreprises sont disponibles sur notre </w:t>
      </w:r>
      <w:hyperlink r:id="rId43" w:history="1">
        <w:r>
          <w:rPr>
            <w:rStyle w:val="Lienhypertexte"/>
            <w:rFonts w:ascii="Times New Roman" w:hAnsi="Times New Roman"/>
            <w:bCs/>
            <w:sz w:val="24"/>
            <w:szCs w:val="24"/>
            <w:lang w:eastAsia="fr-FR"/>
          </w:rPr>
          <w:t>P</w:t>
        </w:r>
        <w:r w:rsidRPr="00840E13">
          <w:rPr>
            <w:rStyle w:val="Lienhypertexte"/>
            <w:rFonts w:ascii="Times New Roman" w:hAnsi="Times New Roman"/>
            <w:bCs/>
            <w:sz w:val="24"/>
            <w:szCs w:val="24"/>
            <w:lang w:eastAsia="fr-FR"/>
          </w:rPr>
          <w:t>ortail des données.</w:t>
        </w:r>
      </w:hyperlink>
      <w:r w:rsidRPr="00840E13">
        <w:rPr>
          <w:rFonts w:ascii="Times New Roman" w:hAnsi="Times New Roman"/>
          <w:sz w:val="24"/>
          <w:szCs w:val="24"/>
        </w:rPr>
        <w:t xml:space="preserve"> </w:t>
      </w:r>
    </w:p>
    <w:p w14:paraId="67879802" w14:textId="77777777" w:rsidR="00157F17" w:rsidRDefault="00157F17" w:rsidP="00157F17">
      <w:pPr>
        <w:spacing w:after="0"/>
        <w:ind w:left="567"/>
        <w:jc w:val="both"/>
        <w:rPr>
          <w:rFonts w:ascii="Times New Roman" w:hAnsi="Times New Roman"/>
          <w:bCs/>
          <w:sz w:val="24"/>
          <w:szCs w:val="24"/>
          <w:lang w:eastAsia="fr-FR"/>
        </w:rPr>
      </w:pPr>
    </w:p>
    <w:p w14:paraId="57DF6AA1" w14:textId="44AC10CD" w:rsidR="00157F17" w:rsidRDefault="003B49C0" w:rsidP="00157F17">
      <w:pPr>
        <w:spacing w:after="0"/>
        <w:ind w:left="567"/>
        <w:jc w:val="both"/>
        <w:rPr>
          <w:rFonts w:ascii="Times New Roman" w:hAnsi="Times New Roman"/>
          <w:bCs/>
          <w:sz w:val="24"/>
          <w:szCs w:val="24"/>
          <w:lang w:eastAsia="fr-FR"/>
        </w:rPr>
      </w:pPr>
      <w:r>
        <w:rPr>
          <w:rFonts w:ascii="Times New Roman" w:hAnsi="Times New Roman"/>
          <w:bCs/>
          <w:sz w:val="24"/>
          <w:szCs w:val="24"/>
          <w:lang w:eastAsia="fr-FR"/>
        </w:rPr>
        <w:t xml:space="preserve">Il est aussi important  de signaler </w:t>
      </w:r>
      <w:r w:rsidR="00157F17">
        <w:rPr>
          <w:rFonts w:ascii="Times New Roman" w:hAnsi="Times New Roman"/>
          <w:bCs/>
          <w:sz w:val="24"/>
          <w:szCs w:val="24"/>
          <w:lang w:eastAsia="fr-FR"/>
        </w:rPr>
        <w:t xml:space="preserve">que des </w:t>
      </w:r>
      <w:r w:rsidR="00157F17" w:rsidRPr="00840E13">
        <w:rPr>
          <w:rFonts w:ascii="Times New Roman" w:hAnsi="Times New Roman"/>
          <w:bCs/>
          <w:sz w:val="24"/>
          <w:szCs w:val="24"/>
          <w:lang w:eastAsia="fr-FR"/>
        </w:rPr>
        <w:t xml:space="preserve"> données sur les exportations peuvent être consultées dans le </w:t>
      </w:r>
      <w:hyperlink r:id="rId44" w:history="1">
        <w:r w:rsidR="00157F17">
          <w:rPr>
            <w:rStyle w:val="Lienhypertexte"/>
            <w:rFonts w:ascii="Times New Roman" w:hAnsi="Times New Roman"/>
            <w:bCs/>
            <w:sz w:val="24"/>
            <w:szCs w:val="24"/>
            <w:lang w:eastAsia="fr-FR"/>
          </w:rPr>
          <w:t>R</w:t>
        </w:r>
        <w:r w:rsidR="00157F17" w:rsidRPr="00840E13">
          <w:rPr>
            <w:rStyle w:val="Lienhypertexte"/>
            <w:rFonts w:ascii="Times New Roman" w:hAnsi="Times New Roman"/>
            <w:bCs/>
            <w:sz w:val="24"/>
            <w:szCs w:val="24"/>
            <w:lang w:eastAsia="fr-FR"/>
          </w:rPr>
          <w:t>apport 2016 de la BCC</w:t>
        </w:r>
      </w:hyperlink>
      <w:r w:rsidR="00157F17" w:rsidRPr="00840E13">
        <w:rPr>
          <w:rFonts w:ascii="Times New Roman" w:hAnsi="Times New Roman"/>
          <w:bCs/>
          <w:sz w:val="24"/>
          <w:szCs w:val="24"/>
          <w:lang w:eastAsia="fr-FR"/>
        </w:rPr>
        <w:t xml:space="preserve"> (pp. 121-122).</w:t>
      </w:r>
      <w:r w:rsidR="00157F17">
        <w:rPr>
          <w:rFonts w:ascii="Times New Roman" w:hAnsi="Times New Roman"/>
          <w:bCs/>
          <w:sz w:val="24"/>
          <w:szCs w:val="24"/>
          <w:lang w:eastAsia="fr-FR"/>
        </w:rPr>
        <w:t xml:space="preserve"> </w:t>
      </w:r>
    </w:p>
    <w:p w14:paraId="310A7D87" w14:textId="77777777" w:rsidR="00157F17" w:rsidRPr="00840E13" w:rsidRDefault="00157F17" w:rsidP="00157F17">
      <w:pPr>
        <w:spacing w:after="0"/>
        <w:ind w:left="567"/>
        <w:jc w:val="both"/>
        <w:rPr>
          <w:rFonts w:ascii="Times New Roman" w:hAnsi="Times New Roman"/>
          <w:bCs/>
          <w:sz w:val="24"/>
          <w:szCs w:val="24"/>
          <w:lang w:eastAsia="fr-FR"/>
        </w:rPr>
      </w:pPr>
      <w:r>
        <w:rPr>
          <w:rFonts w:ascii="Times New Roman" w:hAnsi="Times New Roman"/>
          <w:bCs/>
          <w:sz w:val="24"/>
          <w:szCs w:val="24"/>
          <w:lang w:eastAsia="fr-FR"/>
        </w:rPr>
        <w:t xml:space="preserve">Cette institution, membre de la Commission de l’harmonisation des statistiques avec différents ministères sectoriels ainsi que l’INS, divulgue plusieurs types de statistiques dont celles à l’exportation qui rentrent dans la confection de la Balance Commerciale. </w:t>
      </w:r>
    </w:p>
    <w:p w14:paraId="7A7E721D" w14:textId="77777777" w:rsidR="00157F17" w:rsidRPr="00840E13" w:rsidRDefault="00157F17" w:rsidP="00157F17">
      <w:pPr>
        <w:spacing w:after="0"/>
        <w:ind w:left="567"/>
        <w:jc w:val="both"/>
        <w:rPr>
          <w:rFonts w:ascii="Times New Roman" w:hAnsi="Times New Roman"/>
          <w:bCs/>
          <w:sz w:val="24"/>
          <w:szCs w:val="24"/>
          <w:lang w:eastAsia="fr-FR"/>
        </w:rPr>
      </w:pPr>
    </w:p>
    <w:p w14:paraId="5FECCD13" w14:textId="3D385C95" w:rsidR="00157F17" w:rsidRPr="00840E13" w:rsidRDefault="004A5D83" w:rsidP="00157F17">
      <w:pPr>
        <w:spacing w:after="120"/>
        <w:ind w:left="567"/>
        <w:jc w:val="both"/>
        <w:rPr>
          <w:rFonts w:ascii="Times New Roman" w:hAnsi="Times New Roman"/>
          <w:bCs/>
          <w:sz w:val="24"/>
          <w:szCs w:val="24"/>
          <w:lang w:eastAsia="fr-FR"/>
        </w:rPr>
      </w:pPr>
      <w:r>
        <w:rPr>
          <w:rFonts w:ascii="Times New Roman" w:hAnsi="Times New Roman"/>
          <w:sz w:val="24"/>
          <w:szCs w:val="24"/>
          <w:lang w:eastAsia="fr-FR"/>
        </w:rPr>
        <w:t xml:space="preserve">Il a été  </w:t>
      </w:r>
      <w:r w:rsidRPr="00840E13">
        <w:rPr>
          <w:rFonts w:ascii="Times New Roman" w:hAnsi="Times New Roman"/>
          <w:sz w:val="24"/>
          <w:szCs w:val="24"/>
          <w:lang w:eastAsia="fr-FR"/>
        </w:rPr>
        <w:t>constaté</w:t>
      </w:r>
      <w:r>
        <w:rPr>
          <w:rFonts w:ascii="Times New Roman" w:hAnsi="Times New Roman"/>
          <w:sz w:val="24"/>
          <w:szCs w:val="24"/>
          <w:lang w:eastAsia="fr-FR"/>
        </w:rPr>
        <w:t xml:space="preserve"> également </w:t>
      </w:r>
      <w:r w:rsidR="00157F17" w:rsidRPr="00840E13">
        <w:rPr>
          <w:rFonts w:ascii="Times New Roman" w:hAnsi="Times New Roman"/>
          <w:sz w:val="24"/>
          <w:szCs w:val="24"/>
          <w:lang w:eastAsia="fr-FR"/>
        </w:rPr>
        <w:t xml:space="preserve"> que certaines entreprises minières n’avaient pas déclaré la valeur du volume leurs productions. Par ailleurs, les méthodes de valorisation de la production utilisées par les entreprises sont nombreuses et souvent spécifiques en fonction de la nature du produit, de sa destination ou encore de la capacité industrielle de chaque entreprise.</w:t>
      </w:r>
      <w:r>
        <w:rPr>
          <w:rFonts w:ascii="Times New Roman" w:hAnsi="Times New Roman"/>
          <w:sz w:val="24"/>
          <w:szCs w:val="24"/>
          <w:lang w:eastAsia="fr-FR"/>
        </w:rPr>
        <w:t xml:space="preserve">  </w:t>
      </w:r>
    </w:p>
    <w:p w14:paraId="1A844C90" w14:textId="3644A668" w:rsidR="00157F17" w:rsidRPr="00840E13" w:rsidRDefault="00157F17" w:rsidP="00157F17">
      <w:pPr>
        <w:spacing w:after="120"/>
        <w:ind w:left="567"/>
        <w:jc w:val="both"/>
        <w:rPr>
          <w:rFonts w:ascii="Times New Roman" w:hAnsi="Times New Roman"/>
          <w:bCs/>
          <w:sz w:val="24"/>
          <w:szCs w:val="24"/>
          <w:lang w:eastAsia="fr-FR"/>
        </w:rPr>
      </w:pPr>
      <w:r w:rsidRPr="00840E13">
        <w:rPr>
          <w:rFonts w:ascii="Times New Roman" w:hAnsi="Times New Roman"/>
          <w:sz w:val="24"/>
          <w:szCs w:val="24"/>
          <w:lang w:eastAsia="fr-FR"/>
        </w:rPr>
        <w:t>Pour certain</w:t>
      </w:r>
      <w:r w:rsidR="004A5D83">
        <w:rPr>
          <w:rFonts w:ascii="Times New Roman" w:hAnsi="Times New Roman"/>
          <w:sz w:val="24"/>
          <w:szCs w:val="24"/>
          <w:lang w:eastAsia="fr-FR"/>
        </w:rPr>
        <w:t>e</w:t>
      </w:r>
      <w:r w:rsidRPr="00840E13">
        <w:rPr>
          <w:rFonts w:ascii="Times New Roman" w:hAnsi="Times New Roman"/>
          <w:sz w:val="24"/>
          <w:szCs w:val="24"/>
          <w:lang w:eastAsia="fr-FR"/>
        </w:rPr>
        <w:t>s, le calcul de la valeur de la production est effectué sur base de l’appréciation des dépenses directes des encours de la production, c’est-à-dire au prix de revient. Pour d’autres par contre, cette valeur est déterminée en multipliant les quantités produites par les cours de réalisation sur le marché, c’est le cas de la GECAMINES.</w:t>
      </w:r>
    </w:p>
    <w:p w14:paraId="6079F10D" w14:textId="77777777" w:rsidR="00157F17" w:rsidRPr="00840E13" w:rsidRDefault="00157F17" w:rsidP="00157F17">
      <w:pPr>
        <w:spacing w:after="120"/>
        <w:ind w:left="567"/>
        <w:jc w:val="both"/>
        <w:rPr>
          <w:rFonts w:ascii="Times New Roman" w:hAnsi="Times New Roman"/>
          <w:sz w:val="24"/>
          <w:szCs w:val="24"/>
        </w:rPr>
      </w:pPr>
      <w:r w:rsidRPr="00840E13">
        <w:rPr>
          <w:rFonts w:ascii="Times New Roman" w:hAnsi="Times New Roman"/>
          <w:sz w:val="24"/>
          <w:szCs w:val="24"/>
        </w:rPr>
        <w:t xml:space="preserve">Compte tenu de cette difficulté, le rapprochement des valeurs de la production entre celles déclarées par les entreprises et celles publiées par l’Etat n’est donc pas possible. </w:t>
      </w:r>
    </w:p>
    <w:p w14:paraId="4121572A" w14:textId="7633749C" w:rsidR="00553F42" w:rsidRDefault="00157F17" w:rsidP="00157F17">
      <w:pPr>
        <w:spacing w:after="120"/>
        <w:ind w:left="567"/>
        <w:jc w:val="both"/>
        <w:rPr>
          <w:rFonts w:ascii="Times New Roman" w:hAnsi="Times New Roman"/>
          <w:sz w:val="24"/>
          <w:szCs w:val="24"/>
        </w:rPr>
      </w:pPr>
      <w:r w:rsidRPr="00840E13">
        <w:rPr>
          <w:rFonts w:ascii="Times New Roman" w:hAnsi="Times New Roman"/>
          <w:sz w:val="24"/>
          <w:szCs w:val="24"/>
        </w:rPr>
        <w:t xml:space="preserve">Afin de palier à cette difficulté, un atelier regroupant les Top 5 des entreprises extractives dont MUTANDA MINING, TFM, BOSS MINING, RUASHI MINING,  MMG, y compris la GECAMINES et les organisations de la société civile a été organisé à Lubumbashi le 31/05/2018. </w:t>
      </w:r>
    </w:p>
    <w:p w14:paraId="3755E915" w14:textId="77777777" w:rsidR="00B50BF9" w:rsidRDefault="00157F17" w:rsidP="00157F17">
      <w:pPr>
        <w:tabs>
          <w:tab w:val="left" w:pos="567"/>
        </w:tabs>
        <w:spacing w:before="160" w:after="320" w:line="360" w:lineRule="auto"/>
        <w:rPr>
          <w:rFonts w:ascii="Times New Roman" w:hAnsi="Times New Roman"/>
          <w:sz w:val="24"/>
          <w:szCs w:val="24"/>
        </w:rPr>
      </w:pPr>
      <w:r>
        <w:rPr>
          <w:rFonts w:ascii="Times New Roman" w:hAnsi="Times New Roman"/>
          <w:sz w:val="24"/>
          <w:szCs w:val="24"/>
        </w:rPr>
        <w:tab/>
      </w:r>
    </w:p>
    <w:p w14:paraId="036FE1BB" w14:textId="77777777" w:rsidR="00B50BF9" w:rsidRDefault="00B50BF9">
      <w:pPr>
        <w:rPr>
          <w:rFonts w:ascii="Times New Roman" w:hAnsi="Times New Roman"/>
          <w:sz w:val="24"/>
          <w:szCs w:val="24"/>
        </w:rPr>
      </w:pPr>
      <w:r>
        <w:rPr>
          <w:rFonts w:ascii="Times New Roman" w:hAnsi="Times New Roman"/>
          <w:sz w:val="24"/>
          <w:szCs w:val="24"/>
        </w:rPr>
        <w:br w:type="page"/>
      </w:r>
    </w:p>
    <w:p w14:paraId="71C5F26F" w14:textId="75DB91A8" w:rsidR="00157F17" w:rsidRPr="00840E13" w:rsidRDefault="00157F17" w:rsidP="00157F17">
      <w:pPr>
        <w:tabs>
          <w:tab w:val="left" w:pos="567"/>
        </w:tabs>
        <w:spacing w:before="160" w:after="320" w:line="360" w:lineRule="auto"/>
        <w:rPr>
          <w:rFonts w:ascii="Times New Roman" w:hAnsi="Times New Roman"/>
          <w:sz w:val="24"/>
          <w:szCs w:val="24"/>
        </w:rPr>
      </w:pPr>
      <w:r w:rsidRPr="00840E13">
        <w:rPr>
          <w:rFonts w:ascii="Times New Roman" w:hAnsi="Times New Roman"/>
          <w:sz w:val="24"/>
          <w:szCs w:val="24"/>
        </w:rPr>
        <w:lastRenderedPageBreak/>
        <w:t>Les parties prenantes à cet atelier ont proposé ce qui suit :</w:t>
      </w:r>
    </w:p>
    <w:p w14:paraId="51F274EC" w14:textId="77777777" w:rsidR="00157F17" w:rsidRPr="00840E13" w:rsidRDefault="00157F17" w:rsidP="00157F17">
      <w:pPr>
        <w:pStyle w:val="Paragraphedeliste"/>
        <w:widowControl w:val="0"/>
        <w:autoSpaceDE w:val="0"/>
        <w:autoSpaceDN w:val="0"/>
        <w:adjustRightInd w:val="0"/>
        <w:spacing w:before="37" w:after="0" w:line="360" w:lineRule="auto"/>
        <w:ind w:left="567" w:right="124"/>
        <w:jc w:val="both"/>
        <w:rPr>
          <w:rFonts w:ascii="Times New Roman" w:hAnsi="Times New Roman" w:cs="Times New Roman"/>
          <w:b/>
          <w:sz w:val="24"/>
          <w:szCs w:val="24"/>
          <w:u w:val="single"/>
        </w:rPr>
      </w:pPr>
      <w:r w:rsidRPr="00840E13">
        <w:rPr>
          <w:rFonts w:ascii="Times New Roman" w:hAnsi="Times New Roman" w:cs="Times New Roman"/>
          <w:b/>
          <w:sz w:val="24"/>
          <w:szCs w:val="24"/>
          <w:u w:val="single"/>
        </w:rPr>
        <w:t xml:space="preserve">Pour la production : </w:t>
      </w:r>
    </w:p>
    <w:p w14:paraId="5D7C7173" w14:textId="77777777" w:rsidR="00157F17" w:rsidRPr="00840E13" w:rsidRDefault="00157F17" w:rsidP="00157F17">
      <w:pPr>
        <w:pStyle w:val="Paragraphedeliste"/>
        <w:widowControl w:val="0"/>
        <w:autoSpaceDE w:val="0"/>
        <w:autoSpaceDN w:val="0"/>
        <w:adjustRightInd w:val="0"/>
        <w:spacing w:before="37" w:after="0"/>
        <w:ind w:left="567" w:right="124"/>
        <w:jc w:val="both"/>
        <w:rPr>
          <w:rFonts w:ascii="Times New Roman" w:hAnsi="Times New Roman" w:cs="Times New Roman"/>
          <w:sz w:val="24"/>
          <w:szCs w:val="24"/>
        </w:rPr>
      </w:pPr>
      <w:r w:rsidRPr="00840E13">
        <w:rPr>
          <w:rFonts w:ascii="Times New Roman" w:hAnsi="Times New Roman" w:cs="Times New Roman"/>
          <w:sz w:val="24"/>
          <w:szCs w:val="24"/>
        </w:rPr>
        <w:t>La production sera valorisée au coût total de production ex-usine ;</w:t>
      </w:r>
    </w:p>
    <w:p w14:paraId="0A194251" w14:textId="77777777" w:rsidR="00157F17" w:rsidRPr="00840E13" w:rsidRDefault="00157F17" w:rsidP="00157F17">
      <w:pPr>
        <w:pStyle w:val="Paragraphedeliste"/>
        <w:widowControl w:val="0"/>
        <w:autoSpaceDE w:val="0"/>
        <w:autoSpaceDN w:val="0"/>
        <w:adjustRightInd w:val="0"/>
        <w:spacing w:before="37" w:after="0"/>
        <w:ind w:left="567" w:right="124"/>
        <w:jc w:val="both"/>
        <w:rPr>
          <w:rFonts w:ascii="Times New Roman" w:hAnsi="Times New Roman" w:cs="Times New Roman"/>
          <w:sz w:val="24"/>
          <w:szCs w:val="24"/>
        </w:rPr>
      </w:pPr>
    </w:p>
    <w:p w14:paraId="0611C25F" w14:textId="77777777" w:rsidR="00157F17" w:rsidRPr="00840E13" w:rsidRDefault="00157F17" w:rsidP="00157F17">
      <w:pPr>
        <w:pStyle w:val="Paragraphedeliste"/>
        <w:widowControl w:val="0"/>
        <w:autoSpaceDE w:val="0"/>
        <w:autoSpaceDN w:val="0"/>
        <w:adjustRightInd w:val="0"/>
        <w:spacing w:before="37" w:after="0" w:line="360" w:lineRule="auto"/>
        <w:ind w:left="567" w:right="124"/>
        <w:jc w:val="both"/>
        <w:rPr>
          <w:rFonts w:ascii="Times New Roman" w:hAnsi="Times New Roman" w:cs="Times New Roman"/>
          <w:b/>
          <w:sz w:val="24"/>
          <w:szCs w:val="24"/>
          <w:u w:val="single"/>
        </w:rPr>
      </w:pPr>
      <w:r w:rsidRPr="00840E13">
        <w:rPr>
          <w:rFonts w:ascii="Times New Roman" w:hAnsi="Times New Roman" w:cs="Times New Roman"/>
          <w:b/>
          <w:sz w:val="24"/>
          <w:szCs w:val="24"/>
          <w:u w:val="single"/>
        </w:rPr>
        <w:t>Pour les exportations :</w:t>
      </w:r>
    </w:p>
    <w:p w14:paraId="725A58AD" w14:textId="77777777" w:rsidR="00157F17" w:rsidRPr="00840E13" w:rsidRDefault="00157F17" w:rsidP="00157F17">
      <w:pPr>
        <w:pStyle w:val="Paragraphedeliste"/>
        <w:widowControl w:val="0"/>
        <w:autoSpaceDE w:val="0"/>
        <w:autoSpaceDN w:val="0"/>
        <w:adjustRightInd w:val="0"/>
        <w:spacing w:before="37" w:after="0"/>
        <w:ind w:left="567" w:right="124"/>
        <w:jc w:val="both"/>
        <w:rPr>
          <w:rFonts w:ascii="Times New Roman" w:hAnsi="Times New Roman" w:cs="Times New Roman"/>
          <w:sz w:val="24"/>
          <w:szCs w:val="24"/>
        </w:rPr>
      </w:pPr>
      <w:r w:rsidRPr="00840E13">
        <w:rPr>
          <w:rFonts w:ascii="Times New Roman" w:hAnsi="Times New Roman" w:cs="Times New Roman"/>
          <w:sz w:val="24"/>
          <w:szCs w:val="24"/>
        </w:rPr>
        <w:t xml:space="preserve">Les exportations seront valorisées au prix de vente, c’est-à-dire : </w:t>
      </w:r>
    </w:p>
    <w:p w14:paraId="0F08DE76" w14:textId="77777777" w:rsidR="00157F17" w:rsidRPr="00840E13" w:rsidRDefault="00157F17" w:rsidP="00157F17">
      <w:pPr>
        <w:pStyle w:val="Paragraphedeliste"/>
        <w:widowControl w:val="0"/>
        <w:autoSpaceDE w:val="0"/>
        <w:autoSpaceDN w:val="0"/>
        <w:adjustRightInd w:val="0"/>
        <w:spacing w:before="37" w:after="0"/>
        <w:ind w:left="567" w:right="124"/>
        <w:jc w:val="both"/>
        <w:rPr>
          <w:rFonts w:ascii="Times New Roman" w:hAnsi="Times New Roman" w:cs="Times New Roman"/>
          <w:i/>
          <w:sz w:val="24"/>
          <w:szCs w:val="24"/>
        </w:rPr>
      </w:pPr>
      <w:r w:rsidRPr="00840E13">
        <w:rPr>
          <w:rFonts w:ascii="Times New Roman" w:hAnsi="Times New Roman" w:cs="Times New Roman"/>
          <w:i/>
          <w:sz w:val="24"/>
          <w:szCs w:val="24"/>
        </w:rPr>
        <w:t>Valeur des Exportations = Prix de vente x Quantités vendues à l’exportation.</w:t>
      </w:r>
    </w:p>
    <w:p w14:paraId="624B00D9" w14:textId="77777777" w:rsidR="00157F17" w:rsidRPr="00840E13" w:rsidRDefault="00157F17" w:rsidP="00157F17">
      <w:pPr>
        <w:pStyle w:val="Paragraphedeliste"/>
        <w:widowControl w:val="0"/>
        <w:autoSpaceDE w:val="0"/>
        <w:autoSpaceDN w:val="0"/>
        <w:adjustRightInd w:val="0"/>
        <w:spacing w:before="37" w:after="0"/>
        <w:ind w:left="567" w:right="124"/>
        <w:jc w:val="both"/>
        <w:rPr>
          <w:rFonts w:ascii="Times New Roman" w:hAnsi="Times New Roman" w:cs="Times New Roman"/>
          <w:sz w:val="24"/>
          <w:szCs w:val="24"/>
        </w:rPr>
      </w:pPr>
      <w:r w:rsidRPr="00840E13">
        <w:rPr>
          <w:rFonts w:ascii="Times New Roman" w:hAnsi="Times New Roman" w:cs="Times New Roman"/>
          <w:i/>
          <w:sz w:val="24"/>
          <w:szCs w:val="24"/>
        </w:rPr>
        <w:t>Prix de vente = Valeur LME /LMB + Décotes qualité &amp; transport </w:t>
      </w:r>
      <w:r w:rsidRPr="00840E13">
        <w:rPr>
          <w:rFonts w:ascii="Times New Roman" w:hAnsi="Times New Roman" w:cs="Times New Roman"/>
          <w:sz w:val="24"/>
          <w:szCs w:val="24"/>
        </w:rPr>
        <w:t>;</w:t>
      </w:r>
    </w:p>
    <w:p w14:paraId="726C7692" w14:textId="77777777" w:rsidR="00157F17" w:rsidRPr="00840E13" w:rsidRDefault="00157F17" w:rsidP="00157F17">
      <w:pPr>
        <w:pStyle w:val="Paragraphedeliste"/>
        <w:widowControl w:val="0"/>
        <w:autoSpaceDE w:val="0"/>
        <w:autoSpaceDN w:val="0"/>
        <w:adjustRightInd w:val="0"/>
        <w:spacing w:before="37" w:after="0"/>
        <w:ind w:left="567" w:right="124"/>
        <w:jc w:val="both"/>
        <w:rPr>
          <w:rFonts w:ascii="Times New Roman" w:hAnsi="Times New Roman" w:cs="Times New Roman"/>
          <w:sz w:val="24"/>
          <w:szCs w:val="24"/>
        </w:rPr>
      </w:pPr>
    </w:p>
    <w:p w14:paraId="460DB4E7" w14:textId="77777777" w:rsidR="00157F17" w:rsidRPr="00840E13" w:rsidRDefault="00157F17" w:rsidP="00157F17">
      <w:pPr>
        <w:spacing w:after="120" w:line="240" w:lineRule="auto"/>
        <w:ind w:left="567"/>
        <w:jc w:val="both"/>
        <w:rPr>
          <w:rFonts w:ascii="Times New Roman" w:hAnsi="Times New Roman"/>
          <w:sz w:val="24"/>
          <w:szCs w:val="24"/>
        </w:rPr>
      </w:pPr>
      <w:r w:rsidRPr="00840E13">
        <w:rPr>
          <w:rFonts w:ascii="Times New Roman" w:hAnsi="Times New Roman"/>
          <w:sz w:val="24"/>
          <w:szCs w:val="24"/>
        </w:rPr>
        <w:t>Les parties prenantes ont recommandé au Secrétariat Technique d’insérer dans les prochains formulaires des exportations, des explications précises sur la méthode de valorisation conformément aux contrats de vente des entreprises productrices.</w:t>
      </w:r>
    </w:p>
    <w:p w14:paraId="16E1D11F" w14:textId="77777777" w:rsidR="00157F17" w:rsidRPr="00840E13" w:rsidRDefault="00157F17" w:rsidP="00157F17">
      <w:pPr>
        <w:spacing w:after="120" w:line="240" w:lineRule="auto"/>
        <w:ind w:left="567"/>
        <w:jc w:val="both"/>
        <w:rPr>
          <w:rFonts w:ascii="Times New Roman" w:hAnsi="Times New Roman"/>
          <w:sz w:val="24"/>
          <w:szCs w:val="24"/>
        </w:rPr>
      </w:pPr>
      <w:r w:rsidRPr="00840E13">
        <w:rPr>
          <w:rFonts w:ascii="Times New Roman" w:hAnsi="Times New Roman"/>
          <w:sz w:val="24"/>
          <w:szCs w:val="24"/>
        </w:rPr>
        <w:t xml:space="preserve">Pour la valorisation des produits non-standards, la GECAMINES a suggéré dans le mode de calcul que l’on ajoute la formule : </w:t>
      </w:r>
      <w:r w:rsidRPr="00840E13">
        <w:rPr>
          <w:rFonts w:ascii="Times New Roman" w:hAnsi="Times New Roman"/>
          <w:b/>
          <w:sz w:val="24"/>
          <w:szCs w:val="24"/>
        </w:rPr>
        <w:t>Prix de vente * Quantité * Valeur payable</w:t>
      </w:r>
      <w:r w:rsidRPr="00840E13">
        <w:rPr>
          <w:rFonts w:ascii="Times New Roman" w:hAnsi="Times New Roman"/>
          <w:sz w:val="24"/>
          <w:szCs w:val="24"/>
        </w:rPr>
        <w:t>.</w:t>
      </w:r>
    </w:p>
    <w:p w14:paraId="70204583" w14:textId="6FB5E4E5" w:rsidR="00051E32" w:rsidRDefault="00157F17" w:rsidP="00157F17">
      <w:pPr>
        <w:spacing w:after="120" w:line="240" w:lineRule="auto"/>
        <w:ind w:left="567"/>
        <w:jc w:val="both"/>
        <w:rPr>
          <w:rStyle w:val="Lienhypertexte"/>
        </w:rPr>
      </w:pPr>
      <w:r w:rsidRPr="00840E13">
        <w:rPr>
          <w:rFonts w:ascii="Times New Roman" w:hAnsi="Times New Roman"/>
          <w:sz w:val="24"/>
          <w:szCs w:val="24"/>
        </w:rPr>
        <w:t xml:space="preserve">La déclaration finale des parties prenantes à cet atelier est disponible </w:t>
      </w:r>
      <w:hyperlink r:id="rId45" w:history="1">
        <w:r w:rsidRPr="00E15CE1">
          <w:rPr>
            <w:rStyle w:val="Lienhypertexte"/>
            <w:rFonts w:ascii="Times New Roman" w:hAnsi="Times New Roman"/>
            <w:sz w:val="24"/>
            <w:szCs w:val="24"/>
          </w:rPr>
          <w:t>sur le site web de l’ITIE-RDC</w:t>
        </w:r>
        <w:r w:rsidRPr="00E15CE1">
          <w:rPr>
            <w:rStyle w:val="Lienhypertexte"/>
          </w:rPr>
          <w:t>.</w:t>
        </w:r>
      </w:hyperlink>
    </w:p>
    <w:p w14:paraId="17E2B7E7" w14:textId="762573BF" w:rsidR="00157F17" w:rsidRPr="001A2914" w:rsidRDefault="00051E32" w:rsidP="00157F17">
      <w:pPr>
        <w:spacing w:after="120" w:line="240" w:lineRule="auto"/>
        <w:ind w:left="567"/>
        <w:jc w:val="both"/>
      </w:pPr>
      <w:r>
        <w:rPr>
          <w:noProof/>
          <w:lang w:eastAsia="fr-FR"/>
        </w:rPr>
        <mc:AlternateContent>
          <mc:Choice Requires="wps">
            <w:drawing>
              <wp:anchor distT="0" distB="0" distL="114300" distR="114300" simplePos="0" relativeHeight="251662336" behindDoc="0" locked="0" layoutInCell="1" allowOverlap="1" wp14:anchorId="15D653B6" wp14:editId="607A1D9A">
                <wp:simplePos x="0" y="0"/>
                <wp:positionH relativeFrom="column">
                  <wp:posOffset>272838</wp:posOffset>
                </wp:positionH>
                <wp:positionV relativeFrom="paragraph">
                  <wp:posOffset>78952</wp:posOffset>
                </wp:positionV>
                <wp:extent cx="5567363" cy="1257300"/>
                <wp:effectExtent l="0" t="0" r="14605" b="19050"/>
                <wp:wrapNone/>
                <wp:docPr id="14" name="Zone de texte 14"/>
                <wp:cNvGraphicFramePr/>
                <a:graphic xmlns:a="http://schemas.openxmlformats.org/drawingml/2006/main">
                  <a:graphicData uri="http://schemas.microsoft.com/office/word/2010/wordprocessingShape">
                    <wps:wsp>
                      <wps:cNvSpPr txBox="1"/>
                      <wps:spPr>
                        <a:xfrm>
                          <a:off x="0" y="0"/>
                          <a:ext cx="5567363" cy="1257300"/>
                        </a:xfrm>
                        <a:prstGeom prst="rect">
                          <a:avLst/>
                        </a:prstGeom>
                        <a:solidFill>
                          <a:schemeClr val="accent1">
                            <a:lumMod val="20000"/>
                            <a:lumOff val="80000"/>
                          </a:schemeClr>
                        </a:solidFill>
                        <a:ln w="6350">
                          <a:solidFill>
                            <a:schemeClr val="accent1">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0D867C88" w14:textId="773209DE" w:rsidR="00E357DF" w:rsidRDefault="00E357DF" w:rsidP="00051E32">
                            <w:pPr>
                              <w:spacing w:after="0" w:line="360" w:lineRule="auto"/>
                              <w:jc w:val="both"/>
                              <w:rPr>
                                <w:rFonts w:ascii="Times New Roman" w:hAnsi="Times New Roman"/>
                                <w:color w:val="FF0000"/>
                                <w:sz w:val="24"/>
                                <w:szCs w:val="24"/>
                              </w:rPr>
                            </w:pPr>
                            <w:r w:rsidRPr="00051E32">
                              <w:rPr>
                                <w:rFonts w:ascii="Times New Roman" w:hAnsi="Times New Roman"/>
                                <w:b/>
                                <w:color w:val="1F3864" w:themeColor="accent5" w:themeShade="80"/>
                                <w:sz w:val="24"/>
                                <w:szCs w:val="24"/>
                                <w:u w:val="single"/>
                              </w:rPr>
                              <w:t>Recommandation</w:t>
                            </w:r>
                            <w:r>
                              <w:rPr>
                                <w:rFonts w:ascii="Times New Roman" w:hAnsi="Times New Roman"/>
                                <w:color w:val="323E4F" w:themeColor="text2" w:themeShade="BF"/>
                                <w:sz w:val="24"/>
                                <w:szCs w:val="24"/>
                              </w:rPr>
                              <w:t> </w:t>
                            </w:r>
                            <w:r>
                              <w:rPr>
                                <w:rFonts w:ascii="Times New Roman" w:hAnsi="Times New Roman"/>
                                <w:b/>
                                <w:color w:val="44546A" w:themeColor="text2"/>
                                <w:sz w:val="24"/>
                                <w:szCs w:val="24"/>
                              </w:rPr>
                              <w:t xml:space="preserve">: </w:t>
                            </w:r>
                            <w:r w:rsidRPr="00F32693">
                              <w:rPr>
                                <w:rFonts w:ascii="Times New Roman" w:hAnsi="Times New Roman"/>
                                <w:i/>
                                <w:color w:val="44546A" w:themeColor="text2"/>
                                <w:sz w:val="24"/>
                                <w:szCs w:val="24"/>
                              </w:rPr>
                              <w:t>(</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p>
                          <w:p w14:paraId="60589832" w14:textId="1C5AA186" w:rsidR="00E357DF" w:rsidRPr="00051E32" w:rsidRDefault="00E357DF" w:rsidP="00051E32">
                            <w:pPr>
                              <w:spacing w:after="0" w:line="360" w:lineRule="auto"/>
                              <w:jc w:val="both"/>
                              <w:rPr>
                                <w:rFonts w:ascii="Times New Roman" w:hAnsi="Times New Roman"/>
                                <w:color w:val="3B3838" w:themeColor="background2" w:themeShade="40"/>
                                <w:sz w:val="24"/>
                                <w:szCs w:val="24"/>
                              </w:rPr>
                            </w:pPr>
                            <w:r w:rsidRPr="00051E32">
                              <w:rPr>
                                <w:rFonts w:ascii="Times New Roman" w:hAnsi="Times New Roman"/>
                                <w:b/>
                                <w:color w:val="3B3838" w:themeColor="background2" w:themeShade="40"/>
                                <w:sz w:val="24"/>
                                <w:szCs w:val="24"/>
                              </w:rPr>
                              <w:t>Au Comité Exécutif</w:t>
                            </w:r>
                            <w:r>
                              <w:rPr>
                                <w:rFonts w:ascii="Times New Roman" w:hAnsi="Times New Roman"/>
                                <w:b/>
                                <w:color w:val="3B3838" w:themeColor="background2" w:themeShade="40"/>
                                <w:sz w:val="24"/>
                                <w:szCs w:val="24"/>
                              </w:rPr>
                              <w:t xml:space="preserve"> de</w:t>
                            </w:r>
                            <w:r w:rsidRPr="00051E32">
                              <w:rPr>
                                <w:rFonts w:ascii="Times New Roman" w:hAnsi="Times New Roman"/>
                                <w:color w:val="3B3838" w:themeColor="background2" w:themeShade="40"/>
                                <w:sz w:val="24"/>
                                <w:szCs w:val="24"/>
                              </w:rPr>
                              <w:t xml:space="preserve"> : </w:t>
                            </w:r>
                          </w:p>
                          <w:p w14:paraId="0B3D83CF" w14:textId="0F19CE87" w:rsidR="00E357DF" w:rsidRPr="008C6D8D" w:rsidRDefault="00E357DF" w:rsidP="00B50BF9">
                            <w:pPr>
                              <w:pStyle w:val="Paragraphedeliste"/>
                              <w:spacing w:after="0"/>
                              <w:ind w:left="0"/>
                              <w:jc w:val="both"/>
                              <w:rPr>
                                <w:rFonts w:ascii="Times New Roman" w:hAnsi="Times New Roman"/>
                                <w:color w:val="3B3838" w:themeColor="background2" w:themeShade="40"/>
                                <w:sz w:val="24"/>
                                <w:szCs w:val="24"/>
                              </w:rPr>
                            </w:pPr>
                            <w:r w:rsidRPr="008C6D8D">
                              <w:rPr>
                                <w:rFonts w:ascii="Times New Roman" w:hAnsi="Times New Roman"/>
                                <w:color w:val="3B3838" w:themeColor="background2" w:themeShade="40"/>
                                <w:sz w:val="24"/>
                                <w:szCs w:val="24"/>
                              </w:rPr>
                              <w:t>Améliorer les formulaires de déclaration des statistiques de production et des exportations en permettant aux entreprises de saisir la méthode de valorisation de leurs exportations conformément aux contrats de vente</w:t>
                            </w:r>
                            <w:r>
                              <w:rPr>
                                <w:rFonts w:ascii="Times New Roman" w:hAnsi="Times New Roman"/>
                                <w:color w:val="3B3838" w:themeColor="background2" w:themeShade="40"/>
                                <w:sz w:val="24"/>
                                <w:szCs w:val="24"/>
                              </w:rPr>
                              <w:t>.</w:t>
                            </w:r>
                          </w:p>
                          <w:p w14:paraId="63EB3CAA" w14:textId="77777777" w:rsidR="00E357DF" w:rsidRPr="008C6D8D" w:rsidRDefault="00E357DF" w:rsidP="008C6D8D">
                            <w:pPr>
                              <w:pStyle w:val="Paragraphedeliste"/>
                              <w:spacing w:after="0"/>
                              <w:ind w:left="786"/>
                              <w:jc w:val="both"/>
                              <w:rPr>
                                <w:rFonts w:ascii="Times New Roman" w:hAnsi="Times New Roman"/>
                                <w:color w:val="323E4F" w:themeColor="text2" w:themeShade="BF"/>
                                <w:sz w:val="24"/>
                                <w:szCs w:val="24"/>
                              </w:rPr>
                            </w:pPr>
                          </w:p>
                          <w:p w14:paraId="09988037" w14:textId="77777777" w:rsidR="00E357DF" w:rsidRPr="008C6D8D" w:rsidRDefault="00E357DF" w:rsidP="000738D3">
                            <w:pPr>
                              <w:pStyle w:val="Paragraphedeliste"/>
                              <w:numPr>
                                <w:ilvl w:val="0"/>
                                <w:numId w:val="60"/>
                              </w:numPr>
                              <w:spacing w:after="0"/>
                              <w:jc w:val="both"/>
                              <w:rPr>
                                <w:rFonts w:ascii="Times New Roman" w:hAnsi="Times New Roman"/>
                                <w:color w:val="323E4F" w:themeColor="text2" w:themeShade="BF"/>
                                <w:sz w:val="24"/>
                                <w:szCs w:val="24"/>
                              </w:rPr>
                            </w:pPr>
                          </w:p>
                          <w:p w14:paraId="151FAB59" w14:textId="77777777" w:rsidR="00E357DF" w:rsidRDefault="00E357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D653B6" id="Zone de texte 14" o:spid="_x0000_s1032" type="#_x0000_t202" style="position:absolute;left:0;text-align:left;margin-left:21.5pt;margin-top:6.2pt;width:438.4pt;height:9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" fillcolor="#deeaf6 [660]" strokecolor="#deeaf6 [660]" strokeweight=".5pt">
                <v:textbox>
                  <w:txbxContent>
                    <w:p w14:paraId="0D867C88" w14:textId="773209DE" w:rsidR="00E357DF" w:rsidRDefault="00E357DF" w:rsidP="00051E32">
                      <w:pPr>
                        <w:spacing w:after="0" w:line="360" w:lineRule="auto"/>
                        <w:jc w:val="both"/>
                        <w:rPr>
                          <w:rFonts w:ascii="Times New Roman" w:hAnsi="Times New Roman"/>
                          <w:color w:val="FF0000"/>
                          <w:sz w:val="24"/>
                          <w:szCs w:val="24"/>
                        </w:rPr>
                      </w:pPr>
                      <w:r w:rsidRPr="00051E32">
                        <w:rPr>
                          <w:rFonts w:ascii="Times New Roman" w:hAnsi="Times New Roman"/>
                          <w:b/>
                          <w:color w:val="1F3864" w:themeColor="accent5" w:themeShade="80"/>
                          <w:sz w:val="24"/>
                          <w:szCs w:val="24"/>
                          <w:u w:val="single"/>
                        </w:rPr>
                        <w:t>Recommandation</w:t>
                      </w:r>
                      <w:r>
                        <w:rPr>
                          <w:rFonts w:ascii="Times New Roman" w:hAnsi="Times New Roman"/>
                          <w:color w:val="323E4F" w:themeColor="text2" w:themeShade="BF"/>
                          <w:sz w:val="24"/>
                          <w:szCs w:val="24"/>
                        </w:rPr>
                        <w:t> </w:t>
                      </w:r>
                      <w:r>
                        <w:rPr>
                          <w:rFonts w:ascii="Times New Roman" w:hAnsi="Times New Roman"/>
                          <w:b/>
                          <w:color w:val="44546A" w:themeColor="text2"/>
                          <w:sz w:val="24"/>
                          <w:szCs w:val="24"/>
                        </w:rPr>
                        <w:t xml:space="preserve">: </w:t>
                      </w:r>
                      <w:r w:rsidRPr="00F32693">
                        <w:rPr>
                          <w:rFonts w:ascii="Times New Roman" w:hAnsi="Times New Roman"/>
                          <w:i/>
                          <w:color w:val="44546A" w:themeColor="text2"/>
                          <w:sz w:val="24"/>
                          <w:szCs w:val="24"/>
                        </w:rPr>
                        <w:t>(</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p>
                    <w:p w14:paraId="60589832" w14:textId="1C5AA186" w:rsidR="00E357DF" w:rsidRPr="00051E32" w:rsidRDefault="00E357DF" w:rsidP="00051E32">
                      <w:pPr>
                        <w:spacing w:after="0" w:line="360" w:lineRule="auto"/>
                        <w:jc w:val="both"/>
                        <w:rPr>
                          <w:rFonts w:ascii="Times New Roman" w:hAnsi="Times New Roman"/>
                          <w:color w:val="3B3838" w:themeColor="background2" w:themeShade="40"/>
                          <w:sz w:val="24"/>
                          <w:szCs w:val="24"/>
                        </w:rPr>
                      </w:pPr>
                      <w:r w:rsidRPr="00051E32">
                        <w:rPr>
                          <w:rFonts w:ascii="Times New Roman" w:hAnsi="Times New Roman"/>
                          <w:b/>
                          <w:color w:val="3B3838" w:themeColor="background2" w:themeShade="40"/>
                          <w:sz w:val="24"/>
                          <w:szCs w:val="24"/>
                        </w:rPr>
                        <w:t>Au Comité Exécutif</w:t>
                      </w:r>
                      <w:r>
                        <w:rPr>
                          <w:rFonts w:ascii="Times New Roman" w:hAnsi="Times New Roman"/>
                          <w:b/>
                          <w:color w:val="3B3838" w:themeColor="background2" w:themeShade="40"/>
                          <w:sz w:val="24"/>
                          <w:szCs w:val="24"/>
                        </w:rPr>
                        <w:t xml:space="preserve"> de</w:t>
                      </w:r>
                      <w:r w:rsidRPr="00051E32">
                        <w:rPr>
                          <w:rFonts w:ascii="Times New Roman" w:hAnsi="Times New Roman"/>
                          <w:color w:val="3B3838" w:themeColor="background2" w:themeShade="40"/>
                          <w:sz w:val="24"/>
                          <w:szCs w:val="24"/>
                        </w:rPr>
                        <w:t xml:space="preserve"> : </w:t>
                      </w:r>
                    </w:p>
                    <w:p w14:paraId="0B3D83CF" w14:textId="0F19CE87" w:rsidR="00E357DF" w:rsidRPr="008C6D8D" w:rsidRDefault="00E357DF" w:rsidP="00B50BF9">
                      <w:pPr>
                        <w:pStyle w:val="Paragraphedeliste"/>
                        <w:spacing w:after="0"/>
                        <w:ind w:left="0"/>
                        <w:jc w:val="both"/>
                        <w:rPr>
                          <w:rFonts w:ascii="Times New Roman" w:hAnsi="Times New Roman"/>
                          <w:color w:val="3B3838" w:themeColor="background2" w:themeShade="40"/>
                          <w:sz w:val="24"/>
                          <w:szCs w:val="24"/>
                        </w:rPr>
                      </w:pPr>
                      <w:r w:rsidRPr="008C6D8D">
                        <w:rPr>
                          <w:rFonts w:ascii="Times New Roman" w:hAnsi="Times New Roman"/>
                          <w:color w:val="3B3838" w:themeColor="background2" w:themeShade="40"/>
                          <w:sz w:val="24"/>
                          <w:szCs w:val="24"/>
                        </w:rPr>
                        <w:t>Améliorer les formulaires de déclaration des statistiques de production et des exportations en permettant aux entreprises de saisir la méthode de valorisation de leurs exportations conformément aux contrats de vente</w:t>
                      </w:r>
                      <w:r>
                        <w:rPr>
                          <w:rFonts w:ascii="Times New Roman" w:hAnsi="Times New Roman"/>
                          <w:color w:val="3B3838" w:themeColor="background2" w:themeShade="40"/>
                          <w:sz w:val="24"/>
                          <w:szCs w:val="24"/>
                        </w:rPr>
                        <w:t>.</w:t>
                      </w:r>
                    </w:p>
                    <w:p w14:paraId="63EB3CAA" w14:textId="77777777" w:rsidR="00E357DF" w:rsidRPr="008C6D8D" w:rsidRDefault="00E357DF" w:rsidP="008C6D8D">
                      <w:pPr>
                        <w:pStyle w:val="Paragraphedeliste"/>
                        <w:spacing w:after="0"/>
                        <w:ind w:left="786"/>
                        <w:jc w:val="both"/>
                        <w:rPr>
                          <w:rFonts w:ascii="Times New Roman" w:hAnsi="Times New Roman"/>
                          <w:color w:val="323E4F" w:themeColor="text2" w:themeShade="BF"/>
                          <w:sz w:val="24"/>
                          <w:szCs w:val="24"/>
                        </w:rPr>
                      </w:pPr>
                    </w:p>
                    <w:p w14:paraId="09988037" w14:textId="77777777" w:rsidR="00E357DF" w:rsidRPr="008C6D8D" w:rsidRDefault="00E357DF" w:rsidP="000738D3">
                      <w:pPr>
                        <w:pStyle w:val="Paragraphedeliste"/>
                        <w:numPr>
                          <w:ilvl w:val="0"/>
                          <w:numId w:val="60"/>
                        </w:numPr>
                        <w:spacing w:after="0"/>
                        <w:jc w:val="both"/>
                        <w:rPr>
                          <w:rFonts w:ascii="Times New Roman" w:hAnsi="Times New Roman"/>
                          <w:color w:val="323E4F" w:themeColor="text2" w:themeShade="BF"/>
                          <w:sz w:val="24"/>
                          <w:szCs w:val="24"/>
                        </w:rPr>
                      </w:pPr>
                    </w:p>
                    <w:p w14:paraId="151FAB59" w14:textId="77777777" w:rsidR="00E357DF" w:rsidRDefault="00E357DF"/>
                  </w:txbxContent>
                </v:textbox>
              </v:shape>
            </w:pict>
          </mc:Fallback>
        </mc:AlternateContent>
      </w:r>
    </w:p>
    <w:p w14:paraId="211795B9" w14:textId="77777777" w:rsidR="00553F42" w:rsidRDefault="00553F42">
      <w:r>
        <w:br w:type="page"/>
      </w:r>
    </w:p>
    <w:p w14:paraId="20D799AC" w14:textId="515DFEDA" w:rsidR="00495B53" w:rsidRPr="00753CBE" w:rsidRDefault="00B41722" w:rsidP="000668F9">
      <w:pPr>
        <w:pStyle w:val="Titre1"/>
        <w:numPr>
          <w:ilvl w:val="0"/>
          <w:numId w:val="4"/>
        </w:numPr>
        <w:ind w:left="426" w:hanging="425"/>
        <w:rPr>
          <w:rFonts w:ascii="Times New Roman" w:hAnsi="Times New Roman" w:cs="Times New Roman"/>
          <w:sz w:val="28"/>
          <w:szCs w:val="28"/>
        </w:rPr>
      </w:pPr>
      <w:bookmarkStart w:id="159" w:name="_Toc516764333"/>
      <w:bookmarkStart w:id="160" w:name="_Toc518468090"/>
      <w:r w:rsidRPr="00753CBE">
        <w:rPr>
          <w:rFonts w:ascii="Times New Roman" w:hAnsi="Times New Roman" w:cs="Times New Roman"/>
          <w:caps w:val="0"/>
          <w:sz w:val="28"/>
          <w:szCs w:val="28"/>
        </w:rPr>
        <w:lastRenderedPageBreak/>
        <w:t>TRANSFERTS INFRANATIONAUX</w:t>
      </w:r>
      <w:bookmarkEnd w:id="159"/>
      <w:bookmarkEnd w:id="160"/>
    </w:p>
    <w:p w14:paraId="0A2F2F8F" w14:textId="77777777" w:rsidR="00495B53" w:rsidRPr="00481D71" w:rsidRDefault="00495B53" w:rsidP="00753CBE">
      <w:pPr>
        <w:spacing w:after="120"/>
        <w:ind w:left="142"/>
        <w:jc w:val="both"/>
        <w:rPr>
          <w:rFonts w:ascii="Times New Roman" w:hAnsi="Times New Roman"/>
          <w:sz w:val="24"/>
          <w:szCs w:val="24"/>
        </w:rPr>
      </w:pPr>
      <w:r w:rsidRPr="00481D71">
        <w:rPr>
          <w:rFonts w:ascii="Times New Roman" w:hAnsi="Times New Roman"/>
          <w:sz w:val="24"/>
          <w:szCs w:val="24"/>
        </w:rPr>
        <w:t>Les transferts infranationaux sont les parts des recettes perçues des entreprises extractives, que le Gouvernement central rétrocède directement aux provinces et indirectement aux entités territoriales décentralisées (ETD)</w:t>
      </w:r>
      <w:r w:rsidRPr="00481D71">
        <w:rPr>
          <w:rFonts w:ascii="Times New Roman" w:hAnsi="Times New Roman"/>
          <w:i/>
          <w:sz w:val="24"/>
          <w:szCs w:val="24"/>
        </w:rPr>
        <w:t>.</w:t>
      </w:r>
    </w:p>
    <w:p w14:paraId="4F402CC8" w14:textId="77777777" w:rsidR="00495B53" w:rsidRDefault="00495B53" w:rsidP="00753CBE">
      <w:pPr>
        <w:spacing w:after="120"/>
        <w:ind w:left="142"/>
        <w:jc w:val="both"/>
        <w:rPr>
          <w:rFonts w:ascii="Times New Roman" w:hAnsi="Times New Roman"/>
          <w:sz w:val="24"/>
          <w:szCs w:val="24"/>
        </w:rPr>
      </w:pPr>
      <w:r w:rsidRPr="00481D71">
        <w:rPr>
          <w:rFonts w:ascii="Times New Roman" w:hAnsi="Times New Roman"/>
          <w:sz w:val="24"/>
          <w:szCs w:val="24"/>
        </w:rPr>
        <w:t>Ces recettes constituent une source importante de revenu tant pour les provinces que pour les ETD. Leur divulgation a pour effet de rendre redevables les autorités vis-à-vis des administrés, et aussi d’informer les parties prenantes afin de susciter le débat sur les avantages que tirent les communautés locales de l’activité extractive.</w:t>
      </w:r>
    </w:p>
    <w:p w14:paraId="6C02D875" w14:textId="77777777" w:rsidR="00495B53" w:rsidRPr="00481D71" w:rsidRDefault="00495B53" w:rsidP="00495B53">
      <w:pPr>
        <w:spacing w:after="120"/>
        <w:jc w:val="both"/>
        <w:rPr>
          <w:rFonts w:ascii="Times New Roman" w:hAnsi="Times New Roman"/>
          <w:sz w:val="24"/>
          <w:szCs w:val="24"/>
        </w:rPr>
      </w:pPr>
    </w:p>
    <w:p w14:paraId="4436FE9C" w14:textId="77777777" w:rsidR="00495B53" w:rsidRPr="00753CBE" w:rsidRDefault="00495B53" w:rsidP="00753CBE">
      <w:pPr>
        <w:spacing w:after="120"/>
        <w:ind w:left="142"/>
        <w:jc w:val="both"/>
        <w:rPr>
          <w:rFonts w:ascii="Times New Roman" w:hAnsi="Times New Roman"/>
          <w:b/>
        </w:rPr>
      </w:pPr>
      <w:r w:rsidRPr="00753CBE">
        <w:rPr>
          <w:rFonts w:ascii="Times New Roman" w:hAnsi="Times New Roman"/>
          <w:b/>
        </w:rPr>
        <w:t>Schéma paiements et transferts infranationaux</w:t>
      </w:r>
    </w:p>
    <w:p w14:paraId="0CD27520" w14:textId="77777777" w:rsidR="00495B53" w:rsidRPr="00481D71" w:rsidRDefault="00495B53" w:rsidP="00495B53">
      <w:pPr>
        <w:spacing w:after="120"/>
        <w:jc w:val="both"/>
        <w:rPr>
          <w:rFonts w:ascii="Times New Roman" w:hAnsi="Times New Roman"/>
          <w:color w:val="FF0000"/>
        </w:rPr>
      </w:pPr>
      <w:r w:rsidRPr="00481D71">
        <w:rPr>
          <w:rFonts w:ascii="Times New Roman" w:hAnsi="Times New Roman"/>
          <w:noProof/>
          <w:lang w:eastAsia="fr-FR"/>
        </w:rPr>
        <w:drawing>
          <wp:inline distT="0" distB="0" distL="0" distR="0" wp14:anchorId="7490B012" wp14:editId="150C250A">
            <wp:extent cx="5897880" cy="2605920"/>
            <wp:effectExtent l="152400" t="171450" r="160020" b="15684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18158" cy="261488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0E406EC" w14:textId="77777777" w:rsidR="00495B53" w:rsidRPr="00481D71" w:rsidRDefault="00495B53" w:rsidP="00495B53">
      <w:pPr>
        <w:spacing w:after="120"/>
        <w:rPr>
          <w:rFonts w:ascii="Times New Roman" w:hAnsi="Times New Roman"/>
          <w:b/>
          <w:bCs/>
          <w:i/>
          <w:iCs/>
          <w:color w:val="0070C0"/>
          <w:sz w:val="24"/>
        </w:rPr>
      </w:pPr>
    </w:p>
    <w:p w14:paraId="46EA4B59" w14:textId="2BE2EADF" w:rsidR="00495B53" w:rsidRPr="00200105" w:rsidRDefault="00200105" w:rsidP="00200105">
      <w:pPr>
        <w:pStyle w:val="Titre2"/>
        <w:rPr>
          <w:rFonts w:ascii="Times New Roman" w:hAnsi="Times New Roman" w:cs="Times New Roman"/>
          <w:sz w:val="24"/>
          <w:szCs w:val="24"/>
        </w:rPr>
      </w:pPr>
      <w:bookmarkStart w:id="161" w:name="_Toc516764334"/>
      <w:bookmarkStart w:id="162" w:name="_Toc518468091"/>
      <w:r>
        <w:rPr>
          <w:rFonts w:ascii="Times New Roman" w:hAnsi="Times New Roman" w:cs="Times New Roman"/>
          <w:sz w:val="24"/>
          <w:szCs w:val="24"/>
        </w:rPr>
        <w:t>V</w:t>
      </w:r>
      <w:r w:rsidR="000668F9">
        <w:rPr>
          <w:rFonts w:ascii="Times New Roman" w:hAnsi="Times New Roman" w:cs="Times New Roman"/>
          <w:sz w:val="24"/>
          <w:szCs w:val="24"/>
        </w:rPr>
        <w:t>II</w:t>
      </w:r>
      <w:r w:rsidR="00495B53" w:rsidRPr="00200105">
        <w:rPr>
          <w:rFonts w:ascii="Times New Roman" w:hAnsi="Times New Roman" w:cs="Times New Roman"/>
          <w:sz w:val="24"/>
          <w:szCs w:val="24"/>
        </w:rPr>
        <w:t xml:space="preserve">.1. </w:t>
      </w:r>
      <w:r w:rsidR="00A22A86" w:rsidRPr="00200105">
        <w:rPr>
          <w:rFonts w:ascii="Times New Roman" w:hAnsi="Times New Roman" w:cs="Times New Roman"/>
          <w:caps w:val="0"/>
          <w:sz w:val="24"/>
          <w:szCs w:val="24"/>
        </w:rPr>
        <w:t>De la législation sur les transferts infranationaux</w:t>
      </w:r>
      <w:bookmarkEnd w:id="161"/>
      <w:bookmarkEnd w:id="162"/>
    </w:p>
    <w:p w14:paraId="25597757" w14:textId="77777777" w:rsidR="00495B53" w:rsidRPr="00200105" w:rsidRDefault="00495B53" w:rsidP="00200105">
      <w:pPr>
        <w:spacing w:after="120" w:line="276" w:lineRule="auto"/>
        <w:rPr>
          <w:rFonts w:ascii="Times New Roman" w:hAnsi="Times New Roman"/>
          <w:sz w:val="24"/>
          <w:szCs w:val="24"/>
          <w:lang w:eastAsia="fr-FR"/>
        </w:rPr>
      </w:pPr>
      <w:r w:rsidRPr="00200105">
        <w:rPr>
          <w:rFonts w:ascii="Times New Roman" w:hAnsi="Times New Roman"/>
          <w:sz w:val="24"/>
          <w:szCs w:val="24"/>
        </w:rPr>
        <w:t>L’Article 175 de la Constitution de la RDC prévoit que l</w:t>
      </w:r>
      <w:r w:rsidRPr="00200105">
        <w:rPr>
          <w:rFonts w:ascii="Times New Roman" w:hAnsi="Times New Roman"/>
          <w:sz w:val="24"/>
          <w:szCs w:val="24"/>
          <w:lang w:eastAsia="fr-FR"/>
        </w:rPr>
        <w:t xml:space="preserve">e budget des recettes et des dépenses de l'Etat à savoir celui du pouvoir central et des provinces est arrêté chaque année par une loi. Il prévoit également que la part des recettes à caractère national allouées aux provinces est établie à 40% et elle est retenue à la source. </w:t>
      </w:r>
    </w:p>
    <w:p w14:paraId="74441A05" w14:textId="77777777" w:rsidR="00495B53" w:rsidRPr="00200105" w:rsidRDefault="00495B53" w:rsidP="00200105">
      <w:pPr>
        <w:autoSpaceDE w:val="0"/>
        <w:autoSpaceDN w:val="0"/>
        <w:adjustRightInd w:val="0"/>
        <w:spacing w:after="120" w:line="276" w:lineRule="auto"/>
        <w:rPr>
          <w:rFonts w:ascii="Times New Roman" w:hAnsi="Times New Roman"/>
          <w:sz w:val="24"/>
          <w:szCs w:val="24"/>
          <w:lang w:eastAsia="fr-FR"/>
        </w:rPr>
      </w:pPr>
      <w:r w:rsidRPr="00200105">
        <w:rPr>
          <w:rFonts w:ascii="Times New Roman" w:hAnsi="Times New Roman"/>
          <w:sz w:val="24"/>
          <w:szCs w:val="24"/>
          <w:lang w:eastAsia="fr-FR"/>
        </w:rPr>
        <w:t>L’Article 242 du Code Minier tel que modifié et complété prévoit un mécanisme de partage de la redevance minière versée par le titulaire du titre minier d’exploitation au Trésor Public. Le taux et les modalités de partage sont fixés comme suit :</w:t>
      </w:r>
    </w:p>
    <w:p w14:paraId="73A734B7" w14:textId="77777777" w:rsidR="00495B53" w:rsidRPr="00200105" w:rsidRDefault="00495B53" w:rsidP="000738D3">
      <w:pPr>
        <w:pStyle w:val="Paragraphedeliste"/>
        <w:numPr>
          <w:ilvl w:val="0"/>
          <w:numId w:val="38"/>
        </w:numPr>
        <w:autoSpaceDE w:val="0"/>
        <w:autoSpaceDN w:val="0"/>
        <w:adjustRightInd w:val="0"/>
        <w:spacing w:after="0" w:line="240" w:lineRule="auto"/>
        <w:ind w:left="851"/>
        <w:contextualSpacing w:val="0"/>
        <w:jc w:val="both"/>
        <w:rPr>
          <w:rFonts w:ascii="Times New Roman" w:hAnsi="Times New Roman" w:cs="Times New Roman"/>
          <w:sz w:val="24"/>
          <w:szCs w:val="24"/>
          <w:lang w:eastAsia="fr-FR"/>
        </w:rPr>
      </w:pPr>
      <w:r w:rsidRPr="00200105">
        <w:rPr>
          <w:rFonts w:ascii="Times New Roman" w:hAnsi="Times New Roman" w:cs="Times New Roman"/>
          <w:sz w:val="24"/>
          <w:szCs w:val="24"/>
          <w:lang w:eastAsia="fr-FR"/>
        </w:rPr>
        <w:t>50% resteront acquis au Gouvernement Central ;</w:t>
      </w:r>
    </w:p>
    <w:p w14:paraId="709E36E8" w14:textId="77777777" w:rsidR="00495B53" w:rsidRPr="00200105" w:rsidRDefault="00495B53" w:rsidP="000738D3">
      <w:pPr>
        <w:pStyle w:val="Paragraphedeliste"/>
        <w:numPr>
          <w:ilvl w:val="0"/>
          <w:numId w:val="38"/>
        </w:numPr>
        <w:autoSpaceDE w:val="0"/>
        <w:autoSpaceDN w:val="0"/>
        <w:adjustRightInd w:val="0"/>
        <w:spacing w:after="0" w:line="240" w:lineRule="auto"/>
        <w:ind w:left="851"/>
        <w:contextualSpacing w:val="0"/>
        <w:jc w:val="both"/>
        <w:rPr>
          <w:rFonts w:ascii="Times New Roman" w:hAnsi="Times New Roman" w:cs="Times New Roman"/>
          <w:sz w:val="24"/>
          <w:szCs w:val="24"/>
          <w:lang w:eastAsia="fr-FR"/>
        </w:rPr>
      </w:pPr>
      <w:r w:rsidRPr="00200105">
        <w:rPr>
          <w:rFonts w:ascii="Times New Roman" w:hAnsi="Times New Roman" w:cs="Times New Roman"/>
          <w:sz w:val="24"/>
          <w:szCs w:val="24"/>
          <w:lang w:eastAsia="fr-FR"/>
        </w:rPr>
        <w:t>25% sont versés sur un compte désigné par l’Administration de la Province où se trouve le projet ; et</w:t>
      </w:r>
    </w:p>
    <w:p w14:paraId="00AD47D0" w14:textId="77777777" w:rsidR="00495B53" w:rsidRPr="00200105" w:rsidRDefault="00495B53" w:rsidP="000738D3">
      <w:pPr>
        <w:pStyle w:val="Paragraphedeliste"/>
        <w:numPr>
          <w:ilvl w:val="0"/>
          <w:numId w:val="38"/>
        </w:numPr>
        <w:autoSpaceDE w:val="0"/>
        <w:autoSpaceDN w:val="0"/>
        <w:adjustRightInd w:val="0"/>
        <w:spacing w:after="120" w:line="240" w:lineRule="auto"/>
        <w:ind w:left="851" w:hanging="357"/>
        <w:contextualSpacing w:val="0"/>
        <w:jc w:val="both"/>
        <w:rPr>
          <w:rFonts w:ascii="Times New Roman" w:hAnsi="Times New Roman" w:cs="Times New Roman"/>
          <w:sz w:val="24"/>
          <w:szCs w:val="24"/>
          <w:lang w:eastAsia="fr-FR"/>
        </w:rPr>
      </w:pPr>
      <w:r w:rsidRPr="00200105">
        <w:rPr>
          <w:rFonts w:ascii="Times New Roman" w:hAnsi="Times New Roman" w:cs="Times New Roman"/>
          <w:sz w:val="24"/>
          <w:szCs w:val="24"/>
          <w:lang w:eastAsia="fr-FR"/>
        </w:rPr>
        <w:t>15% sont versés sur un compte désigné par la Ville ou le Territoire dans le ressort duquel s’opère l’exploitation.</w:t>
      </w:r>
    </w:p>
    <w:p w14:paraId="12A8AED6" w14:textId="77777777" w:rsidR="00495B53" w:rsidRPr="00200105" w:rsidRDefault="00495B53" w:rsidP="000738D3">
      <w:pPr>
        <w:pStyle w:val="Paragraphedeliste"/>
        <w:numPr>
          <w:ilvl w:val="0"/>
          <w:numId w:val="38"/>
        </w:numPr>
        <w:autoSpaceDE w:val="0"/>
        <w:autoSpaceDN w:val="0"/>
        <w:adjustRightInd w:val="0"/>
        <w:spacing w:after="120" w:line="240" w:lineRule="auto"/>
        <w:ind w:left="851" w:hanging="357"/>
        <w:contextualSpacing w:val="0"/>
        <w:jc w:val="both"/>
        <w:rPr>
          <w:rFonts w:ascii="Times New Roman" w:hAnsi="Times New Roman" w:cs="Times New Roman"/>
          <w:sz w:val="24"/>
          <w:szCs w:val="24"/>
          <w:lang w:eastAsia="fr-FR"/>
        </w:rPr>
      </w:pPr>
      <w:r w:rsidRPr="00200105">
        <w:rPr>
          <w:rFonts w:ascii="Times New Roman" w:hAnsi="Times New Roman" w:cs="Times New Roman"/>
          <w:sz w:val="24"/>
          <w:szCs w:val="24"/>
          <w:lang w:eastAsia="fr-FR"/>
        </w:rPr>
        <w:t>10% au Fond minier pour les générations futures.</w:t>
      </w:r>
    </w:p>
    <w:p w14:paraId="6C480B07" w14:textId="77777777" w:rsidR="00495B53" w:rsidRPr="00481D71" w:rsidRDefault="00495B53" w:rsidP="00495B53">
      <w:pPr>
        <w:spacing w:after="120"/>
        <w:rPr>
          <w:rFonts w:ascii="Times New Roman" w:hAnsi="Times New Roman"/>
        </w:rPr>
      </w:pPr>
    </w:p>
    <w:p w14:paraId="22DBF53B" w14:textId="3B593698" w:rsidR="00495B53" w:rsidRPr="00200105" w:rsidRDefault="00200105" w:rsidP="00200105">
      <w:pPr>
        <w:pStyle w:val="Titre2"/>
        <w:rPr>
          <w:rFonts w:ascii="Times New Roman" w:hAnsi="Times New Roman" w:cs="Times New Roman"/>
          <w:sz w:val="24"/>
          <w:szCs w:val="24"/>
        </w:rPr>
      </w:pPr>
      <w:bookmarkStart w:id="163" w:name="_Toc516764335"/>
      <w:bookmarkStart w:id="164" w:name="_Toc518468092"/>
      <w:r>
        <w:rPr>
          <w:rFonts w:ascii="Times New Roman" w:hAnsi="Times New Roman" w:cs="Times New Roman"/>
          <w:sz w:val="24"/>
          <w:szCs w:val="24"/>
        </w:rPr>
        <w:t>V</w:t>
      </w:r>
      <w:r w:rsidR="000668F9">
        <w:rPr>
          <w:rFonts w:ascii="Times New Roman" w:hAnsi="Times New Roman" w:cs="Times New Roman"/>
          <w:sz w:val="24"/>
          <w:szCs w:val="24"/>
        </w:rPr>
        <w:t>II</w:t>
      </w:r>
      <w:r w:rsidR="00495B53" w:rsidRPr="00200105">
        <w:rPr>
          <w:rFonts w:ascii="Times New Roman" w:hAnsi="Times New Roman" w:cs="Times New Roman"/>
          <w:sz w:val="24"/>
          <w:szCs w:val="24"/>
        </w:rPr>
        <w:t xml:space="preserve">.2. </w:t>
      </w:r>
      <w:r w:rsidR="00A13312" w:rsidRPr="00200105">
        <w:rPr>
          <w:rFonts w:ascii="Times New Roman" w:hAnsi="Times New Roman" w:cs="Times New Roman"/>
          <w:caps w:val="0"/>
          <w:sz w:val="24"/>
          <w:szCs w:val="24"/>
        </w:rPr>
        <w:t>De la pratique des transferts infranationaux</w:t>
      </w:r>
      <w:bookmarkEnd w:id="163"/>
      <w:bookmarkEnd w:id="164"/>
    </w:p>
    <w:p w14:paraId="6B5BA708" w14:textId="77777777" w:rsidR="00495B53" w:rsidRPr="00200105" w:rsidRDefault="00495B53" w:rsidP="00200105">
      <w:pPr>
        <w:spacing w:after="0" w:line="276" w:lineRule="auto"/>
        <w:jc w:val="both"/>
        <w:rPr>
          <w:rFonts w:ascii="Times New Roman" w:hAnsi="Times New Roman"/>
          <w:color w:val="000000" w:themeColor="text1"/>
          <w:sz w:val="24"/>
          <w:szCs w:val="24"/>
        </w:rPr>
      </w:pPr>
      <w:r w:rsidRPr="00200105">
        <w:rPr>
          <w:rFonts w:ascii="Times New Roman" w:hAnsi="Times New Roman"/>
          <w:color w:val="000000" w:themeColor="text1"/>
          <w:sz w:val="24"/>
          <w:szCs w:val="24"/>
        </w:rPr>
        <w:t>Comme l’indique le tableau ci-dessous, le Ministère des finances et la BCC, nous a transmis la part de la redevance minière rétrocédée par le Gouvernement central aux provinces, pour l’année 2016.</w:t>
      </w:r>
    </w:p>
    <w:p w14:paraId="3623CC80" w14:textId="77777777" w:rsidR="00495B53" w:rsidRPr="00481D71" w:rsidRDefault="00495B53" w:rsidP="00495B53">
      <w:pPr>
        <w:spacing w:after="0"/>
        <w:jc w:val="both"/>
        <w:rPr>
          <w:rFonts w:ascii="Times New Roman" w:hAnsi="Times New Roman"/>
          <w:color w:val="000000" w:themeColor="text1"/>
        </w:rPr>
      </w:pPr>
    </w:p>
    <w:tbl>
      <w:tblPr>
        <w:tblStyle w:val="TableauGrille1Clair1"/>
        <w:tblW w:w="0" w:type="auto"/>
        <w:tblLook w:val="04A0" w:firstRow="1" w:lastRow="0" w:firstColumn="1" w:lastColumn="0" w:noHBand="0" w:noVBand="1"/>
      </w:tblPr>
      <w:tblGrid>
        <w:gridCol w:w="3476"/>
        <w:gridCol w:w="3372"/>
      </w:tblGrid>
      <w:tr w:rsidR="00495B53" w:rsidRPr="00481D71" w14:paraId="446CD27F" w14:textId="77777777" w:rsidTr="002001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6" w:type="dxa"/>
          </w:tcPr>
          <w:p w14:paraId="1669283D" w14:textId="77777777" w:rsidR="00495B53" w:rsidRPr="00481D71" w:rsidRDefault="00495B53" w:rsidP="00F000B0">
            <w:pPr>
              <w:jc w:val="both"/>
              <w:rPr>
                <w:rFonts w:ascii="Times New Roman" w:hAnsi="Times New Roman"/>
              </w:rPr>
            </w:pPr>
            <w:r w:rsidRPr="00481D71">
              <w:rPr>
                <w:rFonts w:ascii="Times New Roman" w:hAnsi="Times New Roman"/>
              </w:rPr>
              <w:t>Bénéficiaire</w:t>
            </w:r>
          </w:p>
        </w:tc>
        <w:tc>
          <w:tcPr>
            <w:tcW w:w="3372" w:type="dxa"/>
          </w:tcPr>
          <w:p w14:paraId="5B39688D" w14:textId="77777777" w:rsidR="00495B53" w:rsidRPr="00481D71" w:rsidRDefault="00495B53" w:rsidP="00F000B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Rétrocession de la redevance miniè</w:t>
            </w:r>
            <w:r w:rsidRPr="00731228">
              <w:rPr>
                <w:rFonts w:ascii="Times New Roman" w:hAnsi="Times New Roman"/>
              </w:rPr>
              <w:t>re aux provinces</w:t>
            </w:r>
            <w:r w:rsidRPr="00731228" w:rsidDel="00731228">
              <w:rPr>
                <w:rFonts w:ascii="Times New Roman" w:hAnsi="Times New Roman"/>
              </w:rPr>
              <w:t xml:space="preserve"> </w:t>
            </w:r>
            <w:r w:rsidRPr="00481D71">
              <w:rPr>
                <w:rFonts w:ascii="Times New Roman" w:hAnsi="Times New Roman"/>
              </w:rPr>
              <w:t>en CDF</w:t>
            </w:r>
          </w:p>
        </w:tc>
      </w:tr>
      <w:tr w:rsidR="00495B53" w:rsidRPr="00481D71" w14:paraId="524A14AF" w14:textId="77777777" w:rsidTr="00200105">
        <w:tc>
          <w:tcPr>
            <w:cnfStyle w:val="001000000000" w:firstRow="0" w:lastRow="0" w:firstColumn="1" w:lastColumn="0" w:oddVBand="0" w:evenVBand="0" w:oddHBand="0" w:evenHBand="0" w:firstRowFirstColumn="0" w:firstRowLastColumn="0" w:lastRowFirstColumn="0" w:lastRowLastColumn="0"/>
            <w:tcW w:w="3476" w:type="dxa"/>
          </w:tcPr>
          <w:p w14:paraId="1DD433D8" w14:textId="77777777" w:rsidR="00495B53" w:rsidRPr="00481D71" w:rsidRDefault="00495B53" w:rsidP="00F000B0">
            <w:pPr>
              <w:jc w:val="both"/>
              <w:rPr>
                <w:rFonts w:ascii="Times New Roman" w:hAnsi="Times New Roman"/>
              </w:rPr>
            </w:pPr>
            <w:r>
              <w:rPr>
                <w:rFonts w:ascii="Times New Roman" w:hAnsi="Times New Roman"/>
              </w:rPr>
              <w:t>HAUT-</w:t>
            </w:r>
            <w:r w:rsidRPr="00481D71">
              <w:rPr>
                <w:rFonts w:ascii="Times New Roman" w:hAnsi="Times New Roman"/>
              </w:rPr>
              <w:t>UELE</w:t>
            </w:r>
          </w:p>
        </w:tc>
        <w:tc>
          <w:tcPr>
            <w:tcW w:w="3372" w:type="dxa"/>
          </w:tcPr>
          <w:p w14:paraId="70D5B9E9" w14:textId="77777777" w:rsidR="00495B53" w:rsidRPr="00481D71" w:rsidRDefault="00495B53"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481D71">
              <w:rPr>
                <w:rFonts w:ascii="Times New Roman" w:hAnsi="Times New Roman"/>
                <w:color w:val="000000" w:themeColor="text1"/>
                <w:sz w:val="28"/>
                <w:szCs w:val="28"/>
              </w:rPr>
              <w:t>365 253 820,51</w:t>
            </w:r>
          </w:p>
        </w:tc>
      </w:tr>
      <w:tr w:rsidR="00495B53" w:rsidRPr="00481D71" w14:paraId="377E888F" w14:textId="77777777" w:rsidTr="00200105">
        <w:tc>
          <w:tcPr>
            <w:cnfStyle w:val="001000000000" w:firstRow="0" w:lastRow="0" w:firstColumn="1" w:lastColumn="0" w:oddVBand="0" w:evenVBand="0" w:oddHBand="0" w:evenHBand="0" w:firstRowFirstColumn="0" w:firstRowLastColumn="0" w:lastRowFirstColumn="0" w:lastRowLastColumn="0"/>
            <w:tcW w:w="3476" w:type="dxa"/>
          </w:tcPr>
          <w:p w14:paraId="7F084CEB" w14:textId="77777777" w:rsidR="00495B53" w:rsidRPr="00481D71" w:rsidRDefault="00495B53" w:rsidP="00F000B0">
            <w:pPr>
              <w:jc w:val="both"/>
              <w:rPr>
                <w:rFonts w:ascii="Times New Roman" w:hAnsi="Times New Roman"/>
              </w:rPr>
            </w:pPr>
            <w:r>
              <w:rPr>
                <w:rFonts w:ascii="Times New Roman" w:hAnsi="Times New Roman"/>
              </w:rPr>
              <w:t>HAUT-KATANGA</w:t>
            </w:r>
          </w:p>
        </w:tc>
        <w:tc>
          <w:tcPr>
            <w:tcW w:w="3372" w:type="dxa"/>
          </w:tcPr>
          <w:p w14:paraId="7C7BE148" w14:textId="77777777" w:rsidR="00495B53" w:rsidRPr="00481D71" w:rsidRDefault="00495B53"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szCs w:val="28"/>
              </w:rPr>
            </w:pPr>
            <w:r>
              <w:rPr>
                <w:rFonts w:ascii="Times New Roman" w:hAnsi="Times New Roman"/>
                <w:color w:val="000000" w:themeColor="text1"/>
                <w:sz w:val="28"/>
                <w:szCs w:val="28"/>
              </w:rPr>
              <w:t>629 495 487,87</w:t>
            </w:r>
          </w:p>
        </w:tc>
      </w:tr>
      <w:tr w:rsidR="00495B53" w:rsidRPr="00481D71" w14:paraId="49452D88" w14:textId="77777777" w:rsidTr="00200105">
        <w:tc>
          <w:tcPr>
            <w:cnfStyle w:val="001000000000" w:firstRow="0" w:lastRow="0" w:firstColumn="1" w:lastColumn="0" w:oddVBand="0" w:evenVBand="0" w:oddHBand="0" w:evenHBand="0" w:firstRowFirstColumn="0" w:firstRowLastColumn="0" w:lastRowFirstColumn="0" w:lastRowLastColumn="0"/>
            <w:tcW w:w="3476" w:type="dxa"/>
          </w:tcPr>
          <w:p w14:paraId="0C49A41A" w14:textId="77777777" w:rsidR="00495B53" w:rsidRPr="00481D71" w:rsidRDefault="00495B53" w:rsidP="00F000B0">
            <w:pPr>
              <w:jc w:val="both"/>
              <w:rPr>
                <w:rFonts w:ascii="Times New Roman" w:hAnsi="Times New Roman"/>
              </w:rPr>
            </w:pPr>
            <w:r w:rsidRPr="00481D71">
              <w:rPr>
                <w:rFonts w:ascii="Times New Roman" w:hAnsi="Times New Roman"/>
              </w:rPr>
              <w:t>Autres Provinces</w:t>
            </w:r>
          </w:p>
        </w:tc>
        <w:tc>
          <w:tcPr>
            <w:tcW w:w="3372" w:type="dxa"/>
          </w:tcPr>
          <w:p w14:paraId="00293E3C" w14:textId="77777777" w:rsidR="00495B53" w:rsidRPr="00481D71" w:rsidRDefault="00495B53"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481D71">
              <w:rPr>
                <w:rFonts w:ascii="Times New Roman" w:hAnsi="Times New Roman"/>
                <w:color w:val="000000" w:themeColor="text1"/>
                <w:sz w:val="28"/>
                <w:szCs w:val="28"/>
              </w:rPr>
              <w:t xml:space="preserve">1 </w:t>
            </w:r>
            <w:r>
              <w:rPr>
                <w:rFonts w:ascii="Times New Roman" w:hAnsi="Times New Roman"/>
                <w:color w:val="000000" w:themeColor="text1"/>
                <w:sz w:val="28"/>
                <w:szCs w:val="28"/>
              </w:rPr>
              <w:t>002</w:t>
            </w:r>
            <w:r w:rsidRPr="00481D71">
              <w:rPr>
                <w:rFonts w:ascii="Times New Roman" w:hAnsi="Times New Roman"/>
                <w:color w:val="000000" w:themeColor="text1"/>
                <w:sz w:val="28"/>
                <w:szCs w:val="28"/>
              </w:rPr>
              <w:t xml:space="preserve"> </w:t>
            </w:r>
            <w:r>
              <w:rPr>
                <w:rFonts w:ascii="Times New Roman" w:hAnsi="Times New Roman"/>
                <w:color w:val="000000" w:themeColor="text1"/>
                <w:sz w:val="28"/>
                <w:szCs w:val="28"/>
              </w:rPr>
              <w:t>609</w:t>
            </w:r>
            <w:r w:rsidRPr="00481D71">
              <w:rPr>
                <w:rFonts w:ascii="Times New Roman" w:hAnsi="Times New Roman"/>
                <w:color w:val="000000" w:themeColor="text1"/>
                <w:sz w:val="28"/>
                <w:szCs w:val="28"/>
              </w:rPr>
              <w:t xml:space="preserve"> </w:t>
            </w:r>
            <w:r>
              <w:rPr>
                <w:rFonts w:ascii="Times New Roman" w:hAnsi="Times New Roman"/>
                <w:color w:val="000000" w:themeColor="text1"/>
                <w:sz w:val="28"/>
                <w:szCs w:val="28"/>
              </w:rPr>
              <w:t>782</w:t>
            </w:r>
            <w:r w:rsidRPr="00481D71">
              <w:rPr>
                <w:rFonts w:ascii="Times New Roman" w:hAnsi="Times New Roman"/>
                <w:color w:val="000000" w:themeColor="text1"/>
                <w:sz w:val="28"/>
                <w:szCs w:val="28"/>
              </w:rPr>
              <w:t>,</w:t>
            </w:r>
            <w:r>
              <w:rPr>
                <w:rFonts w:ascii="Times New Roman" w:hAnsi="Times New Roman"/>
                <w:color w:val="000000" w:themeColor="text1"/>
                <w:sz w:val="28"/>
                <w:szCs w:val="28"/>
              </w:rPr>
              <w:t>80</w:t>
            </w:r>
          </w:p>
        </w:tc>
      </w:tr>
      <w:tr w:rsidR="00495B53" w:rsidRPr="00481D71" w14:paraId="03CF2CDB" w14:textId="77777777" w:rsidTr="00200105">
        <w:tc>
          <w:tcPr>
            <w:cnfStyle w:val="001000000000" w:firstRow="0" w:lastRow="0" w:firstColumn="1" w:lastColumn="0" w:oddVBand="0" w:evenVBand="0" w:oddHBand="0" w:evenHBand="0" w:firstRowFirstColumn="0" w:firstRowLastColumn="0" w:lastRowFirstColumn="0" w:lastRowLastColumn="0"/>
            <w:tcW w:w="3476" w:type="dxa"/>
          </w:tcPr>
          <w:p w14:paraId="7DF09AE9" w14:textId="77777777" w:rsidR="00495B53" w:rsidRPr="00481D71" w:rsidRDefault="00495B53" w:rsidP="00F000B0">
            <w:pPr>
              <w:jc w:val="both"/>
              <w:rPr>
                <w:rFonts w:ascii="Times New Roman" w:hAnsi="Times New Roman"/>
              </w:rPr>
            </w:pPr>
            <w:r w:rsidRPr="00481D71">
              <w:rPr>
                <w:rFonts w:ascii="Times New Roman" w:hAnsi="Times New Roman"/>
              </w:rPr>
              <w:t>TOTAL</w:t>
            </w:r>
          </w:p>
        </w:tc>
        <w:tc>
          <w:tcPr>
            <w:tcW w:w="3372" w:type="dxa"/>
          </w:tcPr>
          <w:p w14:paraId="1273E970" w14:textId="77777777" w:rsidR="00495B53" w:rsidRPr="00653129" w:rsidRDefault="00495B53"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szCs w:val="28"/>
              </w:rPr>
            </w:pPr>
            <w:r w:rsidRPr="00653129">
              <w:rPr>
                <w:rFonts w:ascii="Times New Roman" w:hAnsi="Times New Roman"/>
                <w:color w:val="000000" w:themeColor="text1"/>
                <w:sz w:val="28"/>
                <w:szCs w:val="28"/>
              </w:rPr>
              <w:t xml:space="preserve">        1 997 359 091,18</w:t>
            </w:r>
          </w:p>
        </w:tc>
      </w:tr>
    </w:tbl>
    <w:p w14:paraId="3DF885C1" w14:textId="77777777" w:rsidR="00495B53" w:rsidRPr="00481D71" w:rsidRDefault="00495B53" w:rsidP="00495B53">
      <w:pPr>
        <w:spacing w:after="0"/>
        <w:jc w:val="both"/>
        <w:rPr>
          <w:rFonts w:ascii="Times New Roman" w:hAnsi="Times New Roman"/>
          <w:color w:val="000000" w:themeColor="text1"/>
        </w:rPr>
      </w:pPr>
    </w:p>
    <w:p w14:paraId="02301FCC" w14:textId="77777777" w:rsidR="00495B53" w:rsidRPr="00200105" w:rsidRDefault="00495B53" w:rsidP="00200105">
      <w:pPr>
        <w:spacing w:after="0" w:line="276" w:lineRule="auto"/>
        <w:jc w:val="both"/>
        <w:rPr>
          <w:rFonts w:ascii="Times New Roman" w:hAnsi="Times New Roman"/>
          <w:color w:val="000000" w:themeColor="text1"/>
          <w:sz w:val="24"/>
          <w:szCs w:val="24"/>
        </w:rPr>
      </w:pPr>
      <w:r w:rsidRPr="00200105">
        <w:rPr>
          <w:rFonts w:ascii="Times New Roman" w:hAnsi="Times New Roman"/>
          <w:color w:val="000000" w:themeColor="text1"/>
          <w:sz w:val="24"/>
          <w:szCs w:val="24"/>
        </w:rPr>
        <w:t xml:space="preserve">Il ressort de ce tableau que seules les provinces du HAUT-UELE et du HAUT-KATANGA sont nommément citées comme bénéficiaires. Jusqu’à la publication du présent rapport, la BCC n’a toujours pas transmis la ventilation par province du montant de 1 002 609 782,80 </w:t>
      </w:r>
      <w:proofErr w:type="gramStart"/>
      <w:r w:rsidRPr="00200105">
        <w:rPr>
          <w:rFonts w:ascii="Times New Roman" w:hAnsi="Times New Roman"/>
          <w:color w:val="000000" w:themeColor="text1"/>
          <w:sz w:val="24"/>
          <w:szCs w:val="24"/>
        </w:rPr>
        <w:t>CDF .</w:t>
      </w:r>
      <w:proofErr w:type="gramEnd"/>
      <w:r w:rsidRPr="00200105">
        <w:rPr>
          <w:rFonts w:ascii="Times New Roman" w:hAnsi="Times New Roman"/>
          <w:color w:val="000000" w:themeColor="text1"/>
          <w:sz w:val="24"/>
          <w:szCs w:val="24"/>
        </w:rPr>
        <w:t xml:space="preserve"> </w:t>
      </w:r>
    </w:p>
    <w:p w14:paraId="0B40910E" w14:textId="77777777" w:rsidR="00495B53" w:rsidRPr="00200105" w:rsidRDefault="00495B53" w:rsidP="00200105">
      <w:pPr>
        <w:autoSpaceDE w:val="0"/>
        <w:autoSpaceDN w:val="0"/>
        <w:adjustRightInd w:val="0"/>
        <w:spacing w:line="276" w:lineRule="auto"/>
        <w:jc w:val="both"/>
        <w:rPr>
          <w:rFonts w:ascii="Times New Roman" w:hAnsi="Times New Roman"/>
          <w:sz w:val="24"/>
          <w:szCs w:val="24"/>
        </w:rPr>
      </w:pPr>
      <w:r w:rsidRPr="00200105">
        <w:rPr>
          <w:rFonts w:ascii="Times New Roman" w:hAnsi="Times New Roman"/>
          <w:sz w:val="24"/>
          <w:szCs w:val="24"/>
        </w:rPr>
        <w:t>Par ailleurs, nous avons rapproché le transfert dû au transfert communiqué par le Ministère des Finances et la BCC pour dégager l’écart entre le montant calculé à partir de la formule de partage de revenus et le montant réellement transféré par le Gouvernement . Le résultat est repris dans le tableau ci-après :</w:t>
      </w:r>
    </w:p>
    <w:tbl>
      <w:tblPr>
        <w:tblStyle w:val="TableauGrille1Clair1"/>
        <w:tblW w:w="9716" w:type="dxa"/>
        <w:tblLook w:val="04A0" w:firstRow="1" w:lastRow="0" w:firstColumn="1" w:lastColumn="0" w:noHBand="0" w:noVBand="1"/>
      </w:tblPr>
      <w:tblGrid>
        <w:gridCol w:w="2376"/>
        <w:gridCol w:w="2014"/>
        <w:gridCol w:w="1979"/>
        <w:gridCol w:w="1931"/>
        <w:gridCol w:w="1416"/>
      </w:tblGrid>
      <w:tr w:rsidR="00200105" w:rsidRPr="00200105" w14:paraId="27029DA2" w14:textId="77777777" w:rsidTr="00200105">
        <w:trPr>
          <w:cnfStyle w:val="100000000000" w:firstRow="1" w:lastRow="0" w:firstColumn="0" w:lastColumn="0" w:oddVBand="0" w:evenVBand="0" w:oddHBand="0"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2376" w:type="dxa"/>
            <w:noWrap/>
            <w:hideMark/>
          </w:tcPr>
          <w:p w14:paraId="4709858D" w14:textId="77777777" w:rsidR="00495B53" w:rsidRPr="00200105" w:rsidRDefault="00495B53" w:rsidP="00F000B0">
            <w:pPr>
              <w:rPr>
                <w:rFonts w:ascii="Times New Roman" w:eastAsia="Times New Roman" w:hAnsi="Times New Roman"/>
                <w:sz w:val="20"/>
                <w:szCs w:val="20"/>
                <w:lang w:eastAsia="fr-FR"/>
              </w:rPr>
            </w:pPr>
            <w:r w:rsidRPr="00200105">
              <w:rPr>
                <w:rFonts w:ascii="Times New Roman" w:eastAsia="Times New Roman" w:hAnsi="Times New Roman"/>
                <w:sz w:val="20"/>
                <w:szCs w:val="20"/>
                <w:lang w:eastAsia="fr-FR"/>
              </w:rPr>
              <w:t>Provinces</w:t>
            </w:r>
          </w:p>
        </w:tc>
        <w:tc>
          <w:tcPr>
            <w:tcW w:w="2014" w:type="dxa"/>
            <w:noWrap/>
            <w:hideMark/>
          </w:tcPr>
          <w:p w14:paraId="53555D49" w14:textId="77777777" w:rsidR="00495B53" w:rsidRPr="00200105" w:rsidRDefault="00495B53" w:rsidP="00F000B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r w:rsidRPr="00200105">
              <w:rPr>
                <w:rFonts w:ascii="Times New Roman" w:eastAsia="Times New Roman" w:hAnsi="Times New Roman"/>
                <w:sz w:val="20"/>
                <w:szCs w:val="20"/>
                <w:lang w:eastAsia="fr-FR"/>
              </w:rPr>
              <w:t>Redevance déclarée à l’ITIE (en USD)</w:t>
            </w:r>
          </w:p>
        </w:tc>
        <w:tc>
          <w:tcPr>
            <w:tcW w:w="1979" w:type="dxa"/>
            <w:hideMark/>
          </w:tcPr>
          <w:p w14:paraId="0CE899BB" w14:textId="77777777" w:rsidR="00495B53" w:rsidRPr="00200105" w:rsidRDefault="00495B53" w:rsidP="00F000B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r w:rsidRPr="00200105">
              <w:rPr>
                <w:rFonts w:ascii="Times New Roman" w:eastAsia="Times New Roman" w:hAnsi="Times New Roman"/>
                <w:sz w:val="20"/>
                <w:szCs w:val="20"/>
                <w:lang w:eastAsia="fr-FR"/>
              </w:rPr>
              <w:t>Rétrocession due (40%)</w:t>
            </w:r>
          </w:p>
        </w:tc>
        <w:tc>
          <w:tcPr>
            <w:tcW w:w="1931" w:type="dxa"/>
            <w:hideMark/>
          </w:tcPr>
          <w:p w14:paraId="525E571A" w14:textId="77777777" w:rsidR="00495B53" w:rsidRPr="00200105" w:rsidRDefault="00495B53" w:rsidP="00F000B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r w:rsidRPr="00200105">
              <w:rPr>
                <w:rFonts w:ascii="Times New Roman" w:eastAsia="Times New Roman" w:hAnsi="Times New Roman"/>
                <w:sz w:val="20"/>
                <w:szCs w:val="20"/>
                <w:lang w:eastAsia="fr-FR"/>
              </w:rPr>
              <w:t>Rétrocession effectuée par le Gouvernement (en USD)*</w:t>
            </w:r>
          </w:p>
        </w:tc>
        <w:tc>
          <w:tcPr>
            <w:tcW w:w="1416" w:type="dxa"/>
            <w:hideMark/>
          </w:tcPr>
          <w:p w14:paraId="084054D1" w14:textId="77777777" w:rsidR="00495B53" w:rsidRPr="00200105" w:rsidRDefault="00495B53" w:rsidP="00F000B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r w:rsidRPr="00200105">
              <w:rPr>
                <w:rFonts w:ascii="Times New Roman" w:eastAsia="Times New Roman" w:hAnsi="Times New Roman"/>
                <w:sz w:val="20"/>
                <w:szCs w:val="20"/>
                <w:lang w:eastAsia="fr-FR"/>
              </w:rPr>
              <w:t>Ecart</w:t>
            </w:r>
          </w:p>
        </w:tc>
      </w:tr>
      <w:tr w:rsidR="00200105" w:rsidRPr="00200105" w14:paraId="511BCD02" w14:textId="77777777" w:rsidTr="00200105">
        <w:trPr>
          <w:trHeight w:val="372"/>
        </w:trPr>
        <w:tc>
          <w:tcPr>
            <w:cnfStyle w:val="001000000000" w:firstRow="0" w:lastRow="0" w:firstColumn="1" w:lastColumn="0" w:oddVBand="0" w:evenVBand="0" w:oddHBand="0" w:evenHBand="0" w:firstRowFirstColumn="0" w:firstRowLastColumn="0" w:lastRowFirstColumn="0" w:lastRowLastColumn="0"/>
            <w:tcW w:w="2376" w:type="dxa"/>
            <w:noWrap/>
            <w:hideMark/>
          </w:tcPr>
          <w:p w14:paraId="2A66232C" w14:textId="77777777" w:rsidR="00495B53" w:rsidRPr="00200105" w:rsidRDefault="00495B53" w:rsidP="00F000B0">
            <w:pPr>
              <w:rPr>
                <w:rFonts w:ascii="Times New Roman" w:eastAsia="Times New Roman" w:hAnsi="Times New Roman"/>
                <w:color w:val="000000"/>
                <w:sz w:val="20"/>
                <w:szCs w:val="20"/>
                <w:lang w:eastAsia="fr-FR"/>
              </w:rPr>
            </w:pPr>
            <w:r w:rsidRPr="00200105">
              <w:rPr>
                <w:rFonts w:ascii="Times New Roman" w:eastAsia="Times New Roman" w:hAnsi="Times New Roman"/>
                <w:color w:val="000000"/>
                <w:sz w:val="20"/>
                <w:szCs w:val="20"/>
                <w:lang w:eastAsia="fr-FR"/>
              </w:rPr>
              <w:t>HAUT-UELE</w:t>
            </w:r>
          </w:p>
        </w:tc>
        <w:tc>
          <w:tcPr>
            <w:tcW w:w="2014" w:type="dxa"/>
            <w:noWrap/>
            <w:hideMark/>
          </w:tcPr>
          <w:p w14:paraId="2B60283A"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200105">
              <w:rPr>
                <w:rFonts w:cs="Calibri"/>
                <w:color w:val="000000"/>
                <w:sz w:val="20"/>
                <w:szCs w:val="20"/>
              </w:rPr>
              <w:t xml:space="preserve"> 20 002 251,63   </w:t>
            </w:r>
          </w:p>
        </w:tc>
        <w:tc>
          <w:tcPr>
            <w:tcW w:w="1979" w:type="dxa"/>
            <w:hideMark/>
          </w:tcPr>
          <w:p w14:paraId="22F3F95C"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200105">
              <w:rPr>
                <w:rFonts w:cs="Calibri"/>
                <w:color w:val="000000"/>
                <w:sz w:val="20"/>
                <w:szCs w:val="20"/>
              </w:rPr>
              <w:t xml:space="preserve"> 8 000 900,65   </w:t>
            </w:r>
          </w:p>
        </w:tc>
        <w:tc>
          <w:tcPr>
            <w:tcW w:w="1931" w:type="dxa"/>
            <w:noWrap/>
            <w:hideMark/>
          </w:tcPr>
          <w:p w14:paraId="04B2126C"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200105">
              <w:rPr>
                <w:rFonts w:ascii="Times New Roman" w:eastAsia="Times New Roman" w:hAnsi="Times New Roman"/>
                <w:color w:val="000000"/>
                <w:sz w:val="20"/>
                <w:szCs w:val="20"/>
                <w:lang w:eastAsia="fr-FR"/>
              </w:rPr>
              <w:t xml:space="preserve">         358 795,50   </w:t>
            </w:r>
          </w:p>
        </w:tc>
        <w:tc>
          <w:tcPr>
            <w:tcW w:w="1416" w:type="dxa"/>
            <w:hideMark/>
          </w:tcPr>
          <w:p w14:paraId="3E795E19"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200105">
              <w:rPr>
                <w:rFonts w:ascii="Times New Roman" w:eastAsia="Times New Roman" w:hAnsi="Times New Roman"/>
                <w:color w:val="000000"/>
                <w:sz w:val="20"/>
                <w:szCs w:val="20"/>
                <w:lang w:eastAsia="fr-FR"/>
              </w:rPr>
              <w:t xml:space="preserve">   7 642 105,15   </w:t>
            </w:r>
          </w:p>
        </w:tc>
      </w:tr>
      <w:tr w:rsidR="00495B53" w:rsidRPr="00200105" w14:paraId="46846A33" w14:textId="77777777" w:rsidTr="00200105">
        <w:trPr>
          <w:trHeight w:val="372"/>
        </w:trPr>
        <w:tc>
          <w:tcPr>
            <w:cnfStyle w:val="001000000000" w:firstRow="0" w:lastRow="0" w:firstColumn="1" w:lastColumn="0" w:oddVBand="0" w:evenVBand="0" w:oddHBand="0" w:evenHBand="0" w:firstRowFirstColumn="0" w:firstRowLastColumn="0" w:lastRowFirstColumn="0" w:lastRowLastColumn="0"/>
            <w:tcW w:w="2376" w:type="dxa"/>
            <w:noWrap/>
            <w:hideMark/>
          </w:tcPr>
          <w:p w14:paraId="32949D18" w14:textId="77777777" w:rsidR="00495B53" w:rsidRPr="00200105" w:rsidRDefault="00495B53" w:rsidP="00F000B0">
            <w:pPr>
              <w:rPr>
                <w:rFonts w:ascii="Times New Roman" w:eastAsia="Times New Roman" w:hAnsi="Times New Roman"/>
                <w:color w:val="000000"/>
                <w:sz w:val="20"/>
                <w:szCs w:val="20"/>
                <w:lang w:eastAsia="fr-FR"/>
              </w:rPr>
            </w:pPr>
            <w:r w:rsidRPr="00200105">
              <w:rPr>
                <w:rFonts w:ascii="Times New Roman" w:eastAsia="Times New Roman" w:hAnsi="Times New Roman"/>
                <w:color w:val="000000"/>
                <w:sz w:val="20"/>
                <w:szCs w:val="20"/>
                <w:lang w:eastAsia="fr-FR"/>
              </w:rPr>
              <w:t>HAUT-KATANGA &amp; LUALABA</w:t>
            </w:r>
          </w:p>
        </w:tc>
        <w:tc>
          <w:tcPr>
            <w:tcW w:w="2014" w:type="dxa"/>
            <w:noWrap/>
            <w:hideMark/>
          </w:tcPr>
          <w:p w14:paraId="0A5B739E"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200105">
              <w:rPr>
                <w:rFonts w:cs="Calibri"/>
                <w:color w:val="000000"/>
                <w:sz w:val="20"/>
                <w:szCs w:val="20"/>
              </w:rPr>
              <w:t xml:space="preserve"> 33 475 889,84   </w:t>
            </w:r>
          </w:p>
        </w:tc>
        <w:tc>
          <w:tcPr>
            <w:tcW w:w="1979" w:type="dxa"/>
            <w:hideMark/>
          </w:tcPr>
          <w:p w14:paraId="716F3C54"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200105">
              <w:rPr>
                <w:rFonts w:cs="Calibri"/>
                <w:color w:val="000000"/>
                <w:sz w:val="20"/>
                <w:szCs w:val="20"/>
              </w:rPr>
              <w:t xml:space="preserve">13 390 355,93   </w:t>
            </w:r>
          </w:p>
        </w:tc>
        <w:tc>
          <w:tcPr>
            <w:tcW w:w="1931" w:type="dxa"/>
            <w:noWrap/>
            <w:hideMark/>
          </w:tcPr>
          <w:p w14:paraId="536A4ABD"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200105">
              <w:rPr>
                <w:rFonts w:ascii="Times New Roman" w:eastAsia="Times New Roman" w:hAnsi="Times New Roman"/>
                <w:color w:val="000000"/>
                <w:sz w:val="20"/>
                <w:szCs w:val="20"/>
                <w:lang w:eastAsia="fr-FR"/>
              </w:rPr>
              <w:t>618 364,92</w:t>
            </w:r>
            <w:r w:rsidRPr="00200105">
              <w:rPr>
                <w:rFonts w:ascii="Times New Roman" w:eastAsia="Times New Roman" w:hAnsi="Times New Roman"/>
                <w:color w:val="000000"/>
                <w:sz w:val="20"/>
                <w:szCs w:val="20"/>
                <w:vertAlign w:val="superscript"/>
                <w:lang w:eastAsia="fr-FR"/>
              </w:rPr>
              <w:t>**</w:t>
            </w:r>
          </w:p>
        </w:tc>
        <w:tc>
          <w:tcPr>
            <w:tcW w:w="1416" w:type="dxa"/>
            <w:hideMark/>
          </w:tcPr>
          <w:p w14:paraId="2FC227FA"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200105">
              <w:rPr>
                <w:rFonts w:ascii="Times New Roman" w:eastAsia="Times New Roman" w:hAnsi="Times New Roman"/>
                <w:color w:val="000000"/>
                <w:sz w:val="20"/>
                <w:szCs w:val="20"/>
                <w:lang w:eastAsia="fr-FR"/>
              </w:rPr>
              <w:t>12 771 991,01 </w:t>
            </w:r>
          </w:p>
        </w:tc>
      </w:tr>
      <w:tr w:rsidR="00495B53" w:rsidRPr="00200105" w14:paraId="57E70651" w14:textId="77777777" w:rsidTr="00200105">
        <w:trPr>
          <w:trHeight w:val="300"/>
        </w:trPr>
        <w:tc>
          <w:tcPr>
            <w:cnfStyle w:val="001000000000" w:firstRow="0" w:lastRow="0" w:firstColumn="1" w:lastColumn="0" w:oddVBand="0" w:evenVBand="0" w:oddHBand="0" w:evenHBand="0" w:firstRowFirstColumn="0" w:firstRowLastColumn="0" w:lastRowFirstColumn="0" w:lastRowLastColumn="0"/>
            <w:tcW w:w="2376" w:type="dxa"/>
            <w:noWrap/>
            <w:hideMark/>
          </w:tcPr>
          <w:p w14:paraId="60EB1233" w14:textId="77777777" w:rsidR="00495B53" w:rsidRPr="00200105" w:rsidRDefault="00495B53" w:rsidP="00F000B0">
            <w:pPr>
              <w:rPr>
                <w:rFonts w:ascii="Times New Roman" w:eastAsia="Times New Roman" w:hAnsi="Times New Roman"/>
                <w:color w:val="000000"/>
                <w:sz w:val="20"/>
                <w:szCs w:val="20"/>
                <w:lang w:eastAsia="fr-FR"/>
              </w:rPr>
            </w:pPr>
            <w:r w:rsidRPr="00200105">
              <w:rPr>
                <w:rFonts w:ascii="Times New Roman" w:eastAsia="Times New Roman" w:hAnsi="Times New Roman"/>
                <w:color w:val="000000"/>
                <w:sz w:val="20"/>
                <w:szCs w:val="20"/>
                <w:lang w:eastAsia="fr-FR"/>
              </w:rPr>
              <w:t>KASAÏ-ORIENTAL</w:t>
            </w:r>
          </w:p>
        </w:tc>
        <w:tc>
          <w:tcPr>
            <w:tcW w:w="2014" w:type="dxa"/>
            <w:noWrap/>
            <w:hideMark/>
          </w:tcPr>
          <w:p w14:paraId="3526090B"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200105">
              <w:rPr>
                <w:rFonts w:cs="Calibri"/>
                <w:color w:val="000000"/>
                <w:sz w:val="20"/>
                <w:szCs w:val="20"/>
              </w:rPr>
              <w:t xml:space="preserve">2 316 633,51   </w:t>
            </w:r>
          </w:p>
        </w:tc>
        <w:tc>
          <w:tcPr>
            <w:tcW w:w="1979" w:type="dxa"/>
            <w:hideMark/>
          </w:tcPr>
          <w:p w14:paraId="0F35AEA9"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200105">
              <w:rPr>
                <w:rFonts w:cs="Calibri"/>
                <w:color w:val="000000"/>
                <w:sz w:val="20"/>
                <w:szCs w:val="20"/>
              </w:rPr>
              <w:t xml:space="preserve"> 926 653,40   </w:t>
            </w:r>
          </w:p>
        </w:tc>
        <w:tc>
          <w:tcPr>
            <w:tcW w:w="1931" w:type="dxa"/>
            <w:vMerge w:val="restart"/>
            <w:hideMark/>
          </w:tcPr>
          <w:p w14:paraId="197A3DB2"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200105">
              <w:rPr>
                <w:rFonts w:ascii="Times New Roman" w:eastAsia="Times New Roman" w:hAnsi="Times New Roman"/>
                <w:color w:val="000000"/>
                <w:sz w:val="20"/>
                <w:szCs w:val="20"/>
                <w:lang w:eastAsia="fr-FR"/>
              </w:rPr>
              <w:t>984 881,91</w:t>
            </w:r>
          </w:p>
        </w:tc>
        <w:tc>
          <w:tcPr>
            <w:tcW w:w="1416" w:type="dxa"/>
            <w:vMerge w:val="restart"/>
            <w:hideMark/>
          </w:tcPr>
          <w:p w14:paraId="019DA744"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200105">
              <w:rPr>
                <w:rFonts w:ascii="Times New Roman" w:eastAsia="Times New Roman" w:hAnsi="Times New Roman"/>
                <w:color w:val="000000"/>
                <w:sz w:val="20"/>
                <w:szCs w:val="20"/>
                <w:lang w:eastAsia="fr-FR"/>
              </w:rPr>
              <w:t> </w:t>
            </w:r>
          </w:p>
          <w:p w14:paraId="182687C4"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200105">
              <w:rPr>
                <w:rFonts w:ascii="Times New Roman" w:eastAsia="Times New Roman" w:hAnsi="Times New Roman"/>
                <w:color w:val="000000"/>
                <w:sz w:val="20"/>
                <w:szCs w:val="20"/>
                <w:lang w:eastAsia="fr-FR"/>
              </w:rPr>
              <w:t> </w:t>
            </w:r>
          </w:p>
          <w:p w14:paraId="19331631"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200105">
              <w:rPr>
                <w:rFonts w:ascii="Times New Roman" w:eastAsia="Times New Roman" w:hAnsi="Times New Roman"/>
                <w:color w:val="000000"/>
                <w:sz w:val="20"/>
                <w:szCs w:val="20"/>
                <w:lang w:eastAsia="fr-FR"/>
              </w:rPr>
              <w:t>17 778 641.3 </w:t>
            </w:r>
          </w:p>
        </w:tc>
      </w:tr>
      <w:tr w:rsidR="00495B53" w:rsidRPr="00200105" w14:paraId="646C65D6" w14:textId="77777777" w:rsidTr="00200105">
        <w:trPr>
          <w:trHeight w:val="300"/>
        </w:trPr>
        <w:tc>
          <w:tcPr>
            <w:cnfStyle w:val="001000000000" w:firstRow="0" w:lastRow="0" w:firstColumn="1" w:lastColumn="0" w:oddVBand="0" w:evenVBand="0" w:oddHBand="0" w:evenHBand="0" w:firstRowFirstColumn="0" w:firstRowLastColumn="0" w:lastRowFirstColumn="0" w:lastRowLastColumn="0"/>
            <w:tcW w:w="2376" w:type="dxa"/>
            <w:noWrap/>
            <w:hideMark/>
          </w:tcPr>
          <w:p w14:paraId="54EA2F92" w14:textId="77777777" w:rsidR="00495B53" w:rsidRPr="00200105" w:rsidRDefault="00495B53" w:rsidP="00F000B0">
            <w:pPr>
              <w:rPr>
                <w:rFonts w:ascii="Times New Roman" w:eastAsia="Times New Roman" w:hAnsi="Times New Roman"/>
                <w:color w:val="000000"/>
                <w:sz w:val="20"/>
                <w:szCs w:val="20"/>
                <w:lang w:eastAsia="fr-FR"/>
              </w:rPr>
            </w:pPr>
            <w:r w:rsidRPr="00200105">
              <w:rPr>
                <w:rFonts w:ascii="Times New Roman" w:eastAsia="Times New Roman" w:hAnsi="Times New Roman"/>
                <w:color w:val="000000"/>
                <w:sz w:val="20"/>
                <w:szCs w:val="20"/>
                <w:lang w:eastAsia="fr-FR"/>
              </w:rPr>
              <w:t>NORD-KIVU</w:t>
            </w:r>
          </w:p>
        </w:tc>
        <w:tc>
          <w:tcPr>
            <w:tcW w:w="2014" w:type="dxa"/>
            <w:noWrap/>
            <w:hideMark/>
          </w:tcPr>
          <w:p w14:paraId="372FE9FA"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200105">
              <w:rPr>
                <w:rFonts w:cs="Calibri"/>
                <w:color w:val="000000"/>
                <w:sz w:val="20"/>
                <w:szCs w:val="20"/>
              </w:rPr>
              <w:t xml:space="preserve">43 869 083,95   </w:t>
            </w:r>
          </w:p>
        </w:tc>
        <w:tc>
          <w:tcPr>
            <w:tcW w:w="1979" w:type="dxa"/>
            <w:hideMark/>
          </w:tcPr>
          <w:p w14:paraId="442FF1EA"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200105">
              <w:rPr>
                <w:rFonts w:cs="Calibri"/>
                <w:color w:val="000000"/>
                <w:sz w:val="20"/>
                <w:szCs w:val="20"/>
              </w:rPr>
              <w:t xml:space="preserve">17 547 633,58   </w:t>
            </w:r>
          </w:p>
        </w:tc>
        <w:tc>
          <w:tcPr>
            <w:tcW w:w="1931" w:type="dxa"/>
            <w:vMerge/>
            <w:hideMark/>
          </w:tcPr>
          <w:p w14:paraId="7E606C87" w14:textId="77777777" w:rsidR="00495B53" w:rsidRPr="00200105" w:rsidRDefault="00495B53"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p>
        </w:tc>
        <w:tc>
          <w:tcPr>
            <w:tcW w:w="1416" w:type="dxa"/>
            <w:vMerge/>
            <w:hideMark/>
          </w:tcPr>
          <w:p w14:paraId="54308508"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p>
        </w:tc>
      </w:tr>
      <w:tr w:rsidR="00495B53" w:rsidRPr="00200105" w14:paraId="5B8F7095" w14:textId="77777777" w:rsidTr="00200105">
        <w:trPr>
          <w:trHeight w:val="300"/>
        </w:trPr>
        <w:tc>
          <w:tcPr>
            <w:cnfStyle w:val="001000000000" w:firstRow="0" w:lastRow="0" w:firstColumn="1" w:lastColumn="0" w:oddVBand="0" w:evenVBand="0" w:oddHBand="0" w:evenHBand="0" w:firstRowFirstColumn="0" w:firstRowLastColumn="0" w:lastRowFirstColumn="0" w:lastRowLastColumn="0"/>
            <w:tcW w:w="2376" w:type="dxa"/>
            <w:noWrap/>
            <w:hideMark/>
          </w:tcPr>
          <w:p w14:paraId="2D8BAC18" w14:textId="77777777" w:rsidR="00495B53" w:rsidRPr="00200105" w:rsidRDefault="00495B53" w:rsidP="00F000B0">
            <w:pPr>
              <w:rPr>
                <w:rFonts w:ascii="Times New Roman" w:eastAsia="Times New Roman" w:hAnsi="Times New Roman"/>
                <w:color w:val="000000"/>
                <w:sz w:val="20"/>
                <w:szCs w:val="20"/>
                <w:lang w:eastAsia="fr-FR"/>
              </w:rPr>
            </w:pPr>
            <w:r w:rsidRPr="00200105">
              <w:rPr>
                <w:rFonts w:ascii="Times New Roman" w:eastAsia="Times New Roman" w:hAnsi="Times New Roman"/>
                <w:color w:val="000000"/>
                <w:sz w:val="20"/>
                <w:szCs w:val="20"/>
                <w:lang w:eastAsia="fr-FR"/>
              </w:rPr>
              <w:t>TANGANYKA</w:t>
            </w:r>
          </w:p>
        </w:tc>
        <w:tc>
          <w:tcPr>
            <w:tcW w:w="2014" w:type="dxa"/>
            <w:noWrap/>
            <w:hideMark/>
          </w:tcPr>
          <w:p w14:paraId="6255D707"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200105">
              <w:rPr>
                <w:rFonts w:cs="Calibri"/>
                <w:color w:val="000000"/>
                <w:sz w:val="20"/>
                <w:szCs w:val="20"/>
              </w:rPr>
              <w:t xml:space="preserve"> 723 090,58   </w:t>
            </w:r>
          </w:p>
        </w:tc>
        <w:tc>
          <w:tcPr>
            <w:tcW w:w="1979" w:type="dxa"/>
            <w:hideMark/>
          </w:tcPr>
          <w:p w14:paraId="12271E3C"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200105">
              <w:rPr>
                <w:rFonts w:cs="Calibri"/>
                <w:color w:val="000000"/>
                <w:sz w:val="20"/>
                <w:szCs w:val="20"/>
              </w:rPr>
              <w:t xml:space="preserve"> 289 236,23   </w:t>
            </w:r>
          </w:p>
        </w:tc>
        <w:tc>
          <w:tcPr>
            <w:tcW w:w="1931" w:type="dxa"/>
            <w:vMerge/>
            <w:hideMark/>
          </w:tcPr>
          <w:p w14:paraId="01BF8C7D" w14:textId="77777777" w:rsidR="00495B53" w:rsidRPr="00200105" w:rsidRDefault="00495B53"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p>
        </w:tc>
        <w:tc>
          <w:tcPr>
            <w:tcW w:w="1416" w:type="dxa"/>
            <w:vMerge/>
            <w:hideMark/>
          </w:tcPr>
          <w:p w14:paraId="2C7D3CBA"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p>
        </w:tc>
      </w:tr>
      <w:tr w:rsidR="00200105" w:rsidRPr="00200105" w14:paraId="5EE2F0D6" w14:textId="77777777" w:rsidTr="00200105">
        <w:trPr>
          <w:trHeight w:val="300"/>
        </w:trPr>
        <w:tc>
          <w:tcPr>
            <w:cnfStyle w:val="001000000000" w:firstRow="0" w:lastRow="0" w:firstColumn="1" w:lastColumn="0" w:oddVBand="0" w:evenVBand="0" w:oddHBand="0" w:evenHBand="0" w:firstRowFirstColumn="0" w:firstRowLastColumn="0" w:lastRowFirstColumn="0" w:lastRowLastColumn="0"/>
            <w:tcW w:w="2376" w:type="dxa"/>
            <w:noWrap/>
            <w:hideMark/>
          </w:tcPr>
          <w:p w14:paraId="28DED9C6" w14:textId="77777777" w:rsidR="00495B53" w:rsidRPr="00200105" w:rsidRDefault="00495B53" w:rsidP="00F000B0">
            <w:pPr>
              <w:rPr>
                <w:rFonts w:ascii="Times New Roman" w:eastAsia="Times New Roman" w:hAnsi="Times New Roman"/>
                <w:color w:val="000000"/>
                <w:sz w:val="20"/>
                <w:szCs w:val="20"/>
                <w:lang w:eastAsia="fr-FR"/>
              </w:rPr>
            </w:pPr>
            <w:r w:rsidRPr="00200105">
              <w:rPr>
                <w:rFonts w:ascii="Times New Roman" w:eastAsia="Times New Roman" w:hAnsi="Times New Roman"/>
                <w:color w:val="000000"/>
                <w:sz w:val="20"/>
                <w:szCs w:val="20"/>
                <w:lang w:eastAsia="fr-FR"/>
              </w:rPr>
              <w:t>Total général</w:t>
            </w:r>
          </w:p>
        </w:tc>
        <w:tc>
          <w:tcPr>
            <w:tcW w:w="2014" w:type="dxa"/>
            <w:noWrap/>
            <w:hideMark/>
          </w:tcPr>
          <w:p w14:paraId="08554C03"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200105">
              <w:rPr>
                <w:rFonts w:cs="Calibri"/>
                <w:color w:val="000000"/>
                <w:sz w:val="20"/>
                <w:szCs w:val="20"/>
              </w:rPr>
              <w:t>100 386 949,51</w:t>
            </w:r>
          </w:p>
        </w:tc>
        <w:tc>
          <w:tcPr>
            <w:tcW w:w="1979" w:type="dxa"/>
            <w:hideMark/>
          </w:tcPr>
          <w:p w14:paraId="4B51C2B7"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200105">
              <w:rPr>
                <w:rFonts w:cs="Calibri"/>
                <w:color w:val="000000"/>
                <w:sz w:val="20"/>
                <w:szCs w:val="20"/>
              </w:rPr>
              <w:t xml:space="preserve">40 154 779,79   </w:t>
            </w:r>
          </w:p>
        </w:tc>
        <w:tc>
          <w:tcPr>
            <w:tcW w:w="1931" w:type="dxa"/>
            <w:hideMark/>
          </w:tcPr>
          <w:p w14:paraId="1AA7C617"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200105">
              <w:rPr>
                <w:rFonts w:ascii="Times New Roman" w:eastAsia="Times New Roman" w:hAnsi="Times New Roman"/>
                <w:color w:val="000000"/>
                <w:sz w:val="20"/>
                <w:szCs w:val="20"/>
                <w:lang w:eastAsia="fr-FR"/>
              </w:rPr>
              <w:t xml:space="preserve">            1 962 042,33   </w:t>
            </w:r>
          </w:p>
        </w:tc>
        <w:tc>
          <w:tcPr>
            <w:tcW w:w="1416" w:type="dxa"/>
            <w:hideMark/>
          </w:tcPr>
          <w:p w14:paraId="31673181"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200105">
              <w:rPr>
                <w:rFonts w:ascii="Times New Roman" w:eastAsia="Times New Roman" w:hAnsi="Times New Roman"/>
                <w:color w:val="000000"/>
                <w:sz w:val="20"/>
                <w:szCs w:val="20"/>
                <w:lang w:eastAsia="fr-FR"/>
              </w:rPr>
              <w:t xml:space="preserve"> 38 192 737,46   </w:t>
            </w:r>
          </w:p>
        </w:tc>
      </w:tr>
    </w:tbl>
    <w:p w14:paraId="433E2CD1" w14:textId="77777777" w:rsidR="00495B53" w:rsidRPr="00200105" w:rsidRDefault="00495B53" w:rsidP="00495B53">
      <w:pPr>
        <w:autoSpaceDE w:val="0"/>
        <w:autoSpaceDN w:val="0"/>
        <w:adjustRightInd w:val="0"/>
        <w:spacing w:after="0" w:line="240" w:lineRule="auto"/>
        <w:jc w:val="both"/>
        <w:rPr>
          <w:rFonts w:ascii="Times New Roman" w:hAnsi="Times New Roman"/>
          <w:b/>
          <w:i/>
          <w:color w:val="404040" w:themeColor="text1" w:themeTint="BF"/>
          <w:sz w:val="18"/>
          <w:szCs w:val="18"/>
        </w:rPr>
      </w:pPr>
      <w:r w:rsidRPr="00200105">
        <w:rPr>
          <w:rFonts w:ascii="Times New Roman" w:hAnsi="Times New Roman"/>
          <w:b/>
          <w:i/>
          <w:color w:val="404040" w:themeColor="text1" w:themeTint="BF"/>
          <w:sz w:val="18"/>
          <w:szCs w:val="18"/>
        </w:rPr>
        <w:t>* taux moyen appliqué : 1018fc/1usdL</w:t>
      </w:r>
    </w:p>
    <w:p w14:paraId="434A170E" w14:textId="77777777" w:rsidR="00495B53" w:rsidRPr="00200105" w:rsidRDefault="00495B53" w:rsidP="00495B53">
      <w:pPr>
        <w:autoSpaceDE w:val="0"/>
        <w:autoSpaceDN w:val="0"/>
        <w:adjustRightInd w:val="0"/>
        <w:spacing w:after="0" w:line="240" w:lineRule="auto"/>
        <w:jc w:val="both"/>
        <w:rPr>
          <w:rFonts w:ascii="Times New Roman" w:hAnsi="Times New Roman"/>
          <w:b/>
          <w:i/>
          <w:color w:val="404040" w:themeColor="text1" w:themeTint="BF"/>
          <w:sz w:val="18"/>
          <w:szCs w:val="18"/>
        </w:rPr>
      </w:pPr>
      <w:r w:rsidRPr="00200105">
        <w:rPr>
          <w:rFonts w:ascii="Times New Roman" w:hAnsi="Times New Roman"/>
          <w:b/>
          <w:i/>
          <w:color w:val="404040" w:themeColor="text1" w:themeTint="BF"/>
          <w:sz w:val="18"/>
          <w:szCs w:val="18"/>
        </w:rPr>
        <w:t>** rétrocession reçue par le HAUT-KATANGA</w:t>
      </w:r>
    </w:p>
    <w:p w14:paraId="0C6358B8" w14:textId="77777777" w:rsidR="00200105" w:rsidRPr="00200105" w:rsidRDefault="00200105" w:rsidP="00495B53">
      <w:pPr>
        <w:autoSpaceDE w:val="0"/>
        <w:autoSpaceDN w:val="0"/>
        <w:adjustRightInd w:val="0"/>
        <w:spacing w:after="0" w:line="240" w:lineRule="auto"/>
        <w:jc w:val="both"/>
        <w:rPr>
          <w:rFonts w:ascii="Times New Roman" w:hAnsi="Times New Roman"/>
          <w:b/>
          <w:bCs/>
          <w:i/>
          <w:color w:val="404040" w:themeColor="text1" w:themeTint="BF"/>
        </w:rPr>
      </w:pPr>
    </w:p>
    <w:p w14:paraId="5A4F3C25" w14:textId="77777777" w:rsidR="00495B53" w:rsidRDefault="00495B53" w:rsidP="00495B53">
      <w:pPr>
        <w:pStyle w:val="Paragraphedeliste"/>
        <w:spacing w:after="0"/>
        <w:ind w:left="0"/>
        <w:jc w:val="both"/>
        <w:rPr>
          <w:rFonts w:ascii="Times New Roman" w:hAnsi="Times New Roman" w:cs="Times New Roman"/>
          <w:sz w:val="24"/>
          <w:szCs w:val="24"/>
        </w:rPr>
      </w:pPr>
      <w:r>
        <w:rPr>
          <w:rFonts w:ascii="Times New Roman" w:hAnsi="Times New Roman" w:cs="Times New Roman"/>
          <w:sz w:val="24"/>
          <w:szCs w:val="24"/>
        </w:rPr>
        <w:t>L</w:t>
      </w:r>
      <w:r w:rsidRPr="00481D71">
        <w:rPr>
          <w:rFonts w:ascii="Times New Roman" w:hAnsi="Times New Roman" w:cs="Times New Roman"/>
          <w:sz w:val="24"/>
          <w:szCs w:val="24"/>
        </w:rPr>
        <w:t xml:space="preserve">a rétrocession reçue par les provinces ne représente que </w:t>
      </w:r>
      <w:r>
        <w:rPr>
          <w:rFonts w:ascii="Times New Roman" w:hAnsi="Times New Roman" w:cs="Times New Roman"/>
          <w:sz w:val="24"/>
          <w:szCs w:val="24"/>
        </w:rPr>
        <w:t xml:space="preserve">4,9 </w:t>
      </w:r>
      <w:r w:rsidRPr="00481D71">
        <w:rPr>
          <w:rFonts w:ascii="Times New Roman" w:hAnsi="Times New Roman" w:cs="Times New Roman"/>
          <w:sz w:val="24"/>
          <w:szCs w:val="24"/>
        </w:rPr>
        <w:t xml:space="preserve">% de la rétrocession attendue, soit un manque à gagner de </w:t>
      </w:r>
      <w:r>
        <w:rPr>
          <w:rFonts w:ascii="Times New Roman" w:hAnsi="Times New Roman" w:cs="Times New Roman"/>
          <w:sz w:val="24"/>
          <w:szCs w:val="24"/>
        </w:rPr>
        <w:t>38</w:t>
      </w:r>
      <w:r w:rsidRPr="00481D71">
        <w:rPr>
          <w:rFonts w:ascii="Times New Roman" w:hAnsi="Times New Roman" w:cs="Times New Roman"/>
          <w:sz w:val="24"/>
          <w:szCs w:val="24"/>
        </w:rPr>
        <w:t>.</w:t>
      </w:r>
      <w:r>
        <w:rPr>
          <w:rFonts w:ascii="Times New Roman" w:hAnsi="Times New Roman" w:cs="Times New Roman"/>
          <w:sz w:val="24"/>
          <w:szCs w:val="24"/>
        </w:rPr>
        <w:t>19</w:t>
      </w:r>
      <w:r w:rsidRPr="00481D71">
        <w:rPr>
          <w:rFonts w:ascii="Times New Roman" w:hAnsi="Times New Roman" w:cs="Times New Roman"/>
          <w:sz w:val="24"/>
          <w:szCs w:val="24"/>
        </w:rPr>
        <w:t xml:space="preserve"> millions</w:t>
      </w:r>
      <w:r w:rsidR="00200105">
        <w:rPr>
          <w:rFonts w:ascii="Times New Roman" w:hAnsi="Times New Roman" w:cs="Times New Roman"/>
          <w:sz w:val="24"/>
          <w:szCs w:val="24"/>
        </w:rPr>
        <w:t xml:space="preserve"> </w:t>
      </w:r>
      <w:r w:rsidR="00200105" w:rsidRPr="00481D71">
        <w:rPr>
          <w:rFonts w:ascii="Times New Roman" w:hAnsi="Times New Roman" w:cs="Times New Roman"/>
          <w:sz w:val="24"/>
          <w:szCs w:val="24"/>
        </w:rPr>
        <w:t>USD</w:t>
      </w:r>
      <w:r w:rsidRPr="00481D71">
        <w:rPr>
          <w:rFonts w:ascii="Times New Roman" w:hAnsi="Times New Roman" w:cs="Times New Roman"/>
          <w:sz w:val="24"/>
          <w:szCs w:val="24"/>
        </w:rPr>
        <w:t xml:space="preserve"> pour les provinces. </w:t>
      </w:r>
    </w:p>
    <w:p w14:paraId="2CC34536" w14:textId="77777777" w:rsidR="00495B53" w:rsidRDefault="00495B53" w:rsidP="00495B53">
      <w:pPr>
        <w:pStyle w:val="Paragraphedeliste"/>
        <w:spacing w:after="0"/>
        <w:ind w:left="0"/>
        <w:jc w:val="both"/>
        <w:rPr>
          <w:rFonts w:ascii="Times New Roman" w:hAnsi="Times New Roman" w:cs="Times New Roman"/>
          <w:bCs/>
          <w:sz w:val="24"/>
          <w:szCs w:val="24"/>
        </w:rPr>
      </w:pPr>
    </w:p>
    <w:p w14:paraId="5A43066D" w14:textId="77777777" w:rsidR="00495B53" w:rsidRPr="00481D71" w:rsidRDefault="00495B53" w:rsidP="00495B53">
      <w:pPr>
        <w:pStyle w:val="Paragraphedeliste"/>
        <w:spacing w:after="0"/>
        <w:ind w:left="0"/>
        <w:jc w:val="both"/>
        <w:rPr>
          <w:rFonts w:ascii="Times New Roman" w:hAnsi="Times New Roman" w:cs="Times New Roman"/>
          <w:bCs/>
          <w:sz w:val="24"/>
          <w:szCs w:val="24"/>
        </w:rPr>
      </w:pPr>
      <w:r>
        <w:rPr>
          <w:rFonts w:ascii="Times New Roman" w:hAnsi="Times New Roman" w:cs="Times New Roman"/>
          <w:bCs/>
          <w:sz w:val="24"/>
          <w:szCs w:val="24"/>
        </w:rPr>
        <w:t xml:space="preserve">En 2015, le Gouvernement avait transféré à la province du KATANGA un montant forfaitaire de 9 174 328 USD au titre de la rétrocession sur la redevance minière. Contre toute attente, en 2016, pour l’ensemble des provinces bénéficiaires, le montant total transféré ne s’élève qu’à </w:t>
      </w:r>
      <w:r>
        <w:rPr>
          <w:rFonts w:ascii="Times New Roman" w:eastAsia="Times New Roman" w:hAnsi="Times New Roman" w:cs="Times New Roman"/>
          <w:color w:val="000000"/>
          <w:lang w:eastAsia="fr-FR"/>
        </w:rPr>
        <w:t>1 962 042,33 USD.</w:t>
      </w:r>
    </w:p>
    <w:p w14:paraId="585A6D52" w14:textId="77777777" w:rsidR="00495B53" w:rsidRPr="00481D71" w:rsidRDefault="00495B53" w:rsidP="00495B53">
      <w:pPr>
        <w:pStyle w:val="Paragraphedeliste"/>
        <w:spacing w:after="0"/>
        <w:jc w:val="both"/>
        <w:rPr>
          <w:rFonts w:ascii="Times New Roman" w:hAnsi="Times New Roman" w:cs="Times New Roman"/>
          <w:bCs/>
          <w:sz w:val="24"/>
          <w:szCs w:val="24"/>
        </w:rPr>
      </w:pPr>
    </w:p>
    <w:p w14:paraId="2020C7F2" w14:textId="77777777" w:rsidR="00495B53" w:rsidRPr="00481D71" w:rsidRDefault="00495B53" w:rsidP="00200105">
      <w:pPr>
        <w:autoSpaceDE w:val="0"/>
        <w:autoSpaceDN w:val="0"/>
        <w:adjustRightInd w:val="0"/>
        <w:spacing w:after="0" w:line="276" w:lineRule="auto"/>
        <w:jc w:val="both"/>
        <w:rPr>
          <w:rFonts w:ascii="Times New Roman" w:hAnsi="Times New Roman"/>
          <w:color w:val="FF0000"/>
          <w:szCs w:val="20"/>
        </w:rPr>
      </w:pPr>
      <w:r w:rsidRPr="00481D71">
        <w:rPr>
          <w:rFonts w:ascii="Times New Roman" w:hAnsi="Times New Roman"/>
          <w:sz w:val="24"/>
          <w:szCs w:val="24"/>
        </w:rPr>
        <w:t xml:space="preserve">En </w:t>
      </w:r>
      <w:r>
        <w:rPr>
          <w:rFonts w:ascii="Times New Roman" w:hAnsi="Times New Roman"/>
          <w:sz w:val="24"/>
          <w:szCs w:val="24"/>
        </w:rPr>
        <w:t xml:space="preserve">juillet </w:t>
      </w:r>
      <w:r w:rsidRPr="00481D71">
        <w:rPr>
          <w:rFonts w:ascii="Times New Roman" w:hAnsi="Times New Roman"/>
          <w:sz w:val="24"/>
          <w:szCs w:val="24"/>
        </w:rPr>
        <w:t xml:space="preserve">2016, dans le but de répondre aux recommandations de l’Administrateur Indépendant, le Comité Exécutif avait chargé un Consultant pour mener une étude afin de ressortir les raisons qui font que le Gouvernement central ne rétrocède pas ou presque pas les quotités légales de la redevance </w:t>
      </w:r>
      <w:r w:rsidRPr="00481D71">
        <w:rPr>
          <w:rFonts w:ascii="Times New Roman" w:hAnsi="Times New Roman"/>
          <w:sz w:val="24"/>
          <w:szCs w:val="24"/>
        </w:rPr>
        <w:lastRenderedPageBreak/>
        <w:t>minière aux provinces et aux ETD</w:t>
      </w:r>
      <w:r>
        <w:rPr>
          <w:rFonts w:ascii="Times New Roman" w:hAnsi="Times New Roman"/>
          <w:sz w:val="24"/>
          <w:szCs w:val="24"/>
        </w:rPr>
        <w:t>,</w:t>
      </w:r>
      <w:r w:rsidRPr="00481D71">
        <w:rPr>
          <w:rFonts w:ascii="Times New Roman" w:hAnsi="Times New Roman"/>
          <w:sz w:val="24"/>
          <w:szCs w:val="24"/>
        </w:rPr>
        <w:t xml:space="preserve"> et de proposer des solutions idoines comme la Norme l’exige. </w:t>
      </w:r>
      <w:r>
        <w:rPr>
          <w:rFonts w:ascii="Times New Roman" w:hAnsi="Times New Roman"/>
          <w:sz w:val="24"/>
          <w:szCs w:val="24"/>
        </w:rPr>
        <w:t xml:space="preserve">Le Rapport du Consultant n’est pas encore validé par le GMP. </w:t>
      </w:r>
    </w:p>
    <w:p w14:paraId="24A34AA2" w14:textId="6671B285" w:rsidR="00A13312" w:rsidRDefault="00A13312">
      <w:r>
        <w:rPr>
          <w:noProof/>
          <w:lang w:eastAsia="fr-FR"/>
        </w:rPr>
        <mc:AlternateContent>
          <mc:Choice Requires="wps">
            <w:drawing>
              <wp:anchor distT="0" distB="0" distL="114300" distR="114300" simplePos="0" relativeHeight="251663360" behindDoc="0" locked="0" layoutInCell="1" allowOverlap="1" wp14:anchorId="32DA87D0" wp14:editId="68750B5F">
                <wp:simplePos x="0" y="0"/>
                <wp:positionH relativeFrom="column">
                  <wp:posOffset>43180</wp:posOffset>
                </wp:positionH>
                <wp:positionV relativeFrom="paragraph">
                  <wp:posOffset>162560</wp:posOffset>
                </wp:positionV>
                <wp:extent cx="6229350" cy="1019175"/>
                <wp:effectExtent l="0" t="0" r="19050" b="28575"/>
                <wp:wrapNone/>
                <wp:docPr id="15" name="Zone de texte 15"/>
                <wp:cNvGraphicFramePr/>
                <a:graphic xmlns:a="http://schemas.openxmlformats.org/drawingml/2006/main">
                  <a:graphicData uri="http://schemas.microsoft.com/office/word/2010/wordprocessingShape">
                    <wps:wsp>
                      <wps:cNvSpPr txBox="1"/>
                      <wps:spPr>
                        <a:xfrm>
                          <a:off x="0" y="0"/>
                          <a:ext cx="6229350" cy="1019175"/>
                        </a:xfrm>
                        <a:prstGeom prst="rect">
                          <a:avLst/>
                        </a:prstGeom>
                        <a:solidFill>
                          <a:schemeClr val="accent1">
                            <a:lumMod val="20000"/>
                            <a:lumOff val="80000"/>
                          </a:schemeClr>
                        </a:solidFill>
                        <a:ln w="6350">
                          <a:solidFill>
                            <a:schemeClr val="accent1">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2E64502C" w14:textId="70F1B6E5" w:rsidR="00E357DF" w:rsidRPr="00A13312" w:rsidRDefault="00E357DF" w:rsidP="00A13312">
                            <w:pPr>
                              <w:pStyle w:val="Paragraphedeliste"/>
                              <w:spacing w:after="0" w:line="360" w:lineRule="auto"/>
                              <w:ind w:left="0"/>
                              <w:rPr>
                                <w:rFonts w:ascii="Times New Roman" w:eastAsia="Times New Roman" w:hAnsi="Times New Roman" w:cs="Times New Roman"/>
                                <w:b/>
                                <w:color w:val="1F3864" w:themeColor="accent5" w:themeShade="80"/>
                                <w:sz w:val="24"/>
                                <w:szCs w:val="24"/>
                                <w:u w:val="single"/>
                                <w:lang w:eastAsia="fr-FR"/>
                              </w:rPr>
                            </w:pPr>
                            <w:r w:rsidRPr="00A13312">
                              <w:rPr>
                                <w:rFonts w:ascii="Times New Roman" w:eastAsia="Times New Roman" w:hAnsi="Times New Roman" w:cs="Times New Roman"/>
                                <w:b/>
                                <w:color w:val="1F3864" w:themeColor="accent5" w:themeShade="80"/>
                                <w:sz w:val="24"/>
                                <w:szCs w:val="24"/>
                                <w:u w:val="single"/>
                                <w:lang w:eastAsia="fr-FR"/>
                              </w:rPr>
                              <w:t>Recommandation</w:t>
                            </w:r>
                            <w:r w:rsidRPr="00D256CC">
                              <w:rPr>
                                <w:rFonts w:ascii="Times New Roman" w:eastAsia="Times New Roman" w:hAnsi="Times New Roman" w:cs="Times New Roman"/>
                                <w:b/>
                                <w:color w:val="1F3864" w:themeColor="accent5" w:themeShade="80"/>
                                <w:sz w:val="24"/>
                                <w:szCs w:val="24"/>
                                <w:lang w:eastAsia="fr-FR"/>
                              </w:rPr>
                              <w:t xml:space="preserve"> </w:t>
                            </w:r>
                            <w:r>
                              <w:rPr>
                                <w:rFonts w:ascii="Times New Roman" w:hAnsi="Times New Roman"/>
                                <w:b/>
                                <w:color w:val="44546A" w:themeColor="text2"/>
                                <w:sz w:val="24"/>
                                <w:szCs w:val="24"/>
                              </w:rPr>
                              <w:t xml:space="preserve">: </w:t>
                            </w:r>
                            <w:r w:rsidRPr="00F32693">
                              <w:rPr>
                                <w:rFonts w:ascii="Times New Roman" w:hAnsi="Times New Roman"/>
                                <w:i/>
                                <w:color w:val="44546A" w:themeColor="text2"/>
                                <w:sz w:val="24"/>
                                <w:szCs w:val="24"/>
                              </w:rPr>
                              <w:t>(</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p>
                          <w:p w14:paraId="2B1469AB" w14:textId="77777777" w:rsidR="00E357DF" w:rsidRPr="00A13312" w:rsidRDefault="00E357DF" w:rsidP="00A13312">
                            <w:pPr>
                              <w:pStyle w:val="Paragraphedeliste"/>
                              <w:spacing w:after="0" w:line="360" w:lineRule="auto"/>
                              <w:ind w:left="0"/>
                              <w:rPr>
                                <w:rFonts w:ascii="Times New Roman" w:eastAsia="Times New Roman" w:hAnsi="Times New Roman" w:cs="Times New Roman"/>
                                <w:b/>
                                <w:color w:val="262626" w:themeColor="text1" w:themeTint="D9"/>
                                <w:sz w:val="24"/>
                                <w:szCs w:val="24"/>
                                <w:lang w:eastAsia="fr-FR"/>
                              </w:rPr>
                            </w:pPr>
                            <w:r w:rsidRPr="00A13312">
                              <w:rPr>
                                <w:rFonts w:ascii="Times New Roman" w:eastAsia="Times New Roman" w:hAnsi="Times New Roman" w:cs="Times New Roman"/>
                                <w:b/>
                                <w:color w:val="262626" w:themeColor="text1" w:themeTint="D9"/>
                                <w:sz w:val="24"/>
                                <w:szCs w:val="24"/>
                                <w:lang w:eastAsia="fr-FR"/>
                              </w:rPr>
                              <w:t>Aux Gouvernements Provinciaux de :</w:t>
                            </w:r>
                          </w:p>
                          <w:p w14:paraId="67CFEA81" w14:textId="67839530" w:rsidR="00E357DF" w:rsidRPr="00A13312" w:rsidRDefault="00E357DF" w:rsidP="00A13312">
                            <w:pPr>
                              <w:pStyle w:val="Paragraphedeliste"/>
                              <w:spacing w:after="0" w:line="240" w:lineRule="auto"/>
                              <w:ind w:left="0"/>
                              <w:rPr>
                                <w:rFonts w:ascii="Times New Roman" w:eastAsia="Times New Roman" w:hAnsi="Times New Roman" w:cs="Times New Roman"/>
                                <w:color w:val="262626" w:themeColor="text1" w:themeTint="D9"/>
                                <w:sz w:val="24"/>
                                <w:szCs w:val="24"/>
                                <w:lang w:eastAsia="fr-FR"/>
                              </w:rPr>
                            </w:pPr>
                            <w:r w:rsidRPr="00A13312">
                              <w:rPr>
                                <w:rFonts w:ascii="Times New Roman" w:eastAsia="Times New Roman" w:hAnsi="Times New Roman" w:cs="Times New Roman"/>
                                <w:color w:val="262626" w:themeColor="text1" w:themeTint="D9"/>
                                <w:sz w:val="24"/>
                                <w:szCs w:val="24"/>
                                <w:lang w:eastAsia="fr-FR"/>
                              </w:rPr>
                              <w:t>Transférer effectivement aux ETD, la quote-part de la redevance minière qui leur est due, conformément à la clé de répartition prévue par l’article 242 du Code minier</w:t>
                            </w:r>
                            <w:r>
                              <w:rPr>
                                <w:rFonts w:ascii="Times New Roman" w:eastAsia="Times New Roman" w:hAnsi="Times New Roman" w:cs="Times New Roman"/>
                                <w:color w:val="262626" w:themeColor="text1" w:themeTint="D9"/>
                                <w:sz w:val="24"/>
                                <w:szCs w:val="24"/>
                                <w:lang w:eastAsia="fr-FR"/>
                              </w:rPr>
                              <w:t>.</w:t>
                            </w:r>
                          </w:p>
                          <w:p w14:paraId="2DBF40FB" w14:textId="77777777" w:rsidR="00E357DF" w:rsidRDefault="00E357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DA87D0" id="Zone de texte 15" o:spid="_x0000_s1033" type="#_x0000_t202" style="position:absolute;margin-left:3.4pt;margin-top:12.8pt;width:490.5pt;height:80.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" fillcolor="#deeaf6 [660]" strokecolor="#deeaf6 [660]" strokeweight=".5pt">
                <v:textbox>
                  <w:txbxContent>
                    <w:p w14:paraId="2E64502C" w14:textId="70F1B6E5" w:rsidR="00E357DF" w:rsidRPr="00A13312" w:rsidRDefault="00E357DF" w:rsidP="00A13312">
                      <w:pPr>
                        <w:pStyle w:val="Paragraphedeliste"/>
                        <w:spacing w:after="0" w:line="360" w:lineRule="auto"/>
                        <w:ind w:left="0"/>
                        <w:rPr>
                          <w:rFonts w:ascii="Times New Roman" w:eastAsia="Times New Roman" w:hAnsi="Times New Roman" w:cs="Times New Roman"/>
                          <w:b/>
                          <w:color w:val="1F3864" w:themeColor="accent5" w:themeShade="80"/>
                          <w:sz w:val="24"/>
                          <w:szCs w:val="24"/>
                          <w:u w:val="single"/>
                          <w:lang w:eastAsia="fr-FR"/>
                        </w:rPr>
                      </w:pPr>
                      <w:r w:rsidRPr="00A13312">
                        <w:rPr>
                          <w:rFonts w:ascii="Times New Roman" w:eastAsia="Times New Roman" w:hAnsi="Times New Roman" w:cs="Times New Roman"/>
                          <w:b/>
                          <w:color w:val="1F3864" w:themeColor="accent5" w:themeShade="80"/>
                          <w:sz w:val="24"/>
                          <w:szCs w:val="24"/>
                          <w:u w:val="single"/>
                          <w:lang w:eastAsia="fr-FR"/>
                        </w:rPr>
                        <w:t>Recommandation</w:t>
                      </w:r>
                      <w:r w:rsidRPr="00D256CC">
                        <w:rPr>
                          <w:rFonts w:ascii="Times New Roman" w:eastAsia="Times New Roman" w:hAnsi="Times New Roman" w:cs="Times New Roman"/>
                          <w:b/>
                          <w:color w:val="1F3864" w:themeColor="accent5" w:themeShade="80"/>
                          <w:sz w:val="24"/>
                          <w:szCs w:val="24"/>
                          <w:lang w:eastAsia="fr-FR"/>
                        </w:rPr>
                        <w:t xml:space="preserve"> </w:t>
                      </w:r>
                      <w:r>
                        <w:rPr>
                          <w:rFonts w:ascii="Times New Roman" w:hAnsi="Times New Roman"/>
                          <w:b/>
                          <w:color w:val="44546A" w:themeColor="text2"/>
                          <w:sz w:val="24"/>
                          <w:szCs w:val="24"/>
                        </w:rPr>
                        <w:t xml:space="preserve">: </w:t>
                      </w:r>
                      <w:r w:rsidRPr="00F32693">
                        <w:rPr>
                          <w:rFonts w:ascii="Times New Roman" w:hAnsi="Times New Roman"/>
                          <w:i/>
                          <w:color w:val="44546A" w:themeColor="text2"/>
                          <w:sz w:val="24"/>
                          <w:szCs w:val="24"/>
                        </w:rPr>
                        <w:t>(</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p>
                    <w:p w14:paraId="2B1469AB" w14:textId="77777777" w:rsidR="00E357DF" w:rsidRPr="00A13312" w:rsidRDefault="00E357DF" w:rsidP="00A13312">
                      <w:pPr>
                        <w:pStyle w:val="Paragraphedeliste"/>
                        <w:spacing w:after="0" w:line="360" w:lineRule="auto"/>
                        <w:ind w:left="0"/>
                        <w:rPr>
                          <w:rFonts w:ascii="Times New Roman" w:eastAsia="Times New Roman" w:hAnsi="Times New Roman" w:cs="Times New Roman"/>
                          <w:b/>
                          <w:color w:val="262626" w:themeColor="text1" w:themeTint="D9"/>
                          <w:sz w:val="24"/>
                          <w:szCs w:val="24"/>
                          <w:lang w:eastAsia="fr-FR"/>
                        </w:rPr>
                      </w:pPr>
                      <w:r w:rsidRPr="00A13312">
                        <w:rPr>
                          <w:rFonts w:ascii="Times New Roman" w:eastAsia="Times New Roman" w:hAnsi="Times New Roman" w:cs="Times New Roman"/>
                          <w:b/>
                          <w:color w:val="262626" w:themeColor="text1" w:themeTint="D9"/>
                          <w:sz w:val="24"/>
                          <w:szCs w:val="24"/>
                          <w:lang w:eastAsia="fr-FR"/>
                        </w:rPr>
                        <w:t>Aux Gouvernements Provinciaux de :</w:t>
                      </w:r>
                    </w:p>
                    <w:p w14:paraId="67CFEA81" w14:textId="67839530" w:rsidR="00E357DF" w:rsidRPr="00A13312" w:rsidRDefault="00E357DF" w:rsidP="00A13312">
                      <w:pPr>
                        <w:pStyle w:val="Paragraphedeliste"/>
                        <w:spacing w:after="0" w:line="240" w:lineRule="auto"/>
                        <w:ind w:left="0"/>
                        <w:rPr>
                          <w:rFonts w:ascii="Times New Roman" w:eastAsia="Times New Roman" w:hAnsi="Times New Roman" w:cs="Times New Roman"/>
                          <w:color w:val="262626" w:themeColor="text1" w:themeTint="D9"/>
                          <w:sz w:val="24"/>
                          <w:szCs w:val="24"/>
                          <w:lang w:eastAsia="fr-FR"/>
                        </w:rPr>
                      </w:pPr>
                      <w:r w:rsidRPr="00A13312">
                        <w:rPr>
                          <w:rFonts w:ascii="Times New Roman" w:eastAsia="Times New Roman" w:hAnsi="Times New Roman" w:cs="Times New Roman"/>
                          <w:color w:val="262626" w:themeColor="text1" w:themeTint="D9"/>
                          <w:sz w:val="24"/>
                          <w:szCs w:val="24"/>
                          <w:lang w:eastAsia="fr-FR"/>
                        </w:rPr>
                        <w:t>Transférer effectivement aux ETD, la quote-part de la redevance minière qui leur est due, conformément à la clé de répartition prévue par l’article 242 du Code minier</w:t>
                      </w:r>
                      <w:r>
                        <w:rPr>
                          <w:rFonts w:ascii="Times New Roman" w:eastAsia="Times New Roman" w:hAnsi="Times New Roman" w:cs="Times New Roman"/>
                          <w:color w:val="262626" w:themeColor="text1" w:themeTint="D9"/>
                          <w:sz w:val="24"/>
                          <w:szCs w:val="24"/>
                          <w:lang w:eastAsia="fr-FR"/>
                        </w:rPr>
                        <w:t>.</w:t>
                      </w:r>
                    </w:p>
                    <w:p w14:paraId="2DBF40FB" w14:textId="77777777" w:rsidR="00E357DF" w:rsidRDefault="00E357DF"/>
                  </w:txbxContent>
                </v:textbox>
              </v:shape>
            </w:pict>
          </mc:Fallback>
        </mc:AlternateContent>
      </w:r>
      <w:r>
        <w:br w:type="page"/>
      </w:r>
    </w:p>
    <w:p w14:paraId="2AAA365A" w14:textId="6B3714EE" w:rsidR="00E54F1D" w:rsidRDefault="00B41722" w:rsidP="000668F9">
      <w:pPr>
        <w:pStyle w:val="Titre1"/>
        <w:numPr>
          <w:ilvl w:val="0"/>
          <w:numId w:val="4"/>
        </w:numPr>
        <w:ind w:left="426" w:hanging="425"/>
        <w:rPr>
          <w:rFonts w:ascii="Times New Roman" w:hAnsi="Times New Roman" w:cs="Times New Roman"/>
          <w:sz w:val="28"/>
          <w:szCs w:val="28"/>
        </w:rPr>
      </w:pPr>
      <w:bookmarkStart w:id="165" w:name="_Toc516764336"/>
      <w:bookmarkStart w:id="166" w:name="_Toc518468093"/>
      <w:r w:rsidRPr="00F000B0">
        <w:rPr>
          <w:rFonts w:ascii="Times New Roman" w:hAnsi="Times New Roman" w:cs="Times New Roman"/>
          <w:caps w:val="0"/>
          <w:sz w:val="28"/>
          <w:szCs w:val="28"/>
        </w:rPr>
        <w:lastRenderedPageBreak/>
        <w:t>CONTRIBU</w:t>
      </w:r>
      <w:r>
        <w:rPr>
          <w:rFonts w:ascii="Times New Roman" w:hAnsi="Times New Roman" w:cs="Times New Roman"/>
          <w:caps w:val="0"/>
          <w:sz w:val="28"/>
          <w:szCs w:val="28"/>
        </w:rPr>
        <w:t>TION SOCIALE ET ECONOMIQUE DU SECTEUR EXTRACTIF</w:t>
      </w:r>
      <w:bookmarkEnd w:id="165"/>
      <w:bookmarkEnd w:id="166"/>
    </w:p>
    <w:p w14:paraId="452E6BD6" w14:textId="49658846" w:rsidR="00005C6E" w:rsidRPr="00005C6E" w:rsidRDefault="00005C6E" w:rsidP="00E23E97">
      <w:pPr>
        <w:jc w:val="both"/>
        <w:rPr>
          <w:rFonts w:ascii="Times New Roman" w:hAnsi="Times New Roman"/>
          <w:sz w:val="24"/>
          <w:szCs w:val="24"/>
        </w:rPr>
      </w:pPr>
      <w:r w:rsidRPr="00005C6E">
        <w:rPr>
          <w:rFonts w:ascii="Times New Roman" w:hAnsi="Times New Roman"/>
          <w:sz w:val="24"/>
          <w:szCs w:val="24"/>
        </w:rPr>
        <w:t>La contribution</w:t>
      </w:r>
      <w:r>
        <w:rPr>
          <w:rFonts w:ascii="Times New Roman" w:hAnsi="Times New Roman"/>
          <w:sz w:val="24"/>
          <w:szCs w:val="24"/>
        </w:rPr>
        <w:t xml:space="preserve"> sociale et économique du s</w:t>
      </w:r>
      <w:r w:rsidRPr="00005C6E">
        <w:rPr>
          <w:rFonts w:ascii="Times New Roman" w:hAnsi="Times New Roman"/>
          <w:sz w:val="24"/>
          <w:szCs w:val="24"/>
        </w:rPr>
        <w:t xml:space="preserve">ecteur extractif porte principalement sur </w:t>
      </w:r>
      <w:r>
        <w:rPr>
          <w:rFonts w:ascii="Times New Roman" w:hAnsi="Times New Roman"/>
          <w:sz w:val="24"/>
          <w:szCs w:val="24"/>
        </w:rPr>
        <w:t>les investissements sociaux des entreprises au profit des communautés</w:t>
      </w:r>
      <w:r w:rsidR="00E23E97">
        <w:rPr>
          <w:rFonts w:ascii="Times New Roman" w:hAnsi="Times New Roman"/>
          <w:sz w:val="24"/>
          <w:szCs w:val="24"/>
        </w:rPr>
        <w:t xml:space="preserve"> locales</w:t>
      </w:r>
      <w:r>
        <w:rPr>
          <w:rFonts w:ascii="Times New Roman" w:hAnsi="Times New Roman"/>
          <w:sz w:val="24"/>
          <w:szCs w:val="24"/>
        </w:rPr>
        <w:t xml:space="preserve"> affect</w:t>
      </w:r>
      <w:r w:rsidR="00E23E97">
        <w:rPr>
          <w:rFonts w:ascii="Times New Roman" w:hAnsi="Times New Roman"/>
          <w:sz w:val="24"/>
          <w:szCs w:val="24"/>
        </w:rPr>
        <w:t xml:space="preserve">ées ou pas par l’exploitation, la </w:t>
      </w:r>
      <w:r w:rsidRPr="00005C6E">
        <w:rPr>
          <w:rFonts w:ascii="Times New Roman" w:hAnsi="Times New Roman"/>
          <w:sz w:val="24"/>
          <w:szCs w:val="24"/>
        </w:rPr>
        <w:t>formation du produit intérieur brut (PIB) et la balance commerciale, le paiement d’impôts, taxes et divers droits  revenant à l’Etat qui ali</w:t>
      </w:r>
      <w:r w:rsidR="001C6BFC">
        <w:rPr>
          <w:rFonts w:ascii="Times New Roman" w:hAnsi="Times New Roman"/>
          <w:sz w:val="24"/>
          <w:szCs w:val="24"/>
        </w:rPr>
        <w:t>mentent le Budget de ce dernier ainsi que</w:t>
      </w:r>
      <w:r w:rsidRPr="00005C6E">
        <w:rPr>
          <w:rFonts w:ascii="Times New Roman" w:hAnsi="Times New Roman"/>
          <w:sz w:val="24"/>
          <w:szCs w:val="24"/>
        </w:rPr>
        <w:t xml:space="preserve"> la création des emplois.  </w:t>
      </w:r>
    </w:p>
    <w:p w14:paraId="20EBD419" w14:textId="77777777" w:rsidR="00005C6E" w:rsidRPr="00005C6E" w:rsidRDefault="00005C6E" w:rsidP="00E23E97">
      <w:pPr>
        <w:jc w:val="both"/>
        <w:rPr>
          <w:rFonts w:ascii="Times New Roman" w:hAnsi="Times New Roman"/>
          <w:sz w:val="24"/>
          <w:szCs w:val="24"/>
        </w:rPr>
      </w:pPr>
      <w:r w:rsidRPr="00005C6E">
        <w:rPr>
          <w:rFonts w:ascii="Times New Roman" w:hAnsi="Times New Roman"/>
          <w:sz w:val="24"/>
          <w:szCs w:val="24"/>
        </w:rPr>
        <w:t xml:space="preserve">La divulgation de cette contribution permet au public de voir l’importance du secteur extractif dans le développement économique et social d’un pays.  </w:t>
      </w:r>
    </w:p>
    <w:p w14:paraId="2D25C5B6" w14:textId="4C05B863" w:rsidR="00005C6E" w:rsidRPr="00005C6E" w:rsidRDefault="00005C6E" w:rsidP="00005C6E">
      <w:pPr>
        <w:pStyle w:val="Titre2"/>
        <w:rPr>
          <w:rFonts w:ascii="Times New Roman" w:hAnsi="Times New Roman" w:cs="Times New Roman"/>
          <w:sz w:val="24"/>
          <w:szCs w:val="24"/>
        </w:rPr>
      </w:pPr>
      <w:bookmarkStart w:id="167" w:name="_Toc518468094"/>
      <w:r>
        <w:rPr>
          <w:rFonts w:ascii="Times New Roman" w:hAnsi="Times New Roman" w:cs="Times New Roman"/>
          <w:sz w:val="24"/>
          <w:szCs w:val="24"/>
        </w:rPr>
        <w:t>V</w:t>
      </w:r>
      <w:r w:rsidR="000668F9">
        <w:rPr>
          <w:rFonts w:ascii="Times New Roman" w:hAnsi="Times New Roman" w:cs="Times New Roman"/>
          <w:sz w:val="24"/>
          <w:szCs w:val="24"/>
        </w:rPr>
        <w:t>II</w:t>
      </w:r>
      <w:r>
        <w:rPr>
          <w:rFonts w:ascii="Times New Roman" w:hAnsi="Times New Roman" w:cs="Times New Roman"/>
          <w:sz w:val="24"/>
          <w:szCs w:val="24"/>
        </w:rPr>
        <w:t xml:space="preserve">I.1. </w:t>
      </w:r>
      <w:r w:rsidRPr="00005C6E">
        <w:rPr>
          <w:rFonts w:ascii="Times New Roman" w:hAnsi="Times New Roman" w:cs="Times New Roman"/>
          <w:caps w:val="0"/>
          <w:sz w:val="24"/>
          <w:szCs w:val="24"/>
        </w:rPr>
        <w:t>Dépense sociale</w:t>
      </w:r>
      <w:bookmarkEnd w:id="167"/>
    </w:p>
    <w:p w14:paraId="6E29B3BE" w14:textId="77777777" w:rsidR="00005C6E" w:rsidRPr="008614DD" w:rsidRDefault="00005C6E" w:rsidP="00005C6E">
      <w:pPr>
        <w:jc w:val="both"/>
        <w:rPr>
          <w:rFonts w:ascii="Times New Roman" w:hAnsi="Times New Roman"/>
          <w:sz w:val="24"/>
          <w:szCs w:val="24"/>
        </w:rPr>
      </w:pPr>
      <w:r w:rsidRPr="008614DD">
        <w:rPr>
          <w:rFonts w:ascii="Times New Roman" w:hAnsi="Times New Roman"/>
          <w:sz w:val="24"/>
          <w:szCs w:val="24"/>
        </w:rPr>
        <w:t>Conformément à l’exigence 6.1 de la Norme, les pays mettant en œuvre l’ITIE sont tenus de déclarer toute dépense, volontaire ou obligatoire, faite par les entreprises extractives au profit des populations locales environnant l’exploitation extractive.</w:t>
      </w:r>
    </w:p>
    <w:p w14:paraId="50E176EF" w14:textId="77777777" w:rsidR="00005C6E" w:rsidRPr="008614DD" w:rsidRDefault="00005C6E" w:rsidP="00005C6E">
      <w:pPr>
        <w:tabs>
          <w:tab w:val="left" w:pos="7350"/>
        </w:tabs>
        <w:spacing w:after="120"/>
        <w:jc w:val="both"/>
        <w:rPr>
          <w:rFonts w:ascii="Times New Roman" w:hAnsi="Times New Roman"/>
          <w:sz w:val="24"/>
          <w:szCs w:val="24"/>
        </w:rPr>
      </w:pPr>
      <w:r w:rsidRPr="008614DD">
        <w:rPr>
          <w:rFonts w:ascii="Times New Roman" w:hAnsi="Times New Roman"/>
          <w:sz w:val="24"/>
          <w:szCs w:val="24"/>
        </w:rPr>
        <w:t>Aussi, Les paiements reportés par les sociétés pétrolières au titre des dépenses sociales s’élèvent à 1 307 125 USD et sont agrégés comme suit :</w:t>
      </w:r>
    </w:p>
    <w:tbl>
      <w:tblPr>
        <w:tblStyle w:val="TableauGrille1Clair1"/>
        <w:tblW w:w="9493" w:type="dxa"/>
        <w:tblLayout w:type="fixed"/>
        <w:tblLook w:val="04A0" w:firstRow="1" w:lastRow="0" w:firstColumn="1" w:lastColumn="0" w:noHBand="0" w:noVBand="1"/>
      </w:tblPr>
      <w:tblGrid>
        <w:gridCol w:w="236"/>
        <w:gridCol w:w="3501"/>
        <w:gridCol w:w="1227"/>
        <w:gridCol w:w="1145"/>
        <w:gridCol w:w="1196"/>
        <w:gridCol w:w="907"/>
        <w:gridCol w:w="1281"/>
      </w:tblGrid>
      <w:tr w:rsidR="00005C6E" w:rsidRPr="00F000B0" w14:paraId="511B7E11" w14:textId="77777777" w:rsidTr="0054038F">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0" w:type="dxa"/>
          </w:tcPr>
          <w:p w14:paraId="749C92DA" w14:textId="77777777" w:rsidR="00005C6E" w:rsidRPr="00F000B0" w:rsidRDefault="00005C6E" w:rsidP="0054038F">
            <w:pPr>
              <w:jc w:val="center"/>
              <w:rPr>
                <w:rFonts w:ascii="Garamond" w:eastAsia="Times New Roman" w:hAnsi="Garamond" w:cs="Calibri"/>
                <w:b w:val="0"/>
                <w:color w:val="262626" w:themeColor="text1" w:themeTint="D9"/>
                <w:sz w:val="18"/>
                <w:szCs w:val="18"/>
                <w:lang w:eastAsia="fr-FR"/>
              </w:rPr>
            </w:pPr>
          </w:p>
        </w:tc>
        <w:tc>
          <w:tcPr>
            <w:tcW w:w="3508" w:type="dxa"/>
            <w:vMerge w:val="restart"/>
            <w:noWrap/>
            <w:vAlign w:val="center"/>
            <w:hideMark/>
          </w:tcPr>
          <w:p w14:paraId="35BAA1D8" w14:textId="77777777" w:rsidR="00005C6E" w:rsidRPr="00F000B0" w:rsidRDefault="00005C6E" w:rsidP="0054038F">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color w:val="262626" w:themeColor="text1" w:themeTint="D9"/>
                <w:sz w:val="18"/>
                <w:szCs w:val="18"/>
                <w:lang w:eastAsia="fr-FR"/>
              </w:rPr>
            </w:pPr>
            <w:r w:rsidRPr="00F000B0">
              <w:rPr>
                <w:rFonts w:ascii="Garamond" w:eastAsia="Times New Roman" w:hAnsi="Garamond" w:cs="Calibri"/>
                <w:color w:val="262626" w:themeColor="text1" w:themeTint="D9"/>
                <w:sz w:val="18"/>
                <w:szCs w:val="18"/>
                <w:lang w:eastAsia="fr-FR"/>
              </w:rPr>
              <w:t>Entreprise</w:t>
            </w:r>
          </w:p>
        </w:tc>
        <w:tc>
          <w:tcPr>
            <w:tcW w:w="2376" w:type="dxa"/>
            <w:gridSpan w:val="2"/>
            <w:noWrap/>
            <w:hideMark/>
          </w:tcPr>
          <w:p w14:paraId="53DF9DA1" w14:textId="77777777" w:rsidR="00005C6E" w:rsidRPr="00F000B0" w:rsidRDefault="00005C6E" w:rsidP="0054038F">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color w:val="262626" w:themeColor="text1" w:themeTint="D9"/>
                <w:sz w:val="18"/>
                <w:szCs w:val="18"/>
                <w:lang w:eastAsia="fr-FR"/>
              </w:rPr>
            </w:pPr>
            <w:r w:rsidRPr="00F000B0">
              <w:rPr>
                <w:rFonts w:ascii="Garamond" w:eastAsia="Times New Roman" w:hAnsi="Garamond" w:cs="Calibri"/>
                <w:color w:val="262626" w:themeColor="text1" w:themeTint="D9"/>
                <w:sz w:val="18"/>
                <w:szCs w:val="18"/>
                <w:lang w:eastAsia="fr-FR"/>
              </w:rPr>
              <w:t>Dépenses sociales obligatoires</w:t>
            </w:r>
          </w:p>
        </w:tc>
        <w:tc>
          <w:tcPr>
            <w:tcW w:w="2106" w:type="dxa"/>
            <w:gridSpan w:val="2"/>
            <w:noWrap/>
            <w:hideMark/>
          </w:tcPr>
          <w:p w14:paraId="44AF123D" w14:textId="77777777" w:rsidR="00005C6E" w:rsidRPr="00F000B0" w:rsidRDefault="00005C6E" w:rsidP="0054038F">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color w:val="262626" w:themeColor="text1" w:themeTint="D9"/>
                <w:sz w:val="18"/>
                <w:szCs w:val="18"/>
                <w:lang w:eastAsia="fr-FR"/>
              </w:rPr>
            </w:pPr>
            <w:r w:rsidRPr="00F000B0">
              <w:rPr>
                <w:rFonts w:ascii="Garamond" w:eastAsia="Times New Roman" w:hAnsi="Garamond" w:cs="Calibri"/>
                <w:color w:val="262626" w:themeColor="text1" w:themeTint="D9"/>
                <w:sz w:val="18"/>
                <w:szCs w:val="18"/>
                <w:lang w:eastAsia="fr-FR"/>
              </w:rPr>
              <w:t>Dépenses sociales volontaires</w:t>
            </w:r>
          </w:p>
        </w:tc>
        <w:tc>
          <w:tcPr>
            <w:tcW w:w="1283" w:type="dxa"/>
            <w:vMerge w:val="restart"/>
            <w:noWrap/>
            <w:hideMark/>
          </w:tcPr>
          <w:p w14:paraId="0B5B8575" w14:textId="77777777" w:rsidR="00005C6E" w:rsidRPr="00F000B0" w:rsidRDefault="00005C6E" w:rsidP="0054038F">
            <w:pPr>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color w:val="262626" w:themeColor="text1" w:themeTint="D9"/>
                <w:sz w:val="18"/>
                <w:szCs w:val="18"/>
                <w:lang w:eastAsia="fr-FR"/>
              </w:rPr>
            </w:pPr>
            <w:r w:rsidRPr="00F000B0">
              <w:rPr>
                <w:rFonts w:ascii="Garamond" w:eastAsia="Times New Roman" w:hAnsi="Garamond" w:cs="Calibri"/>
                <w:color w:val="262626" w:themeColor="text1" w:themeTint="D9"/>
                <w:sz w:val="18"/>
                <w:szCs w:val="18"/>
                <w:lang w:eastAsia="fr-FR"/>
              </w:rPr>
              <w:t>Total</w:t>
            </w:r>
          </w:p>
        </w:tc>
      </w:tr>
      <w:tr w:rsidR="00005C6E" w:rsidRPr="00F000B0" w14:paraId="15A7DE47"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220" w:type="dxa"/>
          </w:tcPr>
          <w:p w14:paraId="26C04498" w14:textId="77777777" w:rsidR="00005C6E" w:rsidRPr="00F000B0" w:rsidRDefault="00005C6E" w:rsidP="0054038F">
            <w:pPr>
              <w:rPr>
                <w:rFonts w:ascii="Garamond" w:eastAsia="Times New Roman" w:hAnsi="Garamond" w:cs="Calibri"/>
                <w:b w:val="0"/>
                <w:color w:val="262626" w:themeColor="text1" w:themeTint="D9"/>
                <w:sz w:val="18"/>
                <w:szCs w:val="18"/>
                <w:lang w:eastAsia="fr-FR"/>
              </w:rPr>
            </w:pPr>
          </w:p>
        </w:tc>
        <w:tc>
          <w:tcPr>
            <w:tcW w:w="3508" w:type="dxa"/>
            <w:vMerge/>
            <w:hideMark/>
          </w:tcPr>
          <w:p w14:paraId="39143CB5" w14:textId="77777777" w:rsidR="00005C6E" w:rsidRPr="00F000B0"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color w:val="262626" w:themeColor="text1" w:themeTint="D9"/>
                <w:sz w:val="18"/>
                <w:szCs w:val="18"/>
                <w:lang w:eastAsia="fr-FR"/>
              </w:rPr>
            </w:pPr>
          </w:p>
        </w:tc>
        <w:tc>
          <w:tcPr>
            <w:tcW w:w="1229" w:type="dxa"/>
            <w:noWrap/>
            <w:hideMark/>
          </w:tcPr>
          <w:p w14:paraId="5869BC27" w14:textId="77777777" w:rsidR="00005C6E" w:rsidRPr="00F000B0"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color w:val="262626" w:themeColor="text1" w:themeTint="D9"/>
                <w:sz w:val="18"/>
                <w:szCs w:val="18"/>
                <w:lang w:eastAsia="fr-FR"/>
              </w:rPr>
            </w:pPr>
            <w:r w:rsidRPr="00F000B0">
              <w:rPr>
                <w:rFonts w:ascii="Garamond" w:eastAsia="Times New Roman" w:hAnsi="Garamond" w:cs="Calibri"/>
                <w:b/>
                <w:color w:val="262626" w:themeColor="text1" w:themeTint="D9"/>
                <w:sz w:val="18"/>
                <w:szCs w:val="18"/>
                <w:lang w:eastAsia="fr-FR"/>
              </w:rPr>
              <w:t>En numéraire</w:t>
            </w:r>
          </w:p>
        </w:tc>
        <w:tc>
          <w:tcPr>
            <w:tcW w:w="1147" w:type="dxa"/>
            <w:noWrap/>
            <w:hideMark/>
          </w:tcPr>
          <w:p w14:paraId="6B63FA2F" w14:textId="77777777" w:rsidR="00005C6E" w:rsidRPr="00F000B0"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color w:val="262626" w:themeColor="text1" w:themeTint="D9"/>
                <w:sz w:val="18"/>
                <w:szCs w:val="18"/>
                <w:lang w:eastAsia="fr-FR"/>
              </w:rPr>
            </w:pPr>
            <w:r w:rsidRPr="00F000B0">
              <w:rPr>
                <w:rFonts w:ascii="Garamond" w:eastAsia="Times New Roman" w:hAnsi="Garamond" w:cs="Calibri"/>
                <w:b/>
                <w:color w:val="262626" w:themeColor="text1" w:themeTint="D9"/>
                <w:sz w:val="18"/>
                <w:szCs w:val="18"/>
                <w:lang w:eastAsia="fr-FR"/>
              </w:rPr>
              <w:t>En nature</w:t>
            </w:r>
          </w:p>
        </w:tc>
        <w:tc>
          <w:tcPr>
            <w:tcW w:w="1198" w:type="dxa"/>
            <w:noWrap/>
            <w:hideMark/>
          </w:tcPr>
          <w:p w14:paraId="7581CAFE" w14:textId="77777777" w:rsidR="00005C6E" w:rsidRPr="00F000B0"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color w:val="262626" w:themeColor="text1" w:themeTint="D9"/>
                <w:sz w:val="18"/>
                <w:szCs w:val="18"/>
                <w:lang w:eastAsia="fr-FR"/>
              </w:rPr>
            </w:pPr>
            <w:r w:rsidRPr="00F000B0">
              <w:rPr>
                <w:rFonts w:ascii="Garamond" w:eastAsia="Times New Roman" w:hAnsi="Garamond" w:cs="Calibri"/>
                <w:b/>
                <w:color w:val="262626" w:themeColor="text1" w:themeTint="D9"/>
                <w:sz w:val="18"/>
                <w:szCs w:val="18"/>
                <w:lang w:eastAsia="fr-FR"/>
              </w:rPr>
              <w:t>En numéraire</w:t>
            </w:r>
          </w:p>
        </w:tc>
        <w:tc>
          <w:tcPr>
            <w:tcW w:w="908" w:type="dxa"/>
            <w:noWrap/>
            <w:hideMark/>
          </w:tcPr>
          <w:p w14:paraId="0F555E19" w14:textId="77777777" w:rsidR="00005C6E" w:rsidRPr="00F000B0"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color w:val="262626" w:themeColor="text1" w:themeTint="D9"/>
                <w:sz w:val="18"/>
                <w:szCs w:val="18"/>
                <w:lang w:eastAsia="fr-FR"/>
              </w:rPr>
            </w:pPr>
            <w:r w:rsidRPr="00F000B0">
              <w:rPr>
                <w:rFonts w:ascii="Garamond" w:eastAsia="Times New Roman" w:hAnsi="Garamond" w:cs="Calibri"/>
                <w:b/>
                <w:color w:val="262626" w:themeColor="text1" w:themeTint="D9"/>
                <w:sz w:val="18"/>
                <w:szCs w:val="18"/>
                <w:lang w:eastAsia="fr-FR"/>
              </w:rPr>
              <w:t>En nature</w:t>
            </w:r>
          </w:p>
        </w:tc>
        <w:tc>
          <w:tcPr>
            <w:tcW w:w="1283" w:type="dxa"/>
            <w:vMerge/>
            <w:hideMark/>
          </w:tcPr>
          <w:p w14:paraId="5907A73E" w14:textId="77777777" w:rsidR="00005C6E" w:rsidRPr="00F000B0"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color w:val="262626" w:themeColor="text1" w:themeTint="D9"/>
                <w:sz w:val="18"/>
                <w:szCs w:val="18"/>
                <w:lang w:eastAsia="fr-FR"/>
              </w:rPr>
            </w:pPr>
          </w:p>
        </w:tc>
      </w:tr>
      <w:tr w:rsidR="00005C6E" w:rsidRPr="00E56E0A" w14:paraId="74B9FEEB"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220" w:type="dxa"/>
          </w:tcPr>
          <w:p w14:paraId="6406FAB8"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1</w:t>
            </w:r>
          </w:p>
        </w:tc>
        <w:tc>
          <w:tcPr>
            <w:tcW w:w="3508" w:type="dxa"/>
            <w:noWrap/>
            <w:hideMark/>
          </w:tcPr>
          <w:p w14:paraId="7ACD5622"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MUANDA INTERNATIONAL OIL COMPANY</w:t>
            </w:r>
            <w:r w:rsidRPr="00E56E0A">
              <w:rPr>
                <w:rFonts w:ascii="Garamond" w:eastAsia="Times New Roman" w:hAnsi="Garamond" w:cs="Calibri"/>
                <w:color w:val="000000"/>
                <w:sz w:val="18"/>
                <w:szCs w:val="18"/>
                <w:lang w:eastAsia="fr-FR"/>
              </w:rPr>
              <w:t xml:space="preserve"> </w:t>
            </w:r>
            <w:r w:rsidRPr="00E56E0A">
              <w:rPr>
                <w:rFonts w:ascii="Garamond" w:eastAsia="Times New Roman" w:hAnsi="Garamond" w:cs="Calibri"/>
                <w:color w:val="000000"/>
                <w:sz w:val="18"/>
                <w:szCs w:val="18"/>
                <w:vertAlign w:val="superscript"/>
                <w:lang w:eastAsia="fr-FR"/>
              </w:rPr>
              <w:t>(1)</w:t>
            </w:r>
          </w:p>
        </w:tc>
        <w:tc>
          <w:tcPr>
            <w:tcW w:w="1229" w:type="dxa"/>
            <w:noWrap/>
            <w:hideMark/>
          </w:tcPr>
          <w:p w14:paraId="326E48C5"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47" w:type="dxa"/>
            <w:noWrap/>
            <w:hideMark/>
          </w:tcPr>
          <w:p w14:paraId="4BEA6F21"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150 000</w:t>
            </w:r>
          </w:p>
        </w:tc>
        <w:tc>
          <w:tcPr>
            <w:tcW w:w="1198" w:type="dxa"/>
            <w:noWrap/>
            <w:hideMark/>
          </w:tcPr>
          <w:p w14:paraId="7BB61C5A"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908" w:type="dxa"/>
            <w:noWrap/>
            <w:hideMark/>
          </w:tcPr>
          <w:p w14:paraId="146AA0F5"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283" w:type="dxa"/>
            <w:noWrap/>
            <w:hideMark/>
          </w:tcPr>
          <w:p w14:paraId="59AD9F02"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150 000</w:t>
            </w:r>
          </w:p>
        </w:tc>
      </w:tr>
      <w:tr w:rsidR="00005C6E" w:rsidRPr="00E56E0A" w14:paraId="10F29528"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220" w:type="dxa"/>
          </w:tcPr>
          <w:p w14:paraId="1E756C7E"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2</w:t>
            </w:r>
          </w:p>
        </w:tc>
        <w:tc>
          <w:tcPr>
            <w:tcW w:w="3508" w:type="dxa"/>
            <w:noWrap/>
            <w:hideMark/>
          </w:tcPr>
          <w:p w14:paraId="19CFDFA3"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OIL OF DR CONGO</w:t>
            </w:r>
            <w:r w:rsidRPr="00E56E0A">
              <w:rPr>
                <w:rFonts w:ascii="Garamond" w:eastAsia="Times New Roman" w:hAnsi="Garamond" w:cs="Calibri"/>
                <w:color w:val="000000"/>
                <w:sz w:val="18"/>
                <w:szCs w:val="18"/>
                <w:lang w:eastAsia="fr-FR"/>
              </w:rPr>
              <w:t xml:space="preserve"> </w:t>
            </w:r>
            <w:r w:rsidRPr="00E56E0A">
              <w:rPr>
                <w:rFonts w:ascii="Garamond" w:eastAsia="Times New Roman" w:hAnsi="Garamond" w:cs="Calibri"/>
                <w:color w:val="000000"/>
                <w:sz w:val="18"/>
                <w:szCs w:val="18"/>
                <w:vertAlign w:val="superscript"/>
                <w:lang w:eastAsia="fr-FR"/>
              </w:rPr>
              <w:t>(2)</w:t>
            </w:r>
          </w:p>
        </w:tc>
        <w:tc>
          <w:tcPr>
            <w:tcW w:w="1229" w:type="dxa"/>
            <w:noWrap/>
            <w:hideMark/>
          </w:tcPr>
          <w:p w14:paraId="56C33D17"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73 632</w:t>
            </w:r>
          </w:p>
        </w:tc>
        <w:tc>
          <w:tcPr>
            <w:tcW w:w="1147" w:type="dxa"/>
            <w:noWrap/>
            <w:hideMark/>
          </w:tcPr>
          <w:p w14:paraId="1B0B8322"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98" w:type="dxa"/>
            <w:noWrap/>
            <w:hideMark/>
          </w:tcPr>
          <w:p w14:paraId="23B278C9"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908" w:type="dxa"/>
            <w:noWrap/>
            <w:hideMark/>
          </w:tcPr>
          <w:p w14:paraId="10D06ACC"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283" w:type="dxa"/>
            <w:noWrap/>
            <w:hideMark/>
          </w:tcPr>
          <w:p w14:paraId="269DDB4B"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73 632</w:t>
            </w:r>
          </w:p>
        </w:tc>
      </w:tr>
      <w:tr w:rsidR="00005C6E" w:rsidRPr="00E56E0A" w14:paraId="386AE9F4" w14:textId="77777777" w:rsidTr="0054038F">
        <w:trPr>
          <w:trHeight w:val="567"/>
        </w:trPr>
        <w:tc>
          <w:tcPr>
            <w:cnfStyle w:val="001000000000" w:firstRow="0" w:lastRow="0" w:firstColumn="1" w:lastColumn="0" w:oddVBand="0" w:evenVBand="0" w:oddHBand="0" w:evenHBand="0" w:firstRowFirstColumn="0" w:firstRowLastColumn="0" w:lastRowFirstColumn="0" w:lastRowLastColumn="0"/>
            <w:tcW w:w="220" w:type="dxa"/>
          </w:tcPr>
          <w:p w14:paraId="4550C8E4"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3</w:t>
            </w:r>
          </w:p>
        </w:tc>
        <w:tc>
          <w:tcPr>
            <w:tcW w:w="3508" w:type="dxa"/>
            <w:noWrap/>
            <w:hideMark/>
          </w:tcPr>
          <w:p w14:paraId="4737B6DB"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PERENCO RECHERCHE ET EXPLOITATION PETROLIERE</w:t>
            </w:r>
            <w:r w:rsidRPr="00E56E0A">
              <w:rPr>
                <w:rFonts w:ascii="Garamond" w:eastAsia="Times New Roman" w:hAnsi="Garamond" w:cs="Calibri"/>
                <w:color w:val="000000"/>
                <w:sz w:val="18"/>
                <w:szCs w:val="18"/>
                <w:vertAlign w:val="superscript"/>
                <w:lang w:eastAsia="fr-FR"/>
              </w:rPr>
              <w:t>(3)</w:t>
            </w:r>
          </w:p>
        </w:tc>
        <w:tc>
          <w:tcPr>
            <w:tcW w:w="1229" w:type="dxa"/>
            <w:noWrap/>
            <w:hideMark/>
          </w:tcPr>
          <w:p w14:paraId="3F6EDC34"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47" w:type="dxa"/>
            <w:noWrap/>
            <w:hideMark/>
          </w:tcPr>
          <w:p w14:paraId="1B029F45"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60 000</w:t>
            </w:r>
          </w:p>
        </w:tc>
        <w:tc>
          <w:tcPr>
            <w:tcW w:w="1198" w:type="dxa"/>
            <w:noWrap/>
            <w:hideMark/>
          </w:tcPr>
          <w:p w14:paraId="4EA4CE84"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908" w:type="dxa"/>
            <w:noWrap/>
            <w:hideMark/>
          </w:tcPr>
          <w:p w14:paraId="23937D7D"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283" w:type="dxa"/>
            <w:noWrap/>
            <w:hideMark/>
          </w:tcPr>
          <w:p w14:paraId="6C41EE96"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60 000</w:t>
            </w:r>
          </w:p>
        </w:tc>
      </w:tr>
      <w:tr w:rsidR="00005C6E" w:rsidRPr="00E56E0A" w14:paraId="214997B6"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220" w:type="dxa"/>
          </w:tcPr>
          <w:p w14:paraId="789DFA0C"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4</w:t>
            </w:r>
          </w:p>
        </w:tc>
        <w:tc>
          <w:tcPr>
            <w:tcW w:w="3508" w:type="dxa"/>
            <w:noWrap/>
            <w:hideMark/>
          </w:tcPr>
          <w:p w14:paraId="5F8E9857"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TOTAL E&amp;P RDC</w:t>
            </w:r>
            <w:r w:rsidRPr="00E56E0A">
              <w:rPr>
                <w:rFonts w:ascii="Garamond" w:eastAsia="Times New Roman" w:hAnsi="Garamond" w:cs="Calibri"/>
                <w:color w:val="000000"/>
                <w:sz w:val="18"/>
                <w:szCs w:val="18"/>
                <w:lang w:eastAsia="fr-FR"/>
              </w:rPr>
              <w:t xml:space="preserve"> </w:t>
            </w:r>
            <w:r w:rsidRPr="00E56E0A">
              <w:rPr>
                <w:rFonts w:ascii="Garamond" w:eastAsia="Times New Roman" w:hAnsi="Garamond" w:cs="Calibri"/>
                <w:color w:val="000000"/>
                <w:sz w:val="18"/>
                <w:szCs w:val="18"/>
                <w:vertAlign w:val="superscript"/>
                <w:lang w:eastAsia="fr-FR"/>
              </w:rPr>
              <w:t>(4)</w:t>
            </w:r>
          </w:p>
        </w:tc>
        <w:tc>
          <w:tcPr>
            <w:tcW w:w="1229" w:type="dxa"/>
            <w:noWrap/>
            <w:hideMark/>
          </w:tcPr>
          <w:p w14:paraId="7C7736B7"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47" w:type="dxa"/>
            <w:noWrap/>
            <w:hideMark/>
          </w:tcPr>
          <w:p w14:paraId="047B0704"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1 023 493</w:t>
            </w:r>
          </w:p>
        </w:tc>
        <w:tc>
          <w:tcPr>
            <w:tcW w:w="1198" w:type="dxa"/>
            <w:noWrap/>
            <w:hideMark/>
          </w:tcPr>
          <w:p w14:paraId="7EC8D3BB"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908" w:type="dxa"/>
            <w:noWrap/>
            <w:hideMark/>
          </w:tcPr>
          <w:p w14:paraId="796F9E5F"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283" w:type="dxa"/>
            <w:noWrap/>
            <w:hideMark/>
          </w:tcPr>
          <w:p w14:paraId="4A1BA303"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1 023 493</w:t>
            </w:r>
          </w:p>
        </w:tc>
      </w:tr>
      <w:tr w:rsidR="00005C6E" w:rsidRPr="00E56E0A" w14:paraId="10B23B63"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220" w:type="dxa"/>
          </w:tcPr>
          <w:p w14:paraId="1F4DF0FE" w14:textId="77777777" w:rsidR="00005C6E" w:rsidRPr="00E56E0A" w:rsidRDefault="00005C6E" w:rsidP="0054038F">
            <w:pPr>
              <w:rPr>
                <w:rFonts w:ascii="Garamond" w:eastAsia="Times New Roman" w:hAnsi="Garamond" w:cs="Calibri"/>
                <w:color w:val="000000"/>
                <w:sz w:val="18"/>
                <w:szCs w:val="18"/>
                <w:lang w:eastAsia="fr-FR"/>
              </w:rPr>
            </w:pPr>
          </w:p>
        </w:tc>
        <w:tc>
          <w:tcPr>
            <w:tcW w:w="3508" w:type="dxa"/>
            <w:noWrap/>
          </w:tcPr>
          <w:p w14:paraId="0C230BE1" w14:textId="77777777" w:rsidR="00005C6E" w:rsidRPr="00E56E0A"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color w:val="000000"/>
                <w:sz w:val="18"/>
                <w:szCs w:val="18"/>
                <w:lang w:eastAsia="fr-FR"/>
              </w:rPr>
            </w:pPr>
            <w:r w:rsidRPr="00E56E0A">
              <w:rPr>
                <w:rFonts w:ascii="Garamond" w:eastAsia="Times New Roman" w:hAnsi="Garamond" w:cs="Calibri"/>
                <w:b/>
                <w:color w:val="000000"/>
                <w:sz w:val="18"/>
                <w:szCs w:val="18"/>
                <w:lang w:eastAsia="fr-FR"/>
              </w:rPr>
              <w:t>TOTAUX</w:t>
            </w:r>
          </w:p>
        </w:tc>
        <w:tc>
          <w:tcPr>
            <w:tcW w:w="1229" w:type="dxa"/>
            <w:noWrap/>
          </w:tcPr>
          <w:p w14:paraId="378B74C8" w14:textId="77777777" w:rsidR="00005C6E" w:rsidRPr="00E56E0A"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color w:val="000000"/>
                <w:sz w:val="18"/>
                <w:szCs w:val="18"/>
                <w:lang w:eastAsia="fr-FR"/>
              </w:rPr>
            </w:pPr>
            <w:r w:rsidRPr="00E56E0A">
              <w:rPr>
                <w:rFonts w:ascii="Garamond" w:eastAsia="Times New Roman" w:hAnsi="Garamond" w:cs="Calibri"/>
                <w:b/>
                <w:color w:val="000000"/>
                <w:sz w:val="18"/>
                <w:szCs w:val="18"/>
                <w:lang w:eastAsia="fr-FR"/>
              </w:rPr>
              <w:t>73 632</w:t>
            </w:r>
          </w:p>
        </w:tc>
        <w:tc>
          <w:tcPr>
            <w:tcW w:w="1147" w:type="dxa"/>
            <w:noWrap/>
          </w:tcPr>
          <w:p w14:paraId="7C0BDF6A" w14:textId="77777777" w:rsidR="00005C6E" w:rsidRPr="00E56E0A"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color w:val="000000"/>
                <w:sz w:val="18"/>
                <w:szCs w:val="18"/>
                <w:lang w:eastAsia="fr-FR"/>
              </w:rPr>
            </w:pPr>
            <w:r w:rsidRPr="00E56E0A">
              <w:rPr>
                <w:rFonts w:ascii="Garamond" w:eastAsia="Times New Roman" w:hAnsi="Garamond" w:cs="Calibri"/>
                <w:b/>
                <w:color w:val="000000"/>
                <w:sz w:val="18"/>
                <w:szCs w:val="18"/>
                <w:lang w:eastAsia="fr-FR"/>
              </w:rPr>
              <w:t>1 233 493</w:t>
            </w:r>
          </w:p>
        </w:tc>
        <w:tc>
          <w:tcPr>
            <w:tcW w:w="1198" w:type="dxa"/>
            <w:noWrap/>
          </w:tcPr>
          <w:p w14:paraId="6E86DFA3" w14:textId="77777777" w:rsidR="00005C6E" w:rsidRPr="00E56E0A"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color w:val="000000"/>
                <w:sz w:val="18"/>
                <w:szCs w:val="18"/>
                <w:lang w:eastAsia="fr-FR"/>
              </w:rPr>
            </w:pPr>
          </w:p>
        </w:tc>
        <w:tc>
          <w:tcPr>
            <w:tcW w:w="908" w:type="dxa"/>
            <w:noWrap/>
          </w:tcPr>
          <w:p w14:paraId="473E736A" w14:textId="77777777" w:rsidR="00005C6E" w:rsidRPr="00E56E0A"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color w:val="000000"/>
                <w:sz w:val="18"/>
                <w:szCs w:val="18"/>
                <w:lang w:eastAsia="fr-FR"/>
              </w:rPr>
            </w:pPr>
          </w:p>
        </w:tc>
        <w:tc>
          <w:tcPr>
            <w:tcW w:w="1283" w:type="dxa"/>
            <w:noWrap/>
          </w:tcPr>
          <w:p w14:paraId="41DE8572" w14:textId="77777777" w:rsidR="00005C6E" w:rsidRPr="00E56E0A"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color w:val="000000"/>
                <w:sz w:val="18"/>
                <w:szCs w:val="18"/>
                <w:lang w:eastAsia="fr-FR"/>
              </w:rPr>
            </w:pPr>
            <w:r w:rsidRPr="00E56E0A">
              <w:rPr>
                <w:rFonts w:ascii="Garamond" w:eastAsia="Times New Roman" w:hAnsi="Garamond" w:cs="Calibri"/>
                <w:b/>
                <w:color w:val="000000"/>
                <w:sz w:val="18"/>
                <w:szCs w:val="18"/>
                <w:lang w:eastAsia="fr-FR"/>
              </w:rPr>
              <w:t>1 307 125</w:t>
            </w:r>
          </w:p>
        </w:tc>
      </w:tr>
    </w:tbl>
    <w:p w14:paraId="209CF7B2" w14:textId="77777777" w:rsidR="00005C6E" w:rsidRPr="00E56E0A" w:rsidRDefault="00005C6E" w:rsidP="00005C6E">
      <w:pPr>
        <w:pStyle w:val="Paragraphedeliste"/>
        <w:tabs>
          <w:tab w:val="left" w:pos="7350"/>
        </w:tabs>
        <w:spacing w:after="0"/>
        <w:rPr>
          <w:rFonts w:ascii="Garamond" w:hAnsi="Garamond"/>
          <w:sz w:val="16"/>
          <w:szCs w:val="16"/>
        </w:rPr>
      </w:pPr>
    </w:p>
    <w:p w14:paraId="40D71A04" w14:textId="77777777" w:rsidR="00005C6E" w:rsidRPr="00E56E0A" w:rsidRDefault="00005C6E" w:rsidP="00005C6E">
      <w:pPr>
        <w:pStyle w:val="Paragraphedeliste"/>
        <w:numPr>
          <w:ilvl w:val="0"/>
          <w:numId w:val="39"/>
        </w:numPr>
        <w:tabs>
          <w:tab w:val="left" w:pos="7350"/>
        </w:tabs>
        <w:spacing w:after="0" w:line="240" w:lineRule="auto"/>
        <w:contextualSpacing w:val="0"/>
        <w:jc w:val="both"/>
        <w:rPr>
          <w:rFonts w:ascii="Garamond" w:hAnsi="Garamond"/>
          <w:color w:val="1F3864" w:themeColor="accent5" w:themeShade="80"/>
          <w:sz w:val="16"/>
          <w:szCs w:val="16"/>
        </w:rPr>
      </w:pPr>
      <w:proofErr w:type="spellStart"/>
      <w:r w:rsidRPr="00E56E0A">
        <w:rPr>
          <w:rFonts w:ascii="Garamond" w:hAnsi="Garamond"/>
          <w:color w:val="1F3864" w:themeColor="accent5" w:themeShade="80"/>
          <w:sz w:val="16"/>
          <w:szCs w:val="16"/>
        </w:rPr>
        <w:t>cfr</w:t>
      </w:r>
      <w:proofErr w:type="spellEnd"/>
      <w:r w:rsidRPr="00E56E0A">
        <w:rPr>
          <w:rFonts w:ascii="Garamond" w:hAnsi="Garamond"/>
          <w:color w:val="1F3864" w:themeColor="accent5" w:themeShade="80"/>
          <w:sz w:val="16"/>
          <w:szCs w:val="16"/>
        </w:rPr>
        <w:t xml:space="preserve"> l’avenant 6 du CPP, la répartition des parts se présente comme suit : 50% MIOC, 32,28% TEIKOKU et 17.7 % CHEVRON</w:t>
      </w:r>
    </w:p>
    <w:p w14:paraId="170DE7B1" w14:textId="77777777" w:rsidR="00005C6E" w:rsidRPr="00E56E0A" w:rsidRDefault="00005C6E" w:rsidP="00005C6E">
      <w:pPr>
        <w:pStyle w:val="Paragraphedeliste"/>
        <w:numPr>
          <w:ilvl w:val="0"/>
          <w:numId w:val="39"/>
        </w:numPr>
        <w:tabs>
          <w:tab w:val="left" w:pos="7350"/>
        </w:tabs>
        <w:spacing w:after="0" w:line="240" w:lineRule="auto"/>
        <w:contextualSpacing w:val="0"/>
        <w:jc w:val="both"/>
        <w:rPr>
          <w:rFonts w:ascii="Garamond" w:hAnsi="Garamond"/>
          <w:color w:val="1F3864" w:themeColor="accent5" w:themeShade="80"/>
          <w:sz w:val="16"/>
          <w:szCs w:val="16"/>
          <w:u w:val="single"/>
        </w:rPr>
      </w:pPr>
      <w:proofErr w:type="spellStart"/>
      <w:r w:rsidRPr="00E56E0A">
        <w:rPr>
          <w:rFonts w:ascii="Garamond" w:hAnsi="Garamond"/>
          <w:color w:val="1F3864" w:themeColor="accent5" w:themeShade="80"/>
          <w:sz w:val="16"/>
          <w:szCs w:val="16"/>
          <w:u w:val="single"/>
        </w:rPr>
        <w:t>Cfr</w:t>
      </w:r>
      <w:proofErr w:type="spellEnd"/>
      <w:r w:rsidRPr="00E56E0A">
        <w:rPr>
          <w:rFonts w:ascii="Garamond" w:hAnsi="Garamond"/>
          <w:color w:val="1F3864" w:themeColor="accent5" w:themeShade="80"/>
          <w:sz w:val="16"/>
          <w:szCs w:val="16"/>
          <w:u w:val="single"/>
        </w:rPr>
        <w:t xml:space="preserve"> </w:t>
      </w:r>
      <w:hyperlink r:id="rId47" w:tgtFrame="_blank" w:history="1">
        <w:r w:rsidRPr="00E56E0A">
          <w:rPr>
            <w:rFonts w:ascii="Garamond" w:hAnsi="Garamond"/>
            <w:color w:val="1F3864" w:themeColor="accent5" w:themeShade="80"/>
            <w:sz w:val="16"/>
            <w:szCs w:val="16"/>
            <w:u w:val="single"/>
          </w:rPr>
          <w:t xml:space="preserve">CPP RDC et </w:t>
        </w:r>
        <w:proofErr w:type="spellStart"/>
        <w:r w:rsidRPr="00E56E0A">
          <w:rPr>
            <w:rFonts w:ascii="Garamond" w:hAnsi="Garamond"/>
            <w:color w:val="1F3864" w:themeColor="accent5" w:themeShade="80"/>
            <w:sz w:val="16"/>
            <w:szCs w:val="16"/>
            <w:u w:val="single"/>
          </w:rPr>
          <w:t>Caprikat</w:t>
        </w:r>
        <w:proofErr w:type="spellEnd"/>
        <w:r w:rsidRPr="00E56E0A">
          <w:rPr>
            <w:rFonts w:ascii="Garamond" w:hAnsi="Garamond"/>
            <w:color w:val="1F3864" w:themeColor="accent5" w:themeShade="80"/>
            <w:sz w:val="16"/>
            <w:szCs w:val="16"/>
            <w:u w:val="single"/>
          </w:rPr>
          <w:t xml:space="preserve"> Ltd et </w:t>
        </w:r>
        <w:proofErr w:type="spellStart"/>
        <w:r w:rsidRPr="00E56E0A">
          <w:rPr>
            <w:rFonts w:ascii="Garamond" w:hAnsi="Garamond"/>
            <w:color w:val="1F3864" w:themeColor="accent5" w:themeShade="80"/>
            <w:sz w:val="16"/>
            <w:szCs w:val="16"/>
            <w:u w:val="single"/>
          </w:rPr>
          <w:t>Foxwhelp</w:t>
        </w:r>
        <w:proofErr w:type="spellEnd"/>
        <w:r w:rsidRPr="00E56E0A">
          <w:rPr>
            <w:rFonts w:ascii="Garamond" w:hAnsi="Garamond"/>
            <w:color w:val="1F3864" w:themeColor="accent5" w:themeShade="80"/>
            <w:sz w:val="16"/>
            <w:szCs w:val="16"/>
            <w:u w:val="single"/>
          </w:rPr>
          <w:t xml:space="preserve"> Ltd sur les Blocs I &amp; II, Graben Albertine</w:t>
        </w:r>
      </w:hyperlink>
      <w:r w:rsidRPr="00E56E0A">
        <w:rPr>
          <w:rFonts w:ascii="Garamond" w:hAnsi="Garamond"/>
          <w:color w:val="1F3864" w:themeColor="accent5" w:themeShade="80"/>
          <w:sz w:val="16"/>
          <w:szCs w:val="16"/>
          <w:u w:val="single"/>
        </w:rPr>
        <w:t>. Article 5.3</w:t>
      </w:r>
    </w:p>
    <w:p w14:paraId="0B7E3BC8" w14:textId="77777777" w:rsidR="00005C6E" w:rsidRPr="00E56E0A" w:rsidRDefault="004735E0" w:rsidP="00005C6E">
      <w:pPr>
        <w:pStyle w:val="Paragraphedeliste"/>
        <w:numPr>
          <w:ilvl w:val="0"/>
          <w:numId w:val="39"/>
        </w:numPr>
        <w:tabs>
          <w:tab w:val="left" w:pos="7350"/>
        </w:tabs>
        <w:spacing w:after="0" w:line="240" w:lineRule="auto"/>
        <w:contextualSpacing w:val="0"/>
        <w:jc w:val="both"/>
        <w:rPr>
          <w:rFonts w:ascii="Garamond" w:hAnsi="Garamond"/>
          <w:color w:val="1F3864" w:themeColor="accent5" w:themeShade="80"/>
          <w:sz w:val="16"/>
          <w:szCs w:val="16"/>
        </w:rPr>
      </w:pPr>
      <w:hyperlink r:id="rId48" w:history="1">
        <w:proofErr w:type="spellStart"/>
        <w:r w:rsidR="00005C6E" w:rsidRPr="00E56E0A">
          <w:rPr>
            <w:rStyle w:val="Lienhypertexte"/>
            <w:rFonts w:ascii="Garamond" w:hAnsi="Garamond"/>
            <w:color w:val="023160" w:themeColor="hyperlink" w:themeShade="80"/>
            <w:sz w:val="16"/>
            <w:szCs w:val="16"/>
          </w:rPr>
          <w:t>Cfr</w:t>
        </w:r>
        <w:proofErr w:type="spellEnd"/>
        <w:r w:rsidR="00005C6E" w:rsidRPr="00E56E0A">
          <w:rPr>
            <w:rStyle w:val="Lienhypertexte"/>
            <w:rFonts w:ascii="Garamond" w:hAnsi="Garamond"/>
            <w:color w:val="023160" w:themeColor="hyperlink" w:themeShade="80"/>
            <w:sz w:val="16"/>
            <w:szCs w:val="16"/>
          </w:rPr>
          <w:t xml:space="preserve"> avenant 8 </w:t>
        </w:r>
        <w:proofErr w:type="gramStart"/>
        <w:r w:rsidR="00005C6E" w:rsidRPr="00E56E0A">
          <w:rPr>
            <w:rStyle w:val="Lienhypertexte"/>
            <w:rFonts w:ascii="Garamond" w:hAnsi="Garamond"/>
            <w:color w:val="023160" w:themeColor="hyperlink" w:themeShade="80"/>
            <w:sz w:val="16"/>
            <w:szCs w:val="16"/>
          </w:rPr>
          <w:t xml:space="preserve">du </w:t>
        </w:r>
        <w:proofErr w:type="gramEnd"/>
        <w:hyperlink r:id="rId49" w:tgtFrame="_blank" w:history="1">
          <w:r w:rsidR="00005C6E" w:rsidRPr="00E56E0A">
            <w:rPr>
              <w:rStyle w:val="Lienhypertexte"/>
              <w:rFonts w:ascii="Garamond" w:hAnsi="Garamond"/>
              <w:color w:val="023160" w:themeColor="hyperlink" w:themeShade="80"/>
              <w:sz w:val="16"/>
              <w:szCs w:val="16"/>
            </w:rPr>
            <w:t>Convention du 11 août 1969 sur les Concessions  179 Est Mibale et 189 Liawenda-Kinkazi, Bassin côtier</w:t>
          </w:r>
        </w:hyperlink>
        <w:r w:rsidR="00005C6E" w:rsidRPr="00E56E0A">
          <w:rPr>
            <w:rStyle w:val="Lienhypertexte"/>
            <w:rFonts w:ascii="Garamond" w:hAnsi="Garamond"/>
            <w:color w:val="023160" w:themeColor="hyperlink" w:themeShade="80"/>
            <w:sz w:val="16"/>
            <w:szCs w:val="16"/>
          </w:rPr>
          <w:t>. Article 8</w:t>
        </w:r>
      </w:hyperlink>
    </w:p>
    <w:p w14:paraId="04C83044" w14:textId="77777777" w:rsidR="00005C6E" w:rsidRPr="00E56E0A" w:rsidRDefault="004735E0" w:rsidP="00005C6E">
      <w:pPr>
        <w:pStyle w:val="Paragraphedeliste"/>
        <w:numPr>
          <w:ilvl w:val="0"/>
          <w:numId w:val="39"/>
        </w:numPr>
        <w:tabs>
          <w:tab w:val="left" w:pos="7350"/>
        </w:tabs>
        <w:spacing w:after="0" w:line="240" w:lineRule="auto"/>
        <w:contextualSpacing w:val="0"/>
        <w:jc w:val="both"/>
        <w:rPr>
          <w:rFonts w:ascii="Garamond" w:hAnsi="Garamond"/>
          <w:color w:val="1F3864" w:themeColor="accent5" w:themeShade="80"/>
          <w:sz w:val="16"/>
          <w:szCs w:val="16"/>
        </w:rPr>
      </w:pPr>
      <w:hyperlink r:id="rId50" w:history="1">
        <w:proofErr w:type="spellStart"/>
        <w:r w:rsidR="00005C6E" w:rsidRPr="00E56E0A">
          <w:rPr>
            <w:rStyle w:val="Lienhypertexte"/>
            <w:rFonts w:ascii="Garamond" w:hAnsi="Garamond"/>
            <w:color w:val="023160" w:themeColor="hyperlink" w:themeShade="80"/>
            <w:sz w:val="16"/>
            <w:szCs w:val="16"/>
          </w:rPr>
          <w:t>Cfr</w:t>
        </w:r>
        <w:proofErr w:type="spellEnd"/>
        <w:r w:rsidR="00005C6E" w:rsidRPr="00E56E0A">
          <w:rPr>
            <w:rStyle w:val="Lienhypertexte"/>
            <w:rFonts w:ascii="Garamond" w:hAnsi="Garamond"/>
            <w:color w:val="023160" w:themeColor="hyperlink" w:themeShade="80"/>
            <w:sz w:val="16"/>
            <w:szCs w:val="16"/>
          </w:rPr>
          <w:t xml:space="preserve"> CP bloc III du Graben Albertine. Article 5.3</w:t>
        </w:r>
      </w:hyperlink>
    </w:p>
    <w:p w14:paraId="0EF0548F" w14:textId="77777777" w:rsidR="00005C6E" w:rsidRDefault="00005C6E" w:rsidP="00005C6E">
      <w:pPr>
        <w:rPr>
          <w:rFonts w:ascii="Garamond" w:hAnsi="Garamond"/>
          <w:sz w:val="24"/>
          <w:szCs w:val="24"/>
        </w:rPr>
      </w:pPr>
    </w:p>
    <w:p w14:paraId="34E899BD" w14:textId="77777777" w:rsidR="00005C6E" w:rsidRPr="008614DD" w:rsidRDefault="00005C6E" w:rsidP="00005C6E">
      <w:pPr>
        <w:rPr>
          <w:rFonts w:ascii="Times New Roman" w:hAnsi="Times New Roman"/>
          <w:sz w:val="24"/>
          <w:szCs w:val="24"/>
        </w:rPr>
      </w:pPr>
      <w:r w:rsidRPr="008614DD">
        <w:rPr>
          <w:rFonts w:ascii="Times New Roman" w:hAnsi="Times New Roman"/>
          <w:sz w:val="24"/>
          <w:szCs w:val="24"/>
        </w:rPr>
        <w:t xml:space="preserve">Les paiements reportés par les sociétés minières,  soit </w:t>
      </w:r>
      <w:r>
        <w:rPr>
          <w:rFonts w:ascii="Times New Roman" w:hAnsi="Times New Roman"/>
          <w:sz w:val="24"/>
          <w:szCs w:val="24"/>
        </w:rPr>
        <w:t>18</w:t>
      </w:r>
      <w:r w:rsidRPr="008614DD">
        <w:rPr>
          <w:rFonts w:ascii="Times New Roman" w:hAnsi="Times New Roman"/>
          <w:sz w:val="24"/>
          <w:szCs w:val="24"/>
        </w:rPr>
        <w:t xml:space="preserve"> entreprises, au titre des dépenses sociales s’élèvent à  25 047 699 USD et sont agrégés comme suit:</w:t>
      </w:r>
    </w:p>
    <w:p w14:paraId="5A5EAC71" w14:textId="77777777" w:rsidR="00005C6E" w:rsidRPr="00E56E0A" w:rsidRDefault="00005C6E" w:rsidP="00005C6E">
      <w:pPr>
        <w:pStyle w:val="Paragraphedeliste"/>
        <w:spacing w:after="0"/>
        <w:ind w:left="927" w:right="110"/>
        <w:jc w:val="right"/>
        <w:rPr>
          <w:rFonts w:ascii="Garamond" w:hAnsi="Garamond"/>
          <w:bCs/>
          <w:sz w:val="16"/>
          <w:szCs w:val="16"/>
          <w:lang w:eastAsia="fr-FR"/>
        </w:rPr>
      </w:pPr>
    </w:p>
    <w:tbl>
      <w:tblPr>
        <w:tblStyle w:val="TableauGrille1Clair1"/>
        <w:tblW w:w="9843" w:type="dxa"/>
        <w:tblLayout w:type="fixed"/>
        <w:tblLook w:val="04A0" w:firstRow="1" w:lastRow="0" w:firstColumn="1" w:lastColumn="0" w:noHBand="0" w:noVBand="1"/>
      </w:tblPr>
      <w:tblGrid>
        <w:gridCol w:w="426"/>
        <w:gridCol w:w="3322"/>
        <w:gridCol w:w="1276"/>
        <w:gridCol w:w="1134"/>
        <w:gridCol w:w="1276"/>
        <w:gridCol w:w="1224"/>
        <w:gridCol w:w="1185"/>
      </w:tblGrid>
      <w:tr w:rsidR="00005C6E" w:rsidRPr="00E56E0A" w14:paraId="6A0AC215" w14:textId="77777777" w:rsidTr="0054038F">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426" w:type="dxa"/>
          </w:tcPr>
          <w:p w14:paraId="7D0A6182" w14:textId="77777777" w:rsidR="00005C6E" w:rsidRPr="00E56E0A" w:rsidRDefault="00005C6E" w:rsidP="0054038F">
            <w:pPr>
              <w:rPr>
                <w:rFonts w:ascii="Garamond" w:eastAsia="Times New Roman" w:hAnsi="Garamond" w:cs="Calibri"/>
                <w:b w:val="0"/>
                <w:sz w:val="18"/>
                <w:szCs w:val="18"/>
                <w:lang w:eastAsia="fr-FR"/>
              </w:rPr>
            </w:pPr>
          </w:p>
        </w:tc>
        <w:tc>
          <w:tcPr>
            <w:tcW w:w="3322" w:type="dxa"/>
            <w:vMerge w:val="restart"/>
            <w:noWrap/>
            <w:vAlign w:val="center"/>
            <w:hideMark/>
          </w:tcPr>
          <w:p w14:paraId="124BBF1A" w14:textId="77777777" w:rsidR="00005C6E" w:rsidRPr="00FE6F06" w:rsidRDefault="00005C6E" w:rsidP="0054038F">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b w:val="0"/>
                <w:sz w:val="18"/>
                <w:szCs w:val="18"/>
                <w:lang w:eastAsia="fr-FR"/>
              </w:rPr>
            </w:pPr>
            <w:r w:rsidRPr="00FE6F06">
              <w:rPr>
                <w:rFonts w:ascii="Garamond" w:eastAsia="Times New Roman" w:hAnsi="Garamond" w:cs="Calibri"/>
                <w:b w:val="0"/>
                <w:sz w:val="18"/>
                <w:szCs w:val="18"/>
                <w:lang w:eastAsia="fr-FR"/>
              </w:rPr>
              <w:t>Entreprise</w:t>
            </w:r>
          </w:p>
        </w:tc>
        <w:tc>
          <w:tcPr>
            <w:tcW w:w="2410" w:type="dxa"/>
            <w:gridSpan w:val="2"/>
            <w:noWrap/>
            <w:hideMark/>
          </w:tcPr>
          <w:p w14:paraId="7EEEFA1F" w14:textId="77777777" w:rsidR="00005C6E" w:rsidRPr="00FE6F06" w:rsidRDefault="00005C6E" w:rsidP="0054038F">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sz w:val="18"/>
                <w:szCs w:val="18"/>
                <w:lang w:eastAsia="fr-FR"/>
              </w:rPr>
            </w:pPr>
            <w:r w:rsidRPr="00E56E0A">
              <w:rPr>
                <w:rFonts w:ascii="Garamond" w:eastAsia="Times New Roman" w:hAnsi="Garamond" w:cs="Calibri"/>
                <w:sz w:val="18"/>
                <w:szCs w:val="18"/>
                <w:lang w:eastAsia="fr-FR"/>
              </w:rPr>
              <w:t xml:space="preserve">Dépenses sociales </w:t>
            </w:r>
            <w:r w:rsidRPr="00FE6F06">
              <w:rPr>
                <w:rFonts w:ascii="Garamond" w:eastAsia="Times New Roman" w:hAnsi="Garamond" w:cs="Calibri"/>
                <w:sz w:val="18"/>
                <w:szCs w:val="18"/>
                <w:lang w:eastAsia="fr-FR"/>
              </w:rPr>
              <w:t>obligatoires</w:t>
            </w:r>
          </w:p>
        </w:tc>
        <w:tc>
          <w:tcPr>
            <w:tcW w:w="2500" w:type="dxa"/>
            <w:gridSpan w:val="2"/>
            <w:noWrap/>
            <w:hideMark/>
          </w:tcPr>
          <w:p w14:paraId="30FE6183" w14:textId="77777777" w:rsidR="00005C6E" w:rsidRPr="00FE6F06" w:rsidRDefault="00005C6E" w:rsidP="0054038F">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sz w:val="18"/>
                <w:szCs w:val="18"/>
                <w:lang w:eastAsia="fr-FR"/>
              </w:rPr>
            </w:pPr>
            <w:r w:rsidRPr="00E56E0A">
              <w:rPr>
                <w:rFonts w:ascii="Garamond" w:eastAsia="Times New Roman" w:hAnsi="Garamond" w:cs="Calibri"/>
                <w:sz w:val="18"/>
                <w:szCs w:val="18"/>
                <w:lang w:eastAsia="fr-FR"/>
              </w:rPr>
              <w:t>Dépenses sociales</w:t>
            </w:r>
            <w:r w:rsidRPr="00FE6F06">
              <w:rPr>
                <w:rFonts w:ascii="Garamond" w:eastAsia="Times New Roman" w:hAnsi="Garamond" w:cs="Calibri"/>
                <w:sz w:val="18"/>
                <w:szCs w:val="18"/>
                <w:lang w:eastAsia="fr-FR"/>
              </w:rPr>
              <w:t xml:space="preserve"> volontaires</w:t>
            </w:r>
          </w:p>
        </w:tc>
        <w:tc>
          <w:tcPr>
            <w:tcW w:w="1185" w:type="dxa"/>
            <w:vMerge w:val="restart"/>
            <w:noWrap/>
            <w:hideMark/>
          </w:tcPr>
          <w:p w14:paraId="29EFA7F2" w14:textId="77777777" w:rsidR="00005C6E" w:rsidRPr="00FE6F06" w:rsidRDefault="00005C6E" w:rsidP="0054038F">
            <w:pPr>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b w:val="0"/>
                <w:sz w:val="18"/>
                <w:szCs w:val="18"/>
                <w:lang w:eastAsia="fr-FR"/>
              </w:rPr>
            </w:pPr>
            <w:r w:rsidRPr="00FE6F06">
              <w:rPr>
                <w:rFonts w:ascii="Garamond" w:eastAsia="Times New Roman" w:hAnsi="Garamond" w:cs="Calibri"/>
                <w:b w:val="0"/>
                <w:sz w:val="18"/>
                <w:szCs w:val="18"/>
                <w:lang w:eastAsia="fr-FR"/>
              </w:rPr>
              <w:t>Total</w:t>
            </w:r>
          </w:p>
        </w:tc>
      </w:tr>
      <w:tr w:rsidR="00005C6E" w:rsidRPr="00E56E0A" w14:paraId="6A02F9CB" w14:textId="77777777" w:rsidTr="0054038F">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426" w:type="dxa"/>
          </w:tcPr>
          <w:p w14:paraId="39C4914C" w14:textId="77777777" w:rsidR="00005C6E" w:rsidRPr="00E56E0A" w:rsidRDefault="00005C6E" w:rsidP="0054038F">
            <w:pPr>
              <w:rPr>
                <w:rFonts w:ascii="Garamond" w:eastAsia="Times New Roman" w:hAnsi="Garamond" w:cs="Calibri"/>
                <w:b w:val="0"/>
                <w:sz w:val="18"/>
                <w:szCs w:val="18"/>
                <w:lang w:eastAsia="fr-FR"/>
              </w:rPr>
            </w:pPr>
          </w:p>
        </w:tc>
        <w:tc>
          <w:tcPr>
            <w:tcW w:w="3322" w:type="dxa"/>
            <w:vMerge/>
            <w:hideMark/>
          </w:tcPr>
          <w:p w14:paraId="4506D924" w14:textId="77777777" w:rsidR="00005C6E" w:rsidRPr="00FE6F06" w:rsidRDefault="00005C6E" w:rsidP="0054038F">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b w:val="0"/>
                <w:sz w:val="18"/>
                <w:szCs w:val="18"/>
                <w:lang w:eastAsia="fr-FR"/>
              </w:rPr>
            </w:pPr>
          </w:p>
        </w:tc>
        <w:tc>
          <w:tcPr>
            <w:tcW w:w="1276" w:type="dxa"/>
            <w:noWrap/>
            <w:hideMark/>
          </w:tcPr>
          <w:p w14:paraId="32C50D53" w14:textId="77777777" w:rsidR="00005C6E" w:rsidRPr="00FE6F06" w:rsidRDefault="00005C6E" w:rsidP="0054038F">
            <w:pPr>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b w:val="0"/>
                <w:sz w:val="18"/>
                <w:szCs w:val="18"/>
                <w:lang w:eastAsia="fr-FR"/>
              </w:rPr>
            </w:pPr>
            <w:r w:rsidRPr="00FE6F06">
              <w:rPr>
                <w:rFonts w:ascii="Garamond" w:eastAsia="Times New Roman" w:hAnsi="Garamond" w:cs="Calibri"/>
                <w:sz w:val="18"/>
                <w:szCs w:val="18"/>
                <w:lang w:eastAsia="fr-FR"/>
              </w:rPr>
              <w:t>En numéraire</w:t>
            </w:r>
          </w:p>
        </w:tc>
        <w:tc>
          <w:tcPr>
            <w:tcW w:w="1134" w:type="dxa"/>
            <w:noWrap/>
            <w:hideMark/>
          </w:tcPr>
          <w:p w14:paraId="4C9CFB6C" w14:textId="77777777" w:rsidR="00005C6E" w:rsidRPr="00FE6F06" w:rsidRDefault="00005C6E" w:rsidP="0054038F">
            <w:pPr>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b w:val="0"/>
                <w:sz w:val="18"/>
                <w:szCs w:val="18"/>
                <w:lang w:eastAsia="fr-FR"/>
              </w:rPr>
            </w:pPr>
            <w:r w:rsidRPr="00FE6F06">
              <w:rPr>
                <w:rFonts w:ascii="Garamond" w:eastAsia="Times New Roman" w:hAnsi="Garamond" w:cs="Calibri"/>
                <w:sz w:val="18"/>
                <w:szCs w:val="18"/>
                <w:lang w:eastAsia="fr-FR"/>
              </w:rPr>
              <w:t>En nature</w:t>
            </w:r>
          </w:p>
        </w:tc>
        <w:tc>
          <w:tcPr>
            <w:tcW w:w="1276" w:type="dxa"/>
            <w:noWrap/>
            <w:hideMark/>
          </w:tcPr>
          <w:p w14:paraId="3D664902" w14:textId="77777777" w:rsidR="00005C6E" w:rsidRPr="00FE6F06" w:rsidRDefault="00005C6E" w:rsidP="0054038F">
            <w:pPr>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b w:val="0"/>
                <w:sz w:val="18"/>
                <w:szCs w:val="18"/>
                <w:lang w:eastAsia="fr-FR"/>
              </w:rPr>
            </w:pPr>
            <w:r w:rsidRPr="00FE6F06">
              <w:rPr>
                <w:rFonts w:ascii="Garamond" w:eastAsia="Times New Roman" w:hAnsi="Garamond" w:cs="Calibri"/>
                <w:sz w:val="18"/>
                <w:szCs w:val="18"/>
                <w:lang w:eastAsia="fr-FR"/>
              </w:rPr>
              <w:t>En numéraire</w:t>
            </w:r>
          </w:p>
        </w:tc>
        <w:tc>
          <w:tcPr>
            <w:tcW w:w="1224" w:type="dxa"/>
            <w:noWrap/>
            <w:hideMark/>
          </w:tcPr>
          <w:p w14:paraId="180BA559" w14:textId="77777777" w:rsidR="00005C6E" w:rsidRPr="00FE6F06" w:rsidRDefault="00005C6E" w:rsidP="0054038F">
            <w:pPr>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b w:val="0"/>
                <w:sz w:val="18"/>
                <w:szCs w:val="18"/>
                <w:lang w:eastAsia="fr-FR"/>
              </w:rPr>
            </w:pPr>
            <w:r w:rsidRPr="00FE6F06">
              <w:rPr>
                <w:rFonts w:ascii="Garamond" w:eastAsia="Times New Roman" w:hAnsi="Garamond" w:cs="Calibri"/>
                <w:sz w:val="18"/>
                <w:szCs w:val="18"/>
                <w:lang w:eastAsia="fr-FR"/>
              </w:rPr>
              <w:t>En nature</w:t>
            </w:r>
          </w:p>
        </w:tc>
        <w:tc>
          <w:tcPr>
            <w:tcW w:w="1185" w:type="dxa"/>
            <w:vMerge/>
            <w:hideMark/>
          </w:tcPr>
          <w:p w14:paraId="11D31616" w14:textId="77777777" w:rsidR="00005C6E" w:rsidRPr="00FE6F06" w:rsidRDefault="00005C6E" w:rsidP="0054038F">
            <w:pPr>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b w:val="0"/>
                <w:sz w:val="18"/>
                <w:szCs w:val="18"/>
                <w:lang w:eastAsia="fr-FR"/>
              </w:rPr>
            </w:pPr>
          </w:p>
        </w:tc>
      </w:tr>
      <w:tr w:rsidR="00005C6E" w:rsidRPr="00E56E0A" w14:paraId="1CB970CD"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0F35DC9B"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1</w:t>
            </w:r>
          </w:p>
        </w:tc>
        <w:tc>
          <w:tcPr>
            <w:tcW w:w="3322" w:type="dxa"/>
            <w:noWrap/>
            <w:hideMark/>
          </w:tcPr>
          <w:p w14:paraId="205CE374"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BOSS MINING</w:t>
            </w:r>
          </w:p>
        </w:tc>
        <w:tc>
          <w:tcPr>
            <w:tcW w:w="1276" w:type="dxa"/>
            <w:noWrap/>
            <w:hideMark/>
          </w:tcPr>
          <w:p w14:paraId="268E9503"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34" w:type="dxa"/>
            <w:noWrap/>
            <w:hideMark/>
          </w:tcPr>
          <w:p w14:paraId="46F74C96"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76" w:type="dxa"/>
            <w:noWrap/>
            <w:hideMark/>
          </w:tcPr>
          <w:p w14:paraId="1841EEAF"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2 136 505</w:t>
            </w:r>
          </w:p>
        </w:tc>
        <w:tc>
          <w:tcPr>
            <w:tcW w:w="1224" w:type="dxa"/>
            <w:noWrap/>
            <w:hideMark/>
          </w:tcPr>
          <w:p w14:paraId="346E8166"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2 636 166</w:t>
            </w:r>
          </w:p>
        </w:tc>
        <w:tc>
          <w:tcPr>
            <w:tcW w:w="1185" w:type="dxa"/>
            <w:noWrap/>
            <w:hideMark/>
          </w:tcPr>
          <w:p w14:paraId="0E66E705"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4 772 671</w:t>
            </w:r>
          </w:p>
        </w:tc>
      </w:tr>
      <w:tr w:rsidR="00005C6E" w:rsidRPr="00E56E0A" w14:paraId="4B83E906"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112934FA"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2</w:t>
            </w:r>
          </w:p>
        </w:tc>
        <w:tc>
          <w:tcPr>
            <w:tcW w:w="3322" w:type="dxa"/>
            <w:noWrap/>
            <w:hideMark/>
          </w:tcPr>
          <w:p w14:paraId="74E21FC0"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Pr>
                <w:rFonts w:ascii="Garamond" w:eastAsia="Times New Roman" w:hAnsi="Garamond" w:cs="Calibri"/>
                <w:color w:val="000000"/>
                <w:sz w:val="18"/>
                <w:szCs w:val="18"/>
                <w:lang w:eastAsia="fr-FR"/>
              </w:rPr>
              <w:t>COMIKA</w:t>
            </w:r>
          </w:p>
        </w:tc>
        <w:tc>
          <w:tcPr>
            <w:tcW w:w="1276" w:type="dxa"/>
            <w:noWrap/>
            <w:hideMark/>
          </w:tcPr>
          <w:p w14:paraId="21E90D27"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34" w:type="dxa"/>
            <w:noWrap/>
            <w:hideMark/>
          </w:tcPr>
          <w:p w14:paraId="04AA4326"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76" w:type="dxa"/>
            <w:noWrap/>
            <w:hideMark/>
          </w:tcPr>
          <w:p w14:paraId="12DEC234"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2 144</w:t>
            </w:r>
          </w:p>
        </w:tc>
        <w:tc>
          <w:tcPr>
            <w:tcW w:w="1224" w:type="dxa"/>
            <w:noWrap/>
            <w:hideMark/>
          </w:tcPr>
          <w:p w14:paraId="06CCFD9D"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750</w:t>
            </w:r>
          </w:p>
        </w:tc>
        <w:tc>
          <w:tcPr>
            <w:tcW w:w="1185" w:type="dxa"/>
            <w:noWrap/>
            <w:hideMark/>
          </w:tcPr>
          <w:p w14:paraId="012A36C6"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2 894</w:t>
            </w:r>
          </w:p>
        </w:tc>
      </w:tr>
      <w:tr w:rsidR="00005C6E" w:rsidRPr="00E56E0A" w14:paraId="20F3B864"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1E8F73A2"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3</w:t>
            </w:r>
          </w:p>
        </w:tc>
        <w:tc>
          <w:tcPr>
            <w:tcW w:w="3322" w:type="dxa"/>
            <w:noWrap/>
            <w:hideMark/>
          </w:tcPr>
          <w:p w14:paraId="0053D4BD"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CONGO DONGFANG INTERNATIONAL MINING</w:t>
            </w:r>
          </w:p>
        </w:tc>
        <w:tc>
          <w:tcPr>
            <w:tcW w:w="1276" w:type="dxa"/>
            <w:noWrap/>
            <w:hideMark/>
          </w:tcPr>
          <w:p w14:paraId="2B1503B2"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34" w:type="dxa"/>
            <w:noWrap/>
            <w:hideMark/>
          </w:tcPr>
          <w:p w14:paraId="603B7D82"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76" w:type="dxa"/>
            <w:noWrap/>
            <w:hideMark/>
          </w:tcPr>
          <w:p w14:paraId="654AD524"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39 164</w:t>
            </w:r>
          </w:p>
        </w:tc>
        <w:tc>
          <w:tcPr>
            <w:tcW w:w="1224" w:type="dxa"/>
            <w:noWrap/>
            <w:hideMark/>
          </w:tcPr>
          <w:p w14:paraId="02DFBC05"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46 995</w:t>
            </w:r>
          </w:p>
        </w:tc>
        <w:tc>
          <w:tcPr>
            <w:tcW w:w="1185" w:type="dxa"/>
            <w:noWrap/>
            <w:hideMark/>
          </w:tcPr>
          <w:p w14:paraId="5C3CBB8B"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86 159</w:t>
            </w:r>
          </w:p>
        </w:tc>
      </w:tr>
      <w:tr w:rsidR="00005C6E" w:rsidRPr="00E56E0A" w14:paraId="2FB3B3EC"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40F5863B"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4</w:t>
            </w:r>
          </w:p>
        </w:tc>
        <w:tc>
          <w:tcPr>
            <w:tcW w:w="3322" w:type="dxa"/>
            <w:noWrap/>
            <w:hideMark/>
          </w:tcPr>
          <w:p w14:paraId="262B5E3A"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FRONTIER SPRL</w:t>
            </w:r>
          </w:p>
        </w:tc>
        <w:tc>
          <w:tcPr>
            <w:tcW w:w="1276" w:type="dxa"/>
            <w:noWrap/>
            <w:hideMark/>
          </w:tcPr>
          <w:p w14:paraId="68CA93E9"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34" w:type="dxa"/>
            <w:noWrap/>
            <w:hideMark/>
          </w:tcPr>
          <w:p w14:paraId="3E993E5E"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76" w:type="dxa"/>
            <w:noWrap/>
            <w:hideMark/>
          </w:tcPr>
          <w:p w14:paraId="17FA6522"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93 275</w:t>
            </w:r>
          </w:p>
        </w:tc>
        <w:tc>
          <w:tcPr>
            <w:tcW w:w="1224" w:type="dxa"/>
            <w:noWrap/>
            <w:hideMark/>
          </w:tcPr>
          <w:p w14:paraId="7C0679AD"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1 014 286</w:t>
            </w:r>
          </w:p>
        </w:tc>
        <w:tc>
          <w:tcPr>
            <w:tcW w:w="1185" w:type="dxa"/>
            <w:noWrap/>
            <w:hideMark/>
          </w:tcPr>
          <w:p w14:paraId="1F76E81F"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1 107 561</w:t>
            </w:r>
          </w:p>
        </w:tc>
      </w:tr>
      <w:tr w:rsidR="00005C6E" w:rsidRPr="00E56E0A" w14:paraId="1F3D1F89"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1C0A233A"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5</w:t>
            </w:r>
          </w:p>
        </w:tc>
        <w:tc>
          <w:tcPr>
            <w:tcW w:w="3322" w:type="dxa"/>
            <w:noWrap/>
            <w:hideMark/>
          </w:tcPr>
          <w:p w14:paraId="4BF62E47"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Pr>
                <w:rFonts w:ascii="Garamond" w:eastAsia="Times New Roman" w:hAnsi="Garamond" w:cs="Calibri"/>
                <w:color w:val="000000"/>
                <w:sz w:val="18"/>
                <w:szCs w:val="18"/>
                <w:lang w:eastAsia="fr-FR"/>
              </w:rPr>
              <w:t>GTL</w:t>
            </w:r>
          </w:p>
        </w:tc>
        <w:tc>
          <w:tcPr>
            <w:tcW w:w="1276" w:type="dxa"/>
            <w:noWrap/>
            <w:hideMark/>
          </w:tcPr>
          <w:p w14:paraId="3E5A3B33"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34" w:type="dxa"/>
            <w:noWrap/>
            <w:hideMark/>
          </w:tcPr>
          <w:p w14:paraId="269DF277"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76" w:type="dxa"/>
            <w:noWrap/>
            <w:hideMark/>
          </w:tcPr>
          <w:p w14:paraId="146B7807"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24" w:type="dxa"/>
            <w:noWrap/>
            <w:hideMark/>
          </w:tcPr>
          <w:p w14:paraId="79E8723E"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185" w:type="dxa"/>
            <w:noWrap/>
            <w:hideMark/>
          </w:tcPr>
          <w:p w14:paraId="65739C39"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0</w:t>
            </w:r>
          </w:p>
        </w:tc>
      </w:tr>
      <w:tr w:rsidR="00005C6E" w:rsidRPr="00E56E0A" w14:paraId="59F9E3FB"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06EF82AB"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6</w:t>
            </w:r>
          </w:p>
        </w:tc>
        <w:tc>
          <w:tcPr>
            <w:tcW w:w="3322" w:type="dxa"/>
            <w:noWrap/>
            <w:hideMark/>
          </w:tcPr>
          <w:p w14:paraId="2D74A0EE"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KAMOTO COPPER COMPANY SA</w:t>
            </w:r>
          </w:p>
        </w:tc>
        <w:tc>
          <w:tcPr>
            <w:tcW w:w="1276" w:type="dxa"/>
            <w:noWrap/>
            <w:hideMark/>
          </w:tcPr>
          <w:p w14:paraId="6E4E96E3"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34" w:type="dxa"/>
            <w:noWrap/>
            <w:hideMark/>
          </w:tcPr>
          <w:p w14:paraId="57FF66CB"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11 609 371</w:t>
            </w:r>
          </w:p>
        </w:tc>
        <w:tc>
          <w:tcPr>
            <w:tcW w:w="1276" w:type="dxa"/>
            <w:noWrap/>
            <w:hideMark/>
          </w:tcPr>
          <w:p w14:paraId="7C175BF9"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224" w:type="dxa"/>
            <w:noWrap/>
            <w:hideMark/>
          </w:tcPr>
          <w:p w14:paraId="273064AE"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185" w:type="dxa"/>
            <w:noWrap/>
            <w:hideMark/>
          </w:tcPr>
          <w:p w14:paraId="06933F8E"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11 609 371</w:t>
            </w:r>
          </w:p>
        </w:tc>
      </w:tr>
      <w:tr w:rsidR="00005C6E" w:rsidRPr="00E56E0A" w14:paraId="62F86189"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62ABF344"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7</w:t>
            </w:r>
          </w:p>
        </w:tc>
        <w:tc>
          <w:tcPr>
            <w:tcW w:w="3322" w:type="dxa"/>
            <w:noWrap/>
            <w:hideMark/>
          </w:tcPr>
          <w:p w14:paraId="79A064CC"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KIBALI GOLD MINES</w:t>
            </w:r>
          </w:p>
        </w:tc>
        <w:tc>
          <w:tcPr>
            <w:tcW w:w="1276" w:type="dxa"/>
            <w:noWrap/>
            <w:hideMark/>
          </w:tcPr>
          <w:p w14:paraId="1947D1EF"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34" w:type="dxa"/>
            <w:noWrap/>
            <w:hideMark/>
          </w:tcPr>
          <w:p w14:paraId="734D7FFC"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76" w:type="dxa"/>
            <w:noWrap/>
            <w:hideMark/>
          </w:tcPr>
          <w:p w14:paraId="7F33CF4B"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2 200 068</w:t>
            </w:r>
          </w:p>
        </w:tc>
        <w:tc>
          <w:tcPr>
            <w:tcW w:w="1224" w:type="dxa"/>
            <w:noWrap/>
            <w:hideMark/>
          </w:tcPr>
          <w:p w14:paraId="01A46E0E"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85" w:type="dxa"/>
            <w:noWrap/>
            <w:hideMark/>
          </w:tcPr>
          <w:p w14:paraId="1C1EC1AA"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2 200 068</w:t>
            </w:r>
          </w:p>
        </w:tc>
      </w:tr>
      <w:tr w:rsidR="00005C6E" w:rsidRPr="00E56E0A" w14:paraId="55FBCF0E"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6DC2B4BF"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lastRenderedPageBreak/>
              <w:t>8</w:t>
            </w:r>
          </w:p>
        </w:tc>
        <w:tc>
          <w:tcPr>
            <w:tcW w:w="3322" w:type="dxa"/>
            <w:noWrap/>
            <w:hideMark/>
          </w:tcPr>
          <w:p w14:paraId="619D022A"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METAL MINES</w:t>
            </w:r>
          </w:p>
        </w:tc>
        <w:tc>
          <w:tcPr>
            <w:tcW w:w="1276" w:type="dxa"/>
            <w:noWrap/>
            <w:hideMark/>
          </w:tcPr>
          <w:p w14:paraId="5F68EBFC"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34" w:type="dxa"/>
            <w:noWrap/>
            <w:hideMark/>
          </w:tcPr>
          <w:p w14:paraId="5731FD82"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76" w:type="dxa"/>
            <w:noWrap/>
            <w:hideMark/>
          </w:tcPr>
          <w:p w14:paraId="33D751B3"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204 606</w:t>
            </w:r>
          </w:p>
        </w:tc>
        <w:tc>
          <w:tcPr>
            <w:tcW w:w="1224" w:type="dxa"/>
            <w:noWrap/>
            <w:hideMark/>
          </w:tcPr>
          <w:p w14:paraId="666601F6"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85" w:type="dxa"/>
            <w:noWrap/>
            <w:hideMark/>
          </w:tcPr>
          <w:p w14:paraId="72663493"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204 606</w:t>
            </w:r>
          </w:p>
        </w:tc>
      </w:tr>
      <w:tr w:rsidR="00005C6E" w:rsidRPr="00E56E0A" w14:paraId="120511C8"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38433C67"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9</w:t>
            </w:r>
          </w:p>
        </w:tc>
        <w:tc>
          <w:tcPr>
            <w:tcW w:w="3322" w:type="dxa"/>
            <w:noWrap/>
            <w:hideMark/>
          </w:tcPr>
          <w:p w14:paraId="06711FFA"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MMG KINSEVERE SPRL</w:t>
            </w:r>
          </w:p>
        </w:tc>
        <w:tc>
          <w:tcPr>
            <w:tcW w:w="1276" w:type="dxa"/>
            <w:noWrap/>
            <w:hideMark/>
          </w:tcPr>
          <w:p w14:paraId="3CE46428"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34" w:type="dxa"/>
            <w:noWrap/>
            <w:hideMark/>
          </w:tcPr>
          <w:p w14:paraId="20E31E10"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695 089</w:t>
            </w:r>
          </w:p>
        </w:tc>
        <w:tc>
          <w:tcPr>
            <w:tcW w:w="1276" w:type="dxa"/>
            <w:noWrap/>
            <w:hideMark/>
          </w:tcPr>
          <w:p w14:paraId="440502E3"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200 504</w:t>
            </w:r>
          </w:p>
        </w:tc>
        <w:tc>
          <w:tcPr>
            <w:tcW w:w="1224" w:type="dxa"/>
            <w:noWrap/>
            <w:hideMark/>
          </w:tcPr>
          <w:p w14:paraId="0F4C855A"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90 895</w:t>
            </w:r>
          </w:p>
        </w:tc>
        <w:tc>
          <w:tcPr>
            <w:tcW w:w="1185" w:type="dxa"/>
            <w:noWrap/>
            <w:hideMark/>
          </w:tcPr>
          <w:p w14:paraId="05A47ABB"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986 488</w:t>
            </w:r>
          </w:p>
        </w:tc>
      </w:tr>
      <w:tr w:rsidR="00005C6E" w:rsidRPr="00E56E0A" w14:paraId="4A30D659"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6787E1D2"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10</w:t>
            </w:r>
          </w:p>
        </w:tc>
        <w:tc>
          <w:tcPr>
            <w:tcW w:w="3322" w:type="dxa"/>
            <w:noWrap/>
            <w:hideMark/>
          </w:tcPr>
          <w:p w14:paraId="62EF3005"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MUTANDA MINING</w:t>
            </w:r>
          </w:p>
        </w:tc>
        <w:tc>
          <w:tcPr>
            <w:tcW w:w="1276" w:type="dxa"/>
            <w:noWrap/>
            <w:hideMark/>
          </w:tcPr>
          <w:p w14:paraId="0D121DE4"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34" w:type="dxa"/>
            <w:noWrap/>
            <w:hideMark/>
          </w:tcPr>
          <w:p w14:paraId="0B1160CA"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76" w:type="dxa"/>
            <w:noWrap/>
            <w:hideMark/>
          </w:tcPr>
          <w:p w14:paraId="34BAD843"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1 614 951</w:t>
            </w:r>
          </w:p>
        </w:tc>
        <w:tc>
          <w:tcPr>
            <w:tcW w:w="1224" w:type="dxa"/>
            <w:noWrap/>
            <w:hideMark/>
          </w:tcPr>
          <w:p w14:paraId="7F0742A0"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85" w:type="dxa"/>
            <w:noWrap/>
            <w:hideMark/>
          </w:tcPr>
          <w:p w14:paraId="5493EE7B"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1 614 951</w:t>
            </w:r>
          </w:p>
        </w:tc>
      </w:tr>
      <w:tr w:rsidR="00005C6E" w:rsidRPr="00E56E0A" w14:paraId="716F1A68"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4E9C033A"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11</w:t>
            </w:r>
          </w:p>
        </w:tc>
        <w:tc>
          <w:tcPr>
            <w:tcW w:w="3322" w:type="dxa"/>
            <w:noWrap/>
            <w:hideMark/>
          </w:tcPr>
          <w:p w14:paraId="52349B51"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RUASHI MINING</w:t>
            </w:r>
          </w:p>
        </w:tc>
        <w:tc>
          <w:tcPr>
            <w:tcW w:w="1276" w:type="dxa"/>
            <w:noWrap/>
            <w:hideMark/>
          </w:tcPr>
          <w:p w14:paraId="473744B2"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34" w:type="dxa"/>
            <w:noWrap/>
            <w:hideMark/>
          </w:tcPr>
          <w:p w14:paraId="2E534B70"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76" w:type="dxa"/>
            <w:noWrap/>
            <w:hideMark/>
          </w:tcPr>
          <w:p w14:paraId="4C81DB4F"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740 000</w:t>
            </w:r>
          </w:p>
        </w:tc>
        <w:tc>
          <w:tcPr>
            <w:tcW w:w="1224" w:type="dxa"/>
            <w:noWrap/>
            <w:hideMark/>
          </w:tcPr>
          <w:p w14:paraId="2CC73473"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85" w:type="dxa"/>
            <w:noWrap/>
            <w:hideMark/>
          </w:tcPr>
          <w:p w14:paraId="7133F5F1"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740 000</w:t>
            </w:r>
          </w:p>
        </w:tc>
      </w:tr>
      <w:tr w:rsidR="00005C6E" w:rsidRPr="00E56E0A" w14:paraId="5B5DA0CF"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4E54EB5C"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12</w:t>
            </w:r>
          </w:p>
        </w:tc>
        <w:tc>
          <w:tcPr>
            <w:tcW w:w="3322" w:type="dxa"/>
            <w:noWrap/>
            <w:hideMark/>
          </w:tcPr>
          <w:p w14:paraId="2AD611B3"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SINO CONGOLAISE DES MINES</w:t>
            </w:r>
          </w:p>
        </w:tc>
        <w:tc>
          <w:tcPr>
            <w:tcW w:w="1276" w:type="dxa"/>
            <w:noWrap/>
            <w:hideMark/>
          </w:tcPr>
          <w:p w14:paraId="7171BB5E"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34" w:type="dxa"/>
            <w:noWrap/>
            <w:hideMark/>
          </w:tcPr>
          <w:p w14:paraId="332DFFF5"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76" w:type="dxa"/>
            <w:noWrap/>
            <w:hideMark/>
          </w:tcPr>
          <w:p w14:paraId="06C128C2"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13 600</w:t>
            </w:r>
          </w:p>
        </w:tc>
        <w:tc>
          <w:tcPr>
            <w:tcW w:w="1224" w:type="dxa"/>
            <w:noWrap/>
            <w:hideMark/>
          </w:tcPr>
          <w:p w14:paraId="3B454A48"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983 481</w:t>
            </w:r>
          </w:p>
        </w:tc>
        <w:tc>
          <w:tcPr>
            <w:tcW w:w="1185" w:type="dxa"/>
            <w:noWrap/>
            <w:hideMark/>
          </w:tcPr>
          <w:p w14:paraId="6C3F81A6"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997 081</w:t>
            </w:r>
          </w:p>
        </w:tc>
      </w:tr>
      <w:tr w:rsidR="00005C6E" w:rsidRPr="00E56E0A" w14:paraId="291AD69E"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31EF076E"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13</w:t>
            </w:r>
          </w:p>
        </w:tc>
        <w:tc>
          <w:tcPr>
            <w:tcW w:w="3322" w:type="dxa"/>
            <w:noWrap/>
            <w:hideMark/>
          </w:tcPr>
          <w:p w14:paraId="39FCE5D2"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SOCIETE ANHUI CONGO D'INVESTIMENT MINIER</w:t>
            </w:r>
          </w:p>
        </w:tc>
        <w:tc>
          <w:tcPr>
            <w:tcW w:w="1276" w:type="dxa"/>
            <w:noWrap/>
            <w:hideMark/>
          </w:tcPr>
          <w:p w14:paraId="3609817B"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200 000</w:t>
            </w:r>
          </w:p>
        </w:tc>
        <w:tc>
          <w:tcPr>
            <w:tcW w:w="1134" w:type="dxa"/>
            <w:noWrap/>
            <w:hideMark/>
          </w:tcPr>
          <w:p w14:paraId="25B91D82"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276" w:type="dxa"/>
            <w:noWrap/>
            <w:hideMark/>
          </w:tcPr>
          <w:p w14:paraId="49ADC530"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57 140</w:t>
            </w:r>
          </w:p>
        </w:tc>
        <w:tc>
          <w:tcPr>
            <w:tcW w:w="1224" w:type="dxa"/>
            <w:noWrap/>
            <w:hideMark/>
          </w:tcPr>
          <w:p w14:paraId="2A72AEC9"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85" w:type="dxa"/>
            <w:noWrap/>
            <w:hideMark/>
          </w:tcPr>
          <w:p w14:paraId="0CA82186"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257 140</w:t>
            </w:r>
          </w:p>
        </w:tc>
      </w:tr>
      <w:tr w:rsidR="00005C6E" w:rsidRPr="00E56E0A" w14:paraId="5BF6135D"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05A82313"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14</w:t>
            </w:r>
          </w:p>
        </w:tc>
        <w:tc>
          <w:tcPr>
            <w:tcW w:w="3322" w:type="dxa"/>
            <w:noWrap/>
            <w:hideMark/>
          </w:tcPr>
          <w:p w14:paraId="1E5641CF"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SOCIÉTÉ COMMERCIALE MINIÈRE DE KISENGE MANAGNÈSE</w:t>
            </w:r>
          </w:p>
        </w:tc>
        <w:tc>
          <w:tcPr>
            <w:tcW w:w="1276" w:type="dxa"/>
            <w:noWrap/>
            <w:hideMark/>
          </w:tcPr>
          <w:p w14:paraId="6E2754A0"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34" w:type="dxa"/>
            <w:noWrap/>
            <w:hideMark/>
          </w:tcPr>
          <w:p w14:paraId="75E66154"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76" w:type="dxa"/>
            <w:noWrap/>
            <w:hideMark/>
          </w:tcPr>
          <w:p w14:paraId="2230C03D"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24" w:type="dxa"/>
            <w:noWrap/>
            <w:hideMark/>
          </w:tcPr>
          <w:p w14:paraId="434BAD37"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185" w:type="dxa"/>
            <w:noWrap/>
            <w:hideMark/>
          </w:tcPr>
          <w:p w14:paraId="4940F4A4"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0</w:t>
            </w:r>
          </w:p>
        </w:tc>
      </w:tr>
      <w:tr w:rsidR="00005C6E" w:rsidRPr="00E56E0A" w14:paraId="6C620632"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0A51C42F"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15</w:t>
            </w:r>
          </w:p>
        </w:tc>
        <w:tc>
          <w:tcPr>
            <w:tcW w:w="3322" w:type="dxa"/>
            <w:noWrap/>
            <w:hideMark/>
          </w:tcPr>
          <w:p w14:paraId="7DDFFA0A"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SOCIETE D'EXPLOITATION DE GISEMENTS DE KALUKUNDI SPRL</w:t>
            </w:r>
          </w:p>
        </w:tc>
        <w:tc>
          <w:tcPr>
            <w:tcW w:w="1276" w:type="dxa"/>
            <w:noWrap/>
            <w:hideMark/>
          </w:tcPr>
          <w:p w14:paraId="14884FF7"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34" w:type="dxa"/>
            <w:noWrap/>
            <w:hideMark/>
          </w:tcPr>
          <w:p w14:paraId="4C7073CC"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76" w:type="dxa"/>
            <w:noWrap/>
            <w:hideMark/>
          </w:tcPr>
          <w:p w14:paraId="11173460"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49 291</w:t>
            </w:r>
          </w:p>
        </w:tc>
        <w:tc>
          <w:tcPr>
            <w:tcW w:w="1224" w:type="dxa"/>
            <w:noWrap/>
            <w:hideMark/>
          </w:tcPr>
          <w:p w14:paraId="4241037E"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85" w:type="dxa"/>
            <w:noWrap/>
            <w:hideMark/>
          </w:tcPr>
          <w:p w14:paraId="532FD097"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49 291</w:t>
            </w:r>
          </w:p>
        </w:tc>
      </w:tr>
      <w:tr w:rsidR="00005C6E" w:rsidRPr="00E56E0A" w14:paraId="678D51BF"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0794A819"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16</w:t>
            </w:r>
          </w:p>
        </w:tc>
        <w:tc>
          <w:tcPr>
            <w:tcW w:w="3322" w:type="dxa"/>
            <w:noWrap/>
            <w:hideMark/>
          </w:tcPr>
          <w:p w14:paraId="6D018B57"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SOCIETE DE BEERS EXPLORATION SPRL</w:t>
            </w:r>
          </w:p>
        </w:tc>
        <w:tc>
          <w:tcPr>
            <w:tcW w:w="1276" w:type="dxa"/>
            <w:noWrap/>
            <w:hideMark/>
          </w:tcPr>
          <w:p w14:paraId="6F4B74A6"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34" w:type="dxa"/>
            <w:noWrap/>
            <w:hideMark/>
          </w:tcPr>
          <w:p w14:paraId="3CC701CF"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76" w:type="dxa"/>
            <w:noWrap/>
            <w:hideMark/>
          </w:tcPr>
          <w:p w14:paraId="399D45A1"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24" w:type="dxa"/>
            <w:noWrap/>
            <w:hideMark/>
          </w:tcPr>
          <w:p w14:paraId="61850CC0"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185" w:type="dxa"/>
            <w:noWrap/>
            <w:hideMark/>
          </w:tcPr>
          <w:p w14:paraId="484704BB"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0</w:t>
            </w:r>
          </w:p>
        </w:tc>
      </w:tr>
      <w:tr w:rsidR="00005C6E" w:rsidRPr="00E56E0A" w14:paraId="54A5477B"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33860818"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17</w:t>
            </w:r>
          </w:p>
        </w:tc>
        <w:tc>
          <w:tcPr>
            <w:tcW w:w="3322" w:type="dxa"/>
            <w:noWrap/>
            <w:hideMark/>
          </w:tcPr>
          <w:p w14:paraId="37F1564A"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SOCIETE MINIERE DE DIAMANT DE LUPATAPATA</w:t>
            </w:r>
          </w:p>
        </w:tc>
        <w:tc>
          <w:tcPr>
            <w:tcW w:w="1276" w:type="dxa"/>
            <w:noWrap/>
            <w:hideMark/>
          </w:tcPr>
          <w:p w14:paraId="408818FE"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34" w:type="dxa"/>
            <w:noWrap/>
            <w:hideMark/>
          </w:tcPr>
          <w:p w14:paraId="4033A662"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76" w:type="dxa"/>
            <w:noWrap/>
            <w:hideMark/>
          </w:tcPr>
          <w:p w14:paraId="1882DCD7"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27 000</w:t>
            </w:r>
          </w:p>
        </w:tc>
        <w:tc>
          <w:tcPr>
            <w:tcW w:w="1224" w:type="dxa"/>
            <w:noWrap/>
            <w:hideMark/>
          </w:tcPr>
          <w:p w14:paraId="6F5ED269"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85" w:type="dxa"/>
            <w:noWrap/>
            <w:hideMark/>
          </w:tcPr>
          <w:p w14:paraId="23BAE9BA"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27 000</w:t>
            </w:r>
          </w:p>
        </w:tc>
      </w:tr>
      <w:tr w:rsidR="00005C6E" w:rsidRPr="00E56E0A" w14:paraId="1F765E87"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63B41B63"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18</w:t>
            </w:r>
          </w:p>
        </w:tc>
        <w:tc>
          <w:tcPr>
            <w:tcW w:w="3322" w:type="dxa"/>
            <w:noWrap/>
            <w:hideMark/>
          </w:tcPr>
          <w:p w14:paraId="0F8B9FC7"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SOCIETE MINIERE DU KATANGA</w:t>
            </w:r>
          </w:p>
        </w:tc>
        <w:tc>
          <w:tcPr>
            <w:tcW w:w="1276" w:type="dxa"/>
            <w:noWrap/>
            <w:hideMark/>
          </w:tcPr>
          <w:p w14:paraId="7A7D3D9A"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374 020</w:t>
            </w:r>
          </w:p>
        </w:tc>
        <w:tc>
          <w:tcPr>
            <w:tcW w:w="1134" w:type="dxa"/>
            <w:noWrap/>
            <w:hideMark/>
          </w:tcPr>
          <w:p w14:paraId="31B13282"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276" w:type="dxa"/>
            <w:noWrap/>
            <w:hideMark/>
          </w:tcPr>
          <w:p w14:paraId="75EB7EEA"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18 412</w:t>
            </w:r>
          </w:p>
        </w:tc>
        <w:tc>
          <w:tcPr>
            <w:tcW w:w="1224" w:type="dxa"/>
            <w:noWrap/>
            <w:hideMark/>
          </w:tcPr>
          <w:p w14:paraId="6670C11B"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85" w:type="dxa"/>
            <w:noWrap/>
            <w:hideMark/>
          </w:tcPr>
          <w:p w14:paraId="0EAD0A72"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392 432</w:t>
            </w:r>
          </w:p>
        </w:tc>
      </w:tr>
      <w:tr w:rsidR="00005C6E" w:rsidRPr="00E56E0A" w14:paraId="3318412D"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1B1533D7" w14:textId="77777777" w:rsidR="00005C6E" w:rsidRPr="00E56E0A" w:rsidRDefault="00005C6E" w:rsidP="0054038F">
            <w:pPr>
              <w:rPr>
                <w:rFonts w:ascii="Garamond" w:eastAsia="Times New Roman" w:hAnsi="Garamond" w:cs="Calibri"/>
                <w:color w:val="000000"/>
                <w:sz w:val="18"/>
                <w:szCs w:val="18"/>
                <w:lang w:eastAsia="fr-FR"/>
              </w:rPr>
            </w:pPr>
          </w:p>
        </w:tc>
        <w:tc>
          <w:tcPr>
            <w:tcW w:w="3322" w:type="dxa"/>
            <w:noWrap/>
            <w:hideMark/>
          </w:tcPr>
          <w:p w14:paraId="17728DEF"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TOTAUX</w:t>
            </w:r>
          </w:p>
        </w:tc>
        <w:tc>
          <w:tcPr>
            <w:tcW w:w="1276" w:type="dxa"/>
            <w:noWrap/>
            <w:hideMark/>
          </w:tcPr>
          <w:p w14:paraId="20BBC099"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574</w:t>
            </w:r>
            <w:r w:rsidRPr="00FE6F06">
              <w:rPr>
                <w:rFonts w:ascii="Garamond" w:eastAsia="Times New Roman" w:hAnsi="Garamond" w:cs="Calibri"/>
                <w:color w:val="000000"/>
                <w:sz w:val="18"/>
                <w:szCs w:val="18"/>
                <w:lang w:eastAsia="fr-FR"/>
              </w:rPr>
              <w:t xml:space="preserve"> </w:t>
            </w:r>
            <w:r w:rsidRPr="00E56E0A">
              <w:rPr>
                <w:rFonts w:ascii="Garamond" w:eastAsia="Times New Roman" w:hAnsi="Garamond" w:cs="Calibri"/>
                <w:color w:val="000000"/>
                <w:sz w:val="18"/>
                <w:szCs w:val="18"/>
                <w:lang w:eastAsia="fr-FR"/>
              </w:rPr>
              <w:t>020</w:t>
            </w:r>
          </w:p>
        </w:tc>
        <w:tc>
          <w:tcPr>
            <w:tcW w:w="1134" w:type="dxa"/>
            <w:noWrap/>
            <w:hideMark/>
          </w:tcPr>
          <w:p w14:paraId="5DD87EF4"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1</w:t>
            </w:r>
            <w:r w:rsidRPr="00E56E0A">
              <w:rPr>
                <w:rFonts w:ascii="Garamond" w:eastAsia="Times New Roman" w:hAnsi="Garamond" w:cs="Calibri"/>
                <w:color w:val="000000"/>
                <w:sz w:val="18"/>
                <w:szCs w:val="18"/>
                <w:lang w:eastAsia="fr-FR"/>
              </w:rPr>
              <w:t>2</w:t>
            </w:r>
            <w:r w:rsidRPr="00FE6F06">
              <w:rPr>
                <w:rFonts w:ascii="Garamond" w:eastAsia="Times New Roman" w:hAnsi="Garamond" w:cs="Calibri"/>
                <w:color w:val="000000"/>
                <w:sz w:val="18"/>
                <w:szCs w:val="18"/>
                <w:lang w:eastAsia="fr-FR"/>
              </w:rPr>
              <w:t xml:space="preserve"> </w:t>
            </w:r>
            <w:r w:rsidRPr="00E56E0A">
              <w:rPr>
                <w:rFonts w:ascii="Garamond" w:eastAsia="Times New Roman" w:hAnsi="Garamond" w:cs="Calibri"/>
                <w:color w:val="000000"/>
                <w:sz w:val="18"/>
                <w:szCs w:val="18"/>
                <w:lang w:eastAsia="fr-FR"/>
              </w:rPr>
              <w:t>304</w:t>
            </w:r>
            <w:r w:rsidRPr="00FE6F06">
              <w:rPr>
                <w:rFonts w:ascii="Garamond" w:eastAsia="Times New Roman" w:hAnsi="Garamond" w:cs="Calibri"/>
                <w:color w:val="000000"/>
                <w:sz w:val="18"/>
                <w:szCs w:val="18"/>
                <w:lang w:eastAsia="fr-FR"/>
              </w:rPr>
              <w:t xml:space="preserve"> </w:t>
            </w:r>
            <w:r w:rsidRPr="00E56E0A">
              <w:rPr>
                <w:rFonts w:ascii="Garamond" w:eastAsia="Times New Roman" w:hAnsi="Garamond" w:cs="Calibri"/>
                <w:color w:val="000000"/>
                <w:sz w:val="18"/>
                <w:szCs w:val="18"/>
                <w:lang w:eastAsia="fr-FR"/>
              </w:rPr>
              <w:t>446</w:t>
            </w:r>
          </w:p>
        </w:tc>
        <w:tc>
          <w:tcPr>
            <w:tcW w:w="1276" w:type="dxa"/>
            <w:noWrap/>
            <w:hideMark/>
          </w:tcPr>
          <w:p w14:paraId="558B3A85"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7 396 660</w:t>
            </w:r>
          </w:p>
        </w:tc>
        <w:tc>
          <w:tcPr>
            <w:tcW w:w="1224" w:type="dxa"/>
            <w:noWrap/>
            <w:hideMark/>
          </w:tcPr>
          <w:p w14:paraId="5950DF06"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4 772 573</w:t>
            </w:r>
          </w:p>
        </w:tc>
        <w:tc>
          <w:tcPr>
            <w:tcW w:w="1185" w:type="dxa"/>
            <w:noWrap/>
            <w:hideMark/>
          </w:tcPr>
          <w:p w14:paraId="0E88D9CD"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25</w:t>
            </w:r>
            <w:r w:rsidRPr="00FE6F06">
              <w:rPr>
                <w:rFonts w:ascii="Garamond" w:eastAsia="Times New Roman" w:hAnsi="Garamond" w:cs="Calibri"/>
                <w:color w:val="000000"/>
                <w:sz w:val="18"/>
                <w:szCs w:val="18"/>
                <w:lang w:eastAsia="fr-FR"/>
              </w:rPr>
              <w:t xml:space="preserve"> </w:t>
            </w:r>
            <w:r w:rsidRPr="00E56E0A">
              <w:rPr>
                <w:rFonts w:ascii="Garamond" w:eastAsia="Times New Roman" w:hAnsi="Garamond" w:cs="Calibri"/>
                <w:color w:val="000000"/>
                <w:sz w:val="18"/>
                <w:szCs w:val="18"/>
                <w:lang w:eastAsia="fr-FR"/>
              </w:rPr>
              <w:t>047</w:t>
            </w:r>
            <w:r w:rsidRPr="00FE6F06">
              <w:rPr>
                <w:rFonts w:ascii="Garamond" w:eastAsia="Times New Roman" w:hAnsi="Garamond" w:cs="Calibri"/>
                <w:color w:val="000000"/>
                <w:sz w:val="18"/>
                <w:szCs w:val="18"/>
                <w:lang w:eastAsia="fr-FR"/>
              </w:rPr>
              <w:t xml:space="preserve"> </w:t>
            </w:r>
            <w:r w:rsidRPr="00E56E0A">
              <w:rPr>
                <w:rFonts w:ascii="Garamond" w:eastAsia="Times New Roman" w:hAnsi="Garamond" w:cs="Calibri"/>
                <w:color w:val="000000"/>
                <w:sz w:val="18"/>
                <w:szCs w:val="18"/>
                <w:lang w:eastAsia="fr-FR"/>
              </w:rPr>
              <w:t>699</w:t>
            </w:r>
          </w:p>
        </w:tc>
      </w:tr>
    </w:tbl>
    <w:p w14:paraId="44891B90" w14:textId="77777777" w:rsidR="00005C6E" w:rsidRPr="008614DD" w:rsidRDefault="00005C6E" w:rsidP="00005C6E">
      <w:pPr>
        <w:tabs>
          <w:tab w:val="left" w:pos="7350"/>
        </w:tabs>
        <w:spacing w:before="240"/>
        <w:jc w:val="both"/>
        <w:rPr>
          <w:rFonts w:ascii="Times New Roman" w:hAnsi="Times New Roman"/>
          <w:sz w:val="24"/>
          <w:szCs w:val="24"/>
        </w:rPr>
      </w:pPr>
      <w:r>
        <w:rPr>
          <w:rFonts w:ascii="Times New Roman" w:hAnsi="Times New Roman"/>
          <w:sz w:val="24"/>
          <w:szCs w:val="24"/>
        </w:rPr>
        <w:t>Pour plus d’informations et des détails sur ces paiements tels que l’identité du bénéficiaire, la description du paiement, la base juridique, les dates de paiements etc., et ce par entreprises, sont disponibles s</w:t>
      </w:r>
      <w:r w:rsidRPr="008614DD">
        <w:rPr>
          <w:rFonts w:ascii="Times New Roman" w:hAnsi="Times New Roman"/>
          <w:sz w:val="24"/>
          <w:szCs w:val="24"/>
        </w:rPr>
        <w:t>ur le portail public</w:t>
      </w:r>
      <w:r w:rsidRPr="008614DD">
        <w:rPr>
          <w:rStyle w:val="Appelnotedebasdep"/>
          <w:rFonts w:ascii="Times New Roman" w:hAnsi="Times New Roman"/>
          <w:sz w:val="24"/>
          <w:szCs w:val="24"/>
        </w:rPr>
        <w:footnoteReference w:id="24"/>
      </w:r>
      <w:r w:rsidRPr="008614DD">
        <w:rPr>
          <w:rFonts w:ascii="Times New Roman" w:hAnsi="Times New Roman"/>
          <w:sz w:val="24"/>
          <w:szCs w:val="24"/>
        </w:rPr>
        <w:t xml:space="preserve"> des données de l’</w:t>
      </w:r>
      <w:r>
        <w:rPr>
          <w:rFonts w:ascii="Times New Roman" w:hAnsi="Times New Roman"/>
          <w:sz w:val="24"/>
          <w:szCs w:val="24"/>
        </w:rPr>
        <w:t>ITIE-RDC.</w:t>
      </w:r>
      <w:r w:rsidRPr="008614DD">
        <w:rPr>
          <w:rFonts w:ascii="Times New Roman" w:hAnsi="Times New Roman"/>
          <w:sz w:val="24"/>
          <w:szCs w:val="24"/>
        </w:rPr>
        <w:t xml:space="preserve"> </w:t>
      </w:r>
    </w:p>
    <w:p w14:paraId="5AF33056" w14:textId="77777777" w:rsidR="00005C6E" w:rsidRPr="003163B1" w:rsidRDefault="00005C6E" w:rsidP="00005C6E">
      <w:pPr>
        <w:shd w:val="clear" w:color="auto" w:fill="FFFFFF"/>
        <w:jc w:val="both"/>
        <w:rPr>
          <w:rFonts w:ascii="Times New Roman" w:hAnsi="Times New Roman"/>
          <w:iCs/>
          <w:color w:val="000000"/>
          <w:sz w:val="24"/>
          <w:szCs w:val="24"/>
        </w:rPr>
      </w:pPr>
      <w:r w:rsidRPr="008614DD">
        <w:rPr>
          <w:rFonts w:ascii="Times New Roman" w:hAnsi="Times New Roman"/>
          <w:sz w:val="24"/>
          <w:szCs w:val="24"/>
        </w:rPr>
        <w:t>Dans le cadre de la mise en œuvre des recommandations issues des Rapport ITIE-RDC</w:t>
      </w:r>
      <w:r w:rsidRPr="003163B1">
        <w:rPr>
          <w:rFonts w:ascii="Times New Roman" w:hAnsi="Times New Roman"/>
          <w:sz w:val="24"/>
          <w:szCs w:val="24"/>
        </w:rPr>
        <w:t xml:space="preserve"> précédents, l’une d’elles portait sur « </w:t>
      </w:r>
      <w:r w:rsidRPr="003163B1">
        <w:rPr>
          <w:rFonts w:ascii="Times New Roman" w:hAnsi="Times New Roman"/>
          <w:i/>
          <w:iCs/>
          <w:color w:val="000000"/>
          <w:sz w:val="24"/>
          <w:szCs w:val="24"/>
        </w:rPr>
        <w:t>la mise en place des mécanismes en vue d’assurer la traçabilité des dépenses sociales </w:t>
      </w:r>
      <w:r w:rsidRPr="003163B1">
        <w:rPr>
          <w:rFonts w:ascii="Times New Roman" w:hAnsi="Times New Roman"/>
          <w:iCs/>
          <w:color w:val="000000"/>
          <w:sz w:val="24"/>
          <w:szCs w:val="24"/>
        </w:rPr>
        <w:t>» dans l’objectif de maximiser leur impact sur les populations locales. L’exécution de cette recommandation n’a pas été facile à cause d’une compréhension controversée du concept « dépense sociale » entre les Entreprises et la Société civile. En vue de solutionner ce problème, les parties prenantes, à l’issue de l’atelier tenu à Lubumbashi au mois de juin 2016 sur la question, ont convenu de se retrouver pour  harmoniser la  définition et le  référentiel des dépenses sociales.</w:t>
      </w:r>
    </w:p>
    <w:p w14:paraId="3E9248F4" w14:textId="77777777" w:rsidR="00005C6E" w:rsidRPr="003163B1" w:rsidRDefault="00005C6E" w:rsidP="00005C6E">
      <w:pPr>
        <w:shd w:val="clear" w:color="auto" w:fill="FFFFFF"/>
        <w:jc w:val="both"/>
        <w:rPr>
          <w:rFonts w:ascii="Times New Roman" w:hAnsi="Times New Roman"/>
          <w:sz w:val="24"/>
          <w:szCs w:val="24"/>
        </w:rPr>
      </w:pPr>
      <w:r w:rsidRPr="003163B1">
        <w:rPr>
          <w:rFonts w:ascii="Times New Roman" w:hAnsi="Times New Roman"/>
          <w:sz w:val="24"/>
          <w:szCs w:val="24"/>
        </w:rPr>
        <w:t xml:space="preserve">Ainsi à l’issue de l’atelier de janvier 2018, une commission composée des délégués de la Société Civile et des entreprises, a été mise en place par les parties prenantes. </w:t>
      </w:r>
    </w:p>
    <w:p w14:paraId="0D05A032" w14:textId="77777777" w:rsidR="00005C6E" w:rsidRPr="003163B1" w:rsidRDefault="00005C6E" w:rsidP="00005C6E">
      <w:pPr>
        <w:shd w:val="clear" w:color="auto" w:fill="FFFFFF"/>
        <w:jc w:val="both"/>
        <w:rPr>
          <w:rFonts w:ascii="Times New Roman" w:hAnsi="Times New Roman"/>
          <w:sz w:val="24"/>
          <w:szCs w:val="24"/>
        </w:rPr>
      </w:pPr>
      <w:r w:rsidRPr="003163B1">
        <w:rPr>
          <w:rFonts w:ascii="Times New Roman" w:hAnsi="Times New Roman"/>
          <w:sz w:val="24"/>
          <w:szCs w:val="24"/>
        </w:rPr>
        <w:t>Cette commission s’est réunie du 08 au 09 mars 2018 et a convenu de ce qui suit :</w:t>
      </w:r>
    </w:p>
    <w:p w14:paraId="2BDF52B1" w14:textId="77777777" w:rsidR="00005C6E" w:rsidRPr="003163B1" w:rsidRDefault="00005C6E" w:rsidP="00005C6E">
      <w:pPr>
        <w:shd w:val="clear" w:color="auto" w:fill="FFFFFF"/>
        <w:ind w:left="284"/>
        <w:jc w:val="both"/>
        <w:rPr>
          <w:rFonts w:ascii="Times New Roman" w:hAnsi="Times New Roman"/>
          <w:b/>
          <w:color w:val="2E74B5" w:themeColor="accent1" w:themeShade="BF"/>
          <w:sz w:val="24"/>
          <w:szCs w:val="24"/>
        </w:rPr>
      </w:pPr>
      <w:r w:rsidRPr="003163B1">
        <w:rPr>
          <w:rFonts w:ascii="Times New Roman" w:hAnsi="Times New Roman"/>
          <w:b/>
          <w:color w:val="2E74B5" w:themeColor="accent1" w:themeShade="BF"/>
          <w:sz w:val="24"/>
          <w:szCs w:val="24"/>
        </w:rPr>
        <w:t>De la dépense sociale </w:t>
      </w:r>
    </w:p>
    <w:p w14:paraId="31741071" w14:textId="77777777" w:rsidR="00005C6E" w:rsidRPr="003163B1" w:rsidRDefault="00005C6E" w:rsidP="00005C6E">
      <w:pPr>
        <w:shd w:val="clear" w:color="auto" w:fill="FFFFFF"/>
        <w:ind w:left="284"/>
        <w:jc w:val="both"/>
        <w:rPr>
          <w:rFonts w:ascii="Times New Roman" w:hAnsi="Times New Roman"/>
          <w:sz w:val="24"/>
          <w:szCs w:val="24"/>
        </w:rPr>
      </w:pPr>
      <w:r w:rsidRPr="003163B1">
        <w:rPr>
          <w:rFonts w:ascii="Times New Roman" w:hAnsi="Times New Roman"/>
          <w:sz w:val="24"/>
          <w:szCs w:val="24"/>
        </w:rPr>
        <w:t>« </w:t>
      </w:r>
      <w:r w:rsidRPr="003163B1">
        <w:rPr>
          <w:rFonts w:ascii="Times New Roman" w:hAnsi="Times New Roman"/>
          <w:i/>
          <w:sz w:val="24"/>
          <w:szCs w:val="24"/>
        </w:rPr>
        <w:t>Est considérée comme dépense sociale, tout paiement, en nature, ou en numéraire, obligatoire ou volontaire, effectué par une entreprise ou autre, pour l’amélioration des conditions de vie de la communauté impactée ou non par ses activités, et qui répond aux préoccupations des parties prenantes, sauf celui fait pour son personnel et pour elle-même.</w:t>
      </w:r>
      <w:r w:rsidRPr="003163B1">
        <w:rPr>
          <w:rFonts w:ascii="Times New Roman" w:hAnsi="Times New Roman"/>
          <w:sz w:val="24"/>
          <w:szCs w:val="24"/>
        </w:rPr>
        <w:t> »</w:t>
      </w:r>
    </w:p>
    <w:p w14:paraId="4CA7851C" w14:textId="77777777" w:rsidR="00005C6E" w:rsidRPr="003163B1" w:rsidRDefault="00005C6E" w:rsidP="00005C6E">
      <w:pPr>
        <w:shd w:val="clear" w:color="auto" w:fill="FFFFFF"/>
        <w:ind w:left="284"/>
        <w:jc w:val="both"/>
        <w:rPr>
          <w:rFonts w:ascii="Times New Roman" w:hAnsi="Times New Roman"/>
          <w:b/>
          <w:color w:val="2E74B5" w:themeColor="accent1" w:themeShade="BF"/>
          <w:sz w:val="24"/>
          <w:szCs w:val="24"/>
        </w:rPr>
      </w:pPr>
      <w:r w:rsidRPr="003163B1">
        <w:rPr>
          <w:rFonts w:ascii="Times New Roman" w:hAnsi="Times New Roman"/>
          <w:b/>
          <w:color w:val="2E74B5" w:themeColor="accent1" w:themeShade="BF"/>
          <w:sz w:val="24"/>
          <w:szCs w:val="24"/>
        </w:rPr>
        <w:t>Du référentiel des dépenses sociales</w:t>
      </w:r>
    </w:p>
    <w:p w14:paraId="51AA56A4" w14:textId="77777777" w:rsidR="00005C6E" w:rsidRPr="003163B1" w:rsidRDefault="00005C6E" w:rsidP="00005C6E">
      <w:pPr>
        <w:ind w:left="284"/>
        <w:rPr>
          <w:rFonts w:ascii="Times New Roman" w:hAnsi="Times New Roman"/>
          <w:sz w:val="24"/>
          <w:szCs w:val="24"/>
        </w:rPr>
      </w:pPr>
      <w:r w:rsidRPr="003163B1">
        <w:rPr>
          <w:rFonts w:ascii="Times New Roman" w:hAnsi="Times New Roman"/>
          <w:sz w:val="24"/>
          <w:szCs w:val="24"/>
        </w:rPr>
        <w:t xml:space="preserve">Le référentiel convenu est disponible  </w:t>
      </w:r>
      <w:r w:rsidRPr="006E53CE">
        <w:rPr>
          <w:rFonts w:ascii="Times New Roman" w:hAnsi="Times New Roman"/>
          <w:sz w:val="24"/>
          <w:szCs w:val="24"/>
        </w:rPr>
        <w:t>sur notre site</w:t>
      </w:r>
      <w:r>
        <w:rPr>
          <w:rStyle w:val="Appelnotedebasdep"/>
          <w:rFonts w:ascii="Times New Roman" w:hAnsi="Times New Roman"/>
          <w:sz w:val="24"/>
          <w:szCs w:val="24"/>
        </w:rPr>
        <w:footnoteReference w:id="25"/>
      </w:r>
      <w:r w:rsidRPr="003163B1">
        <w:rPr>
          <w:rStyle w:val="Lienhypertexte"/>
          <w:rFonts w:ascii="Times New Roman" w:hAnsi="Times New Roman"/>
          <w:sz w:val="24"/>
          <w:szCs w:val="24"/>
        </w:rPr>
        <w:t xml:space="preserve"> </w:t>
      </w:r>
    </w:p>
    <w:p w14:paraId="0ECAB8C2" w14:textId="77777777" w:rsidR="00005C6E" w:rsidRPr="003163B1" w:rsidRDefault="00005C6E" w:rsidP="00005C6E">
      <w:pPr>
        <w:jc w:val="both"/>
        <w:rPr>
          <w:rFonts w:ascii="Times New Roman" w:hAnsi="Times New Roman"/>
          <w:sz w:val="24"/>
          <w:szCs w:val="24"/>
        </w:rPr>
      </w:pPr>
      <w:r w:rsidRPr="003163B1">
        <w:rPr>
          <w:rFonts w:ascii="Times New Roman" w:hAnsi="Times New Roman"/>
          <w:sz w:val="24"/>
          <w:szCs w:val="24"/>
        </w:rPr>
        <w:lastRenderedPageBreak/>
        <w:t xml:space="preserve">Pour les prochains rapports, la commission a recommandé au Comité Exécutif de proposer et de soumettre aux parties prenantes un nouveau formulaire adéquat pour la déclaration de la dépense sociale. </w:t>
      </w:r>
    </w:p>
    <w:p w14:paraId="121EA287" w14:textId="77777777" w:rsidR="00005C6E" w:rsidRPr="003163B1" w:rsidRDefault="00005C6E" w:rsidP="00005C6E">
      <w:pPr>
        <w:jc w:val="both"/>
        <w:rPr>
          <w:rFonts w:ascii="Times New Roman" w:hAnsi="Times New Roman"/>
          <w:sz w:val="24"/>
          <w:szCs w:val="24"/>
        </w:rPr>
      </w:pPr>
      <w:r w:rsidRPr="003163B1">
        <w:rPr>
          <w:rFonts w:ascii="Times New Roman" w:hAnsi="Times New Roman"/>
          <w:sz w:val="24"/>
          <w:szCs w:val="24"/>
        </w:rPr>
        <w:t>En ce qui concerne les mécanismes de traçabilité des dépenses sociales, une structure devrait être mise en place pour faire le suivi du respect des engagements des entreprises minières vis-à-vis des populations locales, étant donné que le Code Minier en vigueur en 2016 ne prévoyait rien à cet effet.  Par contre, pour les entreprises pétrolières exploitant le bassin côtier, il existe une structure de suivi du respect des engagements appelée Comité de Concertation de  Moanda (COCODEM en sigle), regroupant les représentants de l’autorité coutumière locale, les organisations de la société civile et les représentants des entreprises.</w:t>
      </w:r>
    </w:p>
    <w:p w14:paraId="3C4DC36D" w14:textId="77777777" w:rsidR="00005C6E" w:rsidRPr="003163B1" w:rsidRDefault="00005C6E" w:rsidP="00005C6E">
      <w:pPr>
        <w:autoSpaceDE w:val="0"/>
        <w:autoSpaceDN w:val="0"/>
        <w:adjustRightInd w:val="0"/>
        <w:spacing w:after="0"/>
        <w:jc w:val="both"/>
        <w:rPr>
          <w:rFonts w:ascii="Times New Roman" w:hAnsi="Times New Roman"/>
          <w:sz w:val="24"/>
          <w:szCs w:val="24"/>
        </w:rPr>
      </w:pPr>
      <w:r w:rsidRPr="003163B1">
        <w:rPr>
          <w:rFonts w:ascii="Times New Roman" w:hAnsi="Times New Roman"/>
          <w:sz w:val="24"/>
          <w:szCs w:val="24"/>
        </w:rPr>
        <w:t xml:space="preserve">Dans le but de repréciser les éléments relatifs à la responsabilité sociale et environnementale des entreprises minières à l’égard des communautés affectées par leurs projets, la Loi n°18/001 du 09 mars 2018 modifiant et complétant la Loi n° 007/2002 du 11 juillet 2002 portant Code minier,  a introduit, comme innovation, le cahier des charges  pour  les sociétés minières en rapport avec leur responsabilité sociale vis-à-vis des populations locales (PGES). (Voir </w:t>
      </w:r>
      <w:r w:rsidRPr="003163B1">
        <w:rPr>
          <w:rFonts w:ascii="Times New Roman" w:hAnsi="Times New Roman"/>
          <w:i/>
          <w:sz w:val="24"/>
          <w:szCs w:val="24"/>
        </w:rPr>
        <w:t>innovation N</w:t>
      </w:r>
      <w:r w:rsidRPr="003163B1">
        <w:rPr>
          <w:rFonts w:ascii="Times New Roman" w:hAnsi="Times New Roman"/>
          <w:i/>
          <w:sz w:val="24"/>
          <w:szCs w:val="24"/>
          <w:vertAlign w:val="superscript"/>
        </w:rPr>
        <w:t>o</w:t>
      </w:r>
      <w:r w:rsidRPr="003163B1">
        <w:rPr>
          <w:rFonts w:ascii="Times New Roman" w:hAnsi="Times New Roman"/>
          <w:i/>
          <w:sz w:val="24"/>
          <w:szCs w:val="24"/>
        </w:rPr>
        <w:t>14</w:t>
      </w:r>
      <w:r w:rsidRPr="003163B1">
        <w:rPr>
          <w:rFonts w:ascii="Times New Roman" w:hAnsi="Times New Roman"/>
          <w:sz w:val="24"/>
          <w:szCs w:val="24"/>
        </w:rPr>
        <w:t xml:space="preserve"> de l’exposé des motifs).  </w:t>
      </w:r>
    </w:p>
    <w:p w14:paraId="0E4EF0C9" w14:textId="77777777" w:rsidR="00005C6E" w:rsidRDefault="00005C6E" w:rsidP="00005C6E">
      <w:pPr>
        <w:jc w:val="both"/>
        <w:rPr>
          <w:rFonts w:ascii="Times New Roman" w:hAnsi="Times New Roman"/>
          <w:sz w:val="24"/>
          <w:szCs w:val="24"/>
        </w:rPr>
      </w:pPr>
    </w:p>
    <w:p w14:paraId="05780DBD" w14:textId="4C59ED24" w:rsidR="00005C6E" w:rsidRPr="00911837" w:rsidRDefault="00005C6E" w:rsidP="00005C6E">
      <w:pPr>
        <w:jc w:val="both"/>
        <w:rPr>
          <w:rFonts w:ascii="Times New Roman" w:hAnsi="Times New Roman"/>
          <w:sz w:val="24"/>
          <w:szCs w:val="24"/>
        </w:rPr>
      </w:pPr>
      <w:r w:rsidRPr="003163B1">
        <w:rPr>
          <w:rFonts w:ascii="Times New Roman" w:hAnsi="Times New Roman"/>
          <w:sz w:val="24"/>
          <w:szCs w:val="24"/>
        </w:rPr>
        <w:t>Dorénavant, le demandeur du  droit  minier et/ou  de carrières a l’obligation d’obtenir l’</w:t>
      </w:r>
      <w:r w:rsidR="00B41722">
        <w:rPr>
          <w:rFonts w:ascii="Times New Roman" w:hAnsi="Times New Roman"/>
          <w:sz w:val="24"/>
          <w:szCs w:val="24"/>
        </w:rPr>
        <w:t>approbation de son PGES et EIES</w:t>
      </w:r>
      <w:r w:rsidRPr="003163B1">
        <w:rPr>
          <w:rFonts w:ascii="Times New Roman" w:hAnsi="Times New Roman"/>
          <w:sz w:val="24"/>
          <w:szCs w:val="24"/>
        </w:rPr>
        <w:t xml:space="preserve">, </w:t>
      </w:r>
      <w:r>
        <w:rPr>
          <w:rFonts w:ascii="Times New Roman" w:hAnsi="Times New Roman"/>
          <w:sz w:val="24"/>
          <w:szCs w:val="24"/>
        </w:rPr>
        <w:t xml:space="preserve">de </w:t>
      </w:r>
      <w:r w:rsidRPr="003163B1">
        <w:rPr>
          <w:rFonts w:ascii="Times New Roman" w:hAnsi="Times New Roman"/>
          <w:sz w:val="24"/>
          <w:szCs w:val="24"/>
        </w:rPr>
        <w:t>déposer un acte d’engagement de se conformer au cahier des charges définissant la responsabilité sociétale vis-à-vis des communautés locales affectées par les activités du projet</w:t>
      </w:r>
      <w:r>
        <w:rPr>
          <w:rFonts w:ascii="Times New Roman" w:hAnsi="Times New Roman"/>
          <w:sz w:val="24"/>
          <w:szCs w:val="24"/>
        </w:rPr>
        <w:t xml:space="preserve">, et </w:t>
      </w:r>
      <w:r w:rsidRPr="00911837">
        <w:rPr>
          <w:rFonts w:ascii="Times New Roman" w:hAnsi="Times New Roman"/>
          <w:sz w:val="24"/>
          <w:szCs w:val="24"/>
        </w:rPr>
        <w:t xml:space="preserve">de publier une synthèse de </w:t>
      </w:r>
      <w:r>
        <w:rPr>
          <w:rFonts w:ascii="Times New Roman" w:hAnsi="Times New Roman"/>
          <w:sz w:val="24"/>
          <w:szCs w:val="24"/>
        </w:rPr>
        <w:t>ces documents</w:t>
      </w:r>
      <w:r w:rsidRPr="00911837">
        <w:rPr>
          <w:rFonts w:ascii="Times New Roman" w:hAnsi="Times New Roman"/>
          <w:sz w:val="24"/>
          <w:szCs w:val="24"/>
        </w:rPr>
        <w:t xml:space="preserve"> sur son site web, s’il en a un. De même, le Ministère en charge des Mines, dans les quinze jours après réception </w:t>
      </w:r>
      <w:r>
        <w:rPr>
          <w:rFonts w:ascii="Times New Roman" w:hAnsi="Times New Roman"/>
          <w:sz w:val="24"/>
          <w:szCs w:val="24"/>
        </w:rPr>
        <w:t>desdits documents</w:t>
      </w:r>
      <w:r w:rsidRPr="00911837">
        <w:rPr>
          <w:rFonts w:ascii="Times New Roman" w:hAnsi="Times New Roman"/>
          <w:sz w:val="24"/>
          <w:szCs w:val="24"/>
        </w:rPr>
        <w:t xml:space="preserve">, a l’obligation de publier la même synthèse sur </w:t>
      </w:r>
      <w:r>
        <w:rPr>
          <w:rFonts w:ascii="Times New Roman" w:hAnsi="Times New Roman"/>
          <w:sz w:val="24"/>
          <w:szCs w:val="24"/>
        </w:rPr>
        <w:t>le</w:t>
      </w:r>
      <w:r w:rsidRPr="00911837">
        <w:rPr>
          <w:rFonts w:ascii="Times New Roman" w:hAnsi="Times New Roman"/>
          <w:sz w:val="24"/>
          <w:szCs w:val="24"/>
        </w:rPr>
        <w:t xml:space="preserve"> site web</w:t>
      </w:r>
      <w:r>
        <w:rPr>
          <w:rFonts w:ascii="Times New Roman" w:hAnsi="Times New Roman"/>
          <w:sz w:val="24"/>
          <w:szCs w:val="24"/>
        </w:rPr>
        <w:t xml:space="preserve"> du Ministère.</w:t>
      </w:r>
      <w:r w:rsidRPr="00911837">
        <w:rPr>
          <w:rFonts w:ascii="Times New Roman" w:hAnsi="Times New Roman"/>
          <w:sz w:val="24"/>
          <w:szCs w:val="24"/>
        </w:rPr>
        <w:t xml:space="preserve"> </w:t>
      </w:r>
      <w:r w:rsidRPr="003163B1">
        <w:rPr>
          <w:rFonts w:ascii="Times New Roman" w:hAnsi="Times New Roman"/>
          <w:sz w:val="24"/>
          <w:szCs w:val="24"/>
        </w:rPr>
        <w:t>(</w:t>
      </w:r>
      <w:r w:rsidRPr="00911837">
        <w:rPr>
          <w:rFonts w:ascii="Times New Roman" w:hAnsi="Times New Roman"/>
          <w:i/>
          <w:sz w:val="24"/>
          <w:szCs w:val="24"/>
        </w:rPr>
        <w:t>Article 42, Article 71 literas b, c, d, e, f, g et h, Art. 80, etc.</w:t>
      </w:r>
      <w:r w:rsidRPr="00911837">
        <w:rPr>
          <w:rFonts w:ascii="Times New Roman" w:hAnsi="Times New Roman"/>
          <w:sz w:val="24"/>
          <w:szCs w:val="24"/>
        </w:rPr>
        <w:t>)</w:t>
      </w:r>
    </w:p>
    <w:p w14:paraId="69B3C068" w14:textId="77777777" w:rsidR="00005C6E" w:rsidRPr="003163B1" w:rsidRDefault="00005C6E" w:rsidP="00005C6E">
      <w:pPr>
        <w:jc w:val="both"/>
        <w:rPr>
          <w:rFonts w:ascii="Times New Roman" w:hAnsi="Times New Roman"/>
          <w:sz w:val="24"/>
          <w:szCs w:val="24"/>
        </w:rPr>
      </w:pPr>
      <w:r w:rsidRPr="003163B1">
        <w:rPr>
          <w:rFonts w:ascii="Times New Roman" w:hAnsi="Times New Roman"/>
          <w:sz w:val="24"/>
          <w:szCs w:val="24"/>
        </w:rPr>
        <w:t>Le   Code Minier retient et chargent les structures suivantes à assurer le suivi des engagements des termes du cahier des charges des opérateurs miniers : l’Agence Congolaise de l’Environnement et  le Fonds national de promotion et de service social. Elles travaill</w:t>
      </w:r>
      <w:r>
        <w:rPr>
          <w:rFonts w:ascii="Times New Roman" w:hAnsi="Times New Roman"/>
          <w:sz w:val="24"/>
          <w:szCs w:val="24"/>
        </w:rPr>
        <w:t>eront</w:t>
      </w:r>
      <w:r w:rsidRPr="003163B1">
        <w:rPr>
          <w:rFonts w:ascii="Times New Roman" w:hAnsi="Times New Roman"/>
          <w:sz w:val="24"/>
          <w:szCs w:val="24"/>
        </w:rPr>
        <w:t xml:space="preserve"> en étroite collaboration avec la Direction chargée de la protection  de  l’environnement  minier et,  le  cas échéant, avec tout  autre  organisme de  l’Etat  concerné.</w:t>
      </w:r>
    </w:p>
    <w:p w14:paraId="2FE95130" w14:textId="77777777" w:rsidR="00005C6E" w:rsidRPr="003163B1" w:rsidRDefault="00005C6E" w:rsidP="00005C6E">
      <w:pPr>
        <w:jc w:val="both"/>
        <w:rPr>
          <w:rFonts w:ascii="Times New Roman" w:hAnsi="Times New Roman"/>
          <w:sz w:val="24"/>
          <w:szCs w:val="24"/>
        </w:rPr>
      </w:pPr>
      <w:r w:rsidRPr="003163B1">
        <w:rPr>
          <w:rFonts w:ascii="Times New Roman" w:hAnsi="Times New Roman"/>
          <w:sz w:val="24"/>
          <w:szCs w:val="24"/>
        </w:rPr>
        <w:t>Le Code Minier innove également en ce sens qu’il prévoit des sanctions à l’encontre des contrevenants. L’article 27, Titre XII, relatif aux manquements aux obligations administratives, sociales et des sanctions, chapitre 1</w:t>
      </w:r>
      <w:r w:rsidRPr="003163B1">
        <w:rPr>
          <w:rFonts w:ascii="Times New Roman" w:hAnsi="Times New Roman"/>
          <w:sz w:val="24"/>
          <w:szCs w:val="24"/>
          <w:vertAlign w:val="superscript"/>
        </w:rPr>
        <w:t>er</w:t>
      </w:r>
      <w:r w:rsidRPr="003163B1">
        <w:rPr>
          <w:rFonts w:ascii="Times New Roman" w:hAnsi="Times New Roman"/>
          <w:sz w:val="24"/>
          <w:szCs w:val="24"/>
        </w:rPr>
        <w:t>, précise qu’une fois que le non-respect des engagements est constaté par les institutions chargées à cet effet, un rapport est soumis au Ministre ayant les mines dans ses attributions et au Cadastre Minier qui se chargera de notifier l’opérateur</w:t>
      </w:r>
      <w:r w:rsidRPr="003163B1">
        <w:rPr>
          <w:rFonts w:ascii="Times New Roman" w:eastAsia="Arial Narrow" w:hAnsi="Times New Roman"/>
          <w:b/>
          <w:i/>
          <w:sz w:val="24"/>
          <w:szCs w:val="24"/>
        </w:rPr>
        <w:t xml:space="preserve">. </w:t>
      </w:r>
      <w:r w:rsidRPr="003163B1">
        <w:rPr>
          <w:rFonts w:ascii="Times New Roman" w:hAnsi="Times New Roman"/>
          <w:sz w:val="24"/>
          <w:szCs w:val="24"/>
        </w:rPr>
        <w:t>Les sanctions sont prévues par l’article 299 bis.</w:t>
      </w:r>
    </w:p>
    <w:p w14:paraId="24DC7E7F" w14:textId="77777777" w:rsidR="00005C6E" w:rsidRPr="003163B1" w:rsidRDefault="00005C6E" w:rsidP="00005C6E">
      <w:pPr>
        <w:spacing w:line="280" w:lineRule="exact"/>
        <w:ind w:right="-43"/>
        <w:jc w:val="both"/>
        <w:rPr>
          <w:rFonts w:ascii="Times New Roman" w:hAnsi="Times New Roman"/>
          <w:sz w:val="24"/>
          <w:szCs w:val="24"/>
        </w:rPr>
      </w:pPr>
      <w:r w:rsidRPr="003163B1">
        <w:rPr>
          <w:rFonts w:ascii="Times New Roman" w:eastAsia="Arial Narrow" w:hAnsi="Times New Roman"/>
          <w:sz w:val="24"/>
          <w:szCs w:val="24"/>
        </w:rPr>
        <w:t>Cependant le Code ne prévoit aucune sanction (disposition), relative à la soumission et au respect du PGES pour les détenteurs actuels des titres miniers.</w:t>
      </w:r>
    </w:p>
    <w:p w14:paraId="39EDA2BB" w14:textId="77777777" w:rsidR="00005C6E" w:rsidRPr="0066414D" w:rsidRDefault="00005C6E" w:rsidP="00005C6E">
      <w:pPr>
        <w:spacing w:before="7" w:line="140" w:lineRule="exact"/>
        <w:jc w:val="both"/>
        <w:rPr>
          <w:rFonts w:ascii="Garamond" w:hAnsi="Garamond" w:cstheme="majorHAnsi"/>
          <w:sz w:val="24"/>
          <w:szCs w:val="24"/>
        </w:rPr>
      </w:pPr>
      <w:r>
        <w:rPr>
          <w:rFonts w:ascii="Garamond" w:hAnsi="Garamond" w:cstheme="majorHAnsi"/>
          <w:noProof/>
          <w:sz w:val="24"/>
          <w:szCs w:val="24"/>
          <w:lang w:eastAsia="fr-FR"/>
        </w:rPr>
        <mc:AlternateContent>
          <mc:Choice Requires="wps">
            <w:drawing>
              <wp:anchor distT="0" distB="0" distL="114300" distR="114300" simplePos="0" relativeHeight="251684864" behindDoc="0" locked="0" layoutInCell="1" allowOverlap="1" wp14:anchorId="263803D8" wp14:editId="4DF82DE4">
                <wp:simplePos x="0" y="0"/>
                <wp:positionH relativeFrom="column">
                  <wp:posOffset>47943</wp:posOffset>
                </wp:positionH>
                <wp:positionV relativeFrom="paragraph">
                  <wp:posOffset>107950</wp:posOffset>
                </wp:positionV>
                <wp:extent cx="6215062" cy="1062038"/>
                <wp:effectExtent l="0" t="0" r="14605" b="24130"/>
                <wp:wrapNone/>
                <wp:docPr id="16" name="Zone de texte 16"/>
                <wp:cNvGraphicFramePr/>
                <a:graphic xmlns:a="http://schemas.openxmlformats.org/drawingml/2006/main">
                  <a:graphicData uri="http://schemas.microsoft.com/office/word/2010/wordprocessingShape">
                    <wps:wsp>
                      <wps:cNvSpPr txBox="1"/>
                      <wps:spPr>
                        <a:xfrm>
                          <a:off x="0" y="0"/>
                          <a:ext cx="6215062" cy="1062038"/>
                        </a:xfrm>
                        <a:prstGeom prst="rect">
                          <a:avLst/>
                        </a:prstGeom>
                        <a:solidFill>
                          <a:schemeClr val="accent1">
                            <a:lumMod val="20000"/>
                            <a:lumOff val="80000"/>
                          </a:schemeClr>
                        </a:solidFill>
                        <a:ln w="6350">
                          <a:solidFill>
                            <a:schemeClr val="accent1">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70E995E0" w14:textId="4AAC1897" w:rsidR="00E357DF" w:rsidRPr="00AB5166" w:rsidRDefault="00E357DF" w:rsidP="00005C6E">
                            <w:pPr>
                              <w:pStyle w:val="Paragraphedeliste"/>
                              <w:spacing w:after="0" w:line="360" w:lineRule="auto"/>
                              <w:ind w:left="0"/>
                              <w:rPr>
                                <w:rFonts w:ascii="Times New Roman" w:eastAsia="Times New Roman" w:hAnsi="Times New Roman" w:cs="Times New Roman"/>
                                <w:b/>
                                <w:color w:val="1F3864" w:themeColor="accent5" w:themeShade="80"/>
                                <w:sz w:val="24"/>
                                <w:szCs w:val="24"/>
                                <w:u w:val="single"/>
                                <w:lang w:eastAsia="fr-FR"/>
                              </w:rPr>
                            </w:pPr>
                            <w:r w:rsidRPr="00AB5166">
                              <w:rPr>
                                <w:rFonts w:ascii="Times New Roman" w:eastAsia="Times New Roman" w:hAnsi="Times New Roman" w:cs="Times New Roman"/>
                                <w:b/>
                                <w:color w:val="1F3864" w:themeColor="accent5" w:themeShade="80"/>
                                <w:sz w:val="24"/>
                                <w:szCs w:val="24"/>
                                <w:u w:val="single"/>
                                <w:lang w:eastAsia="fr-FR"/>
                              </w:rPr>
                              <w:t>Recommandation</w:t>
                            </w:r>
                            <w:r w:rsidRPr="00D256CC">
                              <w:rPr>
                                <w:rFonts w:ascii="Times New Roman" w:eastAsia="Times New Roman" w:hAnsi="Times New Roman" w:cs="Times New Roman"/>
                                <w:b/>
                                <w:color w:val="1F3864" w:themeColor="accent5" w:themeShade="80"/>
                                <w:sz w:val="24"/>
                                <w:szCs w:val="24"/>
                                <w:lang w:eastAsia="fr-FR"/>
                              </w:rPr>
                              <w:t xml:space="preserve"> </w:t>
                            </w:r>
                            <w:r>
                              <w:rPr>
                                <w:rFonts w:ascii="Times New Roman" w:hAnsi="Times New Roman"/>
                                <w:b/>
                                <w:color w:val="44546A" w:themeColor="text2"/>
                                <w:sz w:val="24"/>
                                <w:szCs w:val="24"/>
                              </w:rPr>
                              <w:t xml:space="preserve">: </w:t>
                            </w:r>
                            <w:r w:rsidRPr="00F32693">
                              <w:rPr>
                                <w:rFonts w:ascii="Times New Roman" w:hAnsi="Times New Roman"/>
                                <w:i/>
                                <w:color w:val="44546A" w:themeColor="text2"/>
                                <w:sz w:val="24"/>
                                <w:szCs w:val="24"/>
                              </w:rPr>
                              <w:t>(</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p>
                          <w:p w14:paraId="4C27A158" w14:textId="77777777" w:rsidR="00E357DF" w:rsidRDefault="00E357DF" w:rsidP="00005C6E">
                            <w:pPr>
                              <w:pStyle w:val="Paragraphedeliste"/>
                              <w:spacing w:after="0" w:line="360" w:lineRule="auto"/>
                              <w:ind w:left="0"/>
                              <w:rPr>
                                <w:rFonts w:ascii="Times New Roman" w:eastAsia="Times New Roman" w:hAnsi="Times New Roman" w:cs="Times New Roman"/>
                                <w:color w:val="000000"/>
                                <w:sz w:val="24"/>
                                <w:szCs w:val="24"/>
                                <w:lang w:eastAsia="fr-FR"/>
                              </w:rPr>
                            </w:pPr>
                            <w:r w:rsidRPr="00AB5166">
                              <w:rPr>
                                <w:rFonts w:ascii="Times New Roman" w:eastAsia="Times New Roman" w:hAnsi="Times New Roman" w:cs="Times New Roman"/>
                                <w:b/>
                                <w:color w:val="000000"/>
                                <w:sz w:val="24"/>
                                <w:szCs w:val="24"/>
                                <w:lang w:eastAsia="fr-FR"/>
                              </w:rPr>
                              <w:t>Au Comité Exécutif</w:t>
                            </w:r>
                            <w:r>
                              <w:rPr>
                                <w:rFonts w:ascii="Times New Roman" w:eastAsia="Times New Roman" w:hAnsi="Times New Roman" w:cs="Times New Roman"/>
                                <w:color w:val="000000"/>
                                <w:sz w:val="24"/>
                                <w:szCs w:val="24"/>
                                <w:lang w:eastAsia="fr-FR"/>
                              </w:rPr>
                              <w:t xml:space="preserve"> :</w:t>
                            </w:r>
                          </w:p>
                          <w:p w14:paraId="27658742" w14:textId="77777777" w:rsidR="00E357DF" w:rsidRDefault="00E357DF" w:rsidP="00005C6E">
                            <w:pPr>
                              <w:pStyle w:val="Paragraphedeliste"/>
                              <w:spacing w:after="0" w:line="240" w:lineRule="auto"/>
                              <w:ind w:left="0"/>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 xml:space="preserve">D’améliorer le formulaire de déclaration de la dépense sociale  suivant le nouveau référentiel adopté par les parties prenantes. </w:t>
                            </w:r>
                          </w:p>
                          <w:p w14:paraId="7D02C417" w14:textId="77777777" w:rsidR="00E357DF" w:rsidRDefault="00E357DF" w:rsidP="00005C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3803D8" id="Zone de texte 16" o:spid="_x0000_s1034" type="#_x0000_t202" style="position:absolute;left:0;text-align:left;margin-left:3.8pt;margin-top:8.5pt;width:489.35pt;height:83.6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" fillcolor="#deeaf6 [660]" strokecolor="#deeaf6 [660]" strokeweight=".5pt">
                <v:textbox>
                  <w:txbxContent>
                    <w:p w14:paraId="70E995E0" w14:textId="4AAC1897" w:rsidR="00E357DF" w:rsidRPr="00AB5166" w:rsidRDefault="00E357DF" w:rsidP="00005C6E">
                      <w:pPr>
                        <w:pStyle w:val="Paragraphedeliste"/>
                        <w:spacing w:after="0" w:line="360" w:lineRule="auto"/>
                        <w:ind w:left="0"/>
                        <w:rPr>
                          <w:rFonts w:ascii="Times New Roman" w:eastAsia="Times New Roman" w:hAnsi="Times New Roman" w:cs="Times New Roman"/>
                          <w:b/>
                          <w:color w:val="1F3864" w:themeColor="accent5" w:themeShade="80"/>
                          <w:sz w:val="24"/>
                          <w:szCs w:val="24"/>
                          <w:u w:val="single"/>
                          <w:lang w:eastAsia="fr-FR"/>
                        </w:rPr>
                      </w:pPr>
                      <w:r w:rsidRPr="00AB5166">
                        <w:rPr>
                          <w:rFonts w:ascii="Times New Roman" w:eastAsia="Times New Roman" w:hAnsi="Times New Roman" w:cs="Times New Roman"/>
                          <w:b/>
                          <w:color w:val="1F3864" w:themeColor="accent5" w:themeShade="80"/>
                          <w:sz w:val="24"/>
                          <w:szCs w:val="24"/>
                          <w:u w:val="single"/>
                          <w:lang w:eastAsia="fr-FR"/>
                        </w:rPr>
                        <w:t>Recommandation</w:t>
                      </w:r>
                      <w:r w:rsidRPr="00D256CC">
                        <w:rPr>
                          <w:rFonts w:ascii="Times New Roman" w:eastAsia="Times New Roman" w:hAnsi="Times New Roman" w:cs="Times New Roman"/>
                          <w:b/>
                          <w:color w:val="1F3864" w:themeColor="accent5" w:themeShade="80"/>
                          <w:sz w:val="24"/>
                          <w:szCs w:val="24"/>
                          <w:lang w:eastAsia="fr-FR"/>
                        </w:rPr>
                        <w:t xml:space="preserve"> </w:t>
                      </w:r>
                      <w:r>
                        <w:rPr>
                          <w:rFonts w:ascii="Times New Roman" w:hAnsi="Times New Roman"/>
                          <w:b/>
                          <w:color w:val="44546A" w:themeColor="text2"/>
                          <w:sz w:val="24"/>
                          <w:szCs w:val="24"/>
                        </w:rPr>
                        <w:t xml:space="preserve">: </w:t>
                      </w:r>
                      <w:r w:rsidRPr="00F32693">
                        <w:rPr>
                          <w:rFonts w:ascii="Times New Roman" w:hAnsi="Times New Roman"/>
                          <w:i/>
                          <w:color w:val="44546A" w:themeColor="text2"/>
                          <w:sz w:val="24"/>
                          <w:szCs w:val="24"/>
                        </w:rPr>
                        <w:t>(</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p>
                    <w:p w14:paraId="4C27A158" w14:textId="77777777" w:rsidR="00E357DF" w:rsidRDefault="00E357DF" w:rsidP="00005C6E">
                      <w:pPr>
                        <w:pStyle w:val="Paragraphedeliste"/>
                        <w:spacing w:after="0" w:line="360" w:lineRule="auto"/>
                        <w:ind w:left="0"/>
                        <w:rPr>
                          <w:rFonts w:ascii="Times New Roman" w:eastAsia="Times New Roman" w:hAnsi="Times New Roman" w:cs="Times New Roman"/>
                          <w:color w:val="000000"/>
                          <w:sz w:val="24"/>
                          <w:szCs w:val="24"/>
                          <w:lang w:eastAsia="fr-FR"/>
                        </w:rPr>
                      </w:pPr>
                      <w:r w:rsidRPr="00AB5166">
                        <w:rPr>
                          <w:rFonts w:ascii="Times New Roman" w:eastAsia="Times New Roman" w:hAnsi="Times New Roman" w:cs="Times New Roman"/>
                          <w:b/>
                          <w:color w:val="000000"/>
                          <w:sz w:val="24"/>
                          <w:szCs w:val="24"/>
                          <w:lang w:eastAsia="fr-FR"/>
                        </w:rPr>
                        <w:t>Au Comité Exécutif</w:t>
                      </w:r>
                      <w:r>
                        <w:rPr>
                          <w:rFonts w:ascii="Times New Roman" w:eastAsia="Times New Roman" w:hAnsi="Times New Roman" w:cs="Times New Roman"/>
                          <w:color w:val="000000"/>
                          <w:sz w:val="24"/>
                          <w:szCs w:val="24"/>
                          <w:lang w:eastAsia="fr-FR"/>
                        </w:rPr>
                        <w:t xml:space="preserve"> :</w:t>
                      </w:r>
                    </w:p>
                    <w:p w14:paraId="27658742" w14:textId="77777777" w:rsidR="00E357DF" w:rsidRDefault="00E357DF" w:rsidP="00005C6E">
                      <w:pPr>
                        <w:pStyle w:val="Paragraphedeliste"/>
                        <w:spacing w:after="0" w:line="240" w:lineRule="auto"/>
                        <w:ind w:left="0"/>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 xml:space="preserve">D’améliorer le formulaire de déclaration de la dépense sociale  suivant le nouveau référentiel adopté par les parties prenantes. </w:t>
                      </w:r>
                    </w:p>
                    <w:p w14:paraId="7D02C417" w14:textId="77777777" w:rsidR="00E357DF" w:rsidRDefault="00E357DF" w:rsidP="00005C6E"/>
                  </w:txbxContent>
                </v:textbox>
              </v:shape>
            </w:pict>
          </mc:Fallback>
        </mc:AlternateContent>
      </w:r>
    </w:p>
    <w:p w14:paraId="6C88BC8B" w14:textId="77777777" w:rsidR="00005C6E" w:rsidRPr="0066414D" w:rsidRDefault="00005C6E" w:rsidP="00005C6E">
      <w:pPr>
        <w:ind w:right="70"/>
        <w:jc w:val="both"/>
        <w:rPr>
          <w:rFonts w:ascii="Garamond" w:hAnsi="Garamond" w:cstheme="majorHAnsi"/>
          <w:sz w:val="24"/>
          <w:szCs w:val="24"/>
        </w:rPr>
      </w:pPr>
    </w:p>
    <w:p w14:paraId="54B60DD1" w14:textId="77777777" w:rsidR="00005C6E" w:rsidRPr="0066414D" w:rsidRDefault="00005C6E" w:rsidP="00005C6E">
      <w:pPr>
        <w:spacing w:before="4" w:line="240" w:lineRule="exact"/>
        <w:rPr>
          <w:rFonts w:ascii="Garamond" w:hAnsi="Garamond" w:cstheme="majorHAnsi"/>
          <w:sz w:val="24"/>
          <w:szCs w:val="24"/>
        </w:rPr>
      </w:pPr>
    </w:p>
    <w:p w14:paraId="673CE55D" w14:textId="77777777" w:rsidR="00005C6E" w:rsidRDefault="00005C6E" w:rsidP="00005C6E">
      <w:r>
        <w:br w:type="page"/>
      </w:r>
    </w:p>
    <w:p w14:paraId="24CA2E5F" w14:textId="77777777" w:rsidR="00005C6E" w:rsidRDefault="00005C6E" w:rsidP="00E54F1D">
      <w:pPr>
        <w:ind w:left="142"/>
        <w:jc w:val="both"/>
        <w:rPr>
          <w:rFonts w:ascii="Times New Roman" w:hAnsi="Times New Roman"/>
          <w:sz w:val="24"/>
          <w:szCs w:val="24"/>
        </w:rPr>
      </w:pPr>
    </w:p>
    <w:p w14:paraId="7B61C5AE" w14:textId="77777777" w:rsidR="00005C6E" w:rsidRDefault="00005C6E" w:rsidP="00E54F1D">
      <w:pPr>
        <w:ind w:left="142"/>
        <w:jc w:val="both"/>
        <w:rPr>
          <w:rFonts w:ascii="Times New Roman" w:hAnsi="Times New Roman"/>
          <w:sz w:val="24"/>
          <w:szCs w:val="24"/>
        </w:rPr>
      </w:pPr>
    </w:p>
    <w:p w14:paraId="36FB3A4A" w14:textId="1FC5C3C2" w:rsidR="00E54F1D" w:rsidRPr="00F000B0" w:rsidRDefault="000668F9" w:rsidP="006E53CE">
      <w:pPr>
        <w:pStyle w:val="Titre2"/>
        <w:ind w:left="142"/>
        <w:rPr>
          <w:rFonts w:ascii="Times New Roman" w:hAnsi="Times New Roman" w:cs="Times New Roman"/>
          <w:sz w:val="24"/>
          <w:szCs w:val="24"/>
        </w:rPr>
      </w:pPr>
      <w:bookmarkStart w:id="168" w:name="_Toc516764337"/>
      <w:bookmarkStart w:id="169" w:name="_Toc518468095"/>
      <w:r>
        <w:rPr>
          <w:rFonts w:ascii="Times New Roman" w:hAnsi="Times New Roman" w:cs="Times New Roman"/>
          <w:sz w:val="24"/>
          <w:szCs w:val="24"/>
        </w:rPr>
        <w:t>VIII</w:t>
      </w:r>
      <w:r w:rsidR="00005C6E">
        <w:rPr>
          <w:rFonts w:ascii="Times New Roman" w:hAnsi="Times New Roman" w:cs="Times New Roman"/>
          <w:sz w:val="24"/>
          <w:szCs w:val="24"/>
        </w:rPr>
        <w:t>.2</w:t>
      </w:r>
      <w:r w:rsidR="00E54F1D" w:rsidRPr="00F000B0">
        <w:rPr>
          <w:rFonts w:ascii="Times New Roman" w:hAnsi="Times New Roman" w:cs="Times New Roman"/>
          <w:sz w:val="24"/>
          <w:szCs w:val="24"/>
        </w:rPr>
        <w:t xml:space="preserve">. </w:t>
      </w:r>
      <w:r w:rsidR="002F7F99" w:rsidRPr="00F000B0">
        <w:rPr>
          <w:rFonts w:ascii="Times New Roman" w:hAnsi="Times New Roman" w:cs="Times New Roman"/>
          <w:caps w:val="0"/>
          <w:sz w:val="24"/>
          <w:szCs w:val="24"/>
        </w:rPr>
        <w:t xml:space="preserve">Contribution du secteur extractif au </w:t>
      </w:r>
      <w:bookmarkEnd w:id="168"/>
      <w:r w:rsidR="002F7F99">
        <w:rPr>
          <w:rFonts w:ascii="Times New Roman" w:hAnsi="Times New Roman" w:cs="Times New Roman"/>
          <w:caps w:val="0"/>
          <w:sz w:val="24"/>
          <w:szCs w:val="24"/>
        </w:rPr>
        <w:t>PIB</w:t>
      </w:r>
      <w:bookmarkEnd w:id="169"/>
    </w:p>
    <w:p w14:paraId="5EF809EA" w14:textId="210FDC88" w:rsidR="00E54F1D" w:rsidRDefault="00E54F1D" w:rsidP="00E54F1D">
      <w:pPr>
        <w:jc w:val="both"/>
        <w:rPr>
          <w:rFonts w:ascii="Times New Roman" w:hAnsi="Times New Roman"/>
          <w:sz w:val="24"/>
          <w:szCs w:val="24"/>
        </w:rPr>
      </w:pPr>
      <w:r w:rsidRPr="00AB5853">
        <w:rPr>
          <w:rFonts w:ascii="Times New Roman" w:hAnsi="Times New Roman"/>
          <w:sz w:val="24"/>
          <w:szCs w:val="24"/>
        </w:rPr>
        <w:t xml:space="preserve">La contribution du secteur extractif au PIB (prix courant) se présente comme suit: </w:t>
      </w:r>
    </w:p>
    <w:p w14:paraId="0B7BB1DB" w14:textId="77777777" w:rsidR="003A6FE4" w:rsidRPr="00AB5853" w:rsidRDefault="003A6FE4" w:rsidP="00E54F1D">
      <w:pPr>
        <w:jc w:val="both"/>
        <w:rPr>
          <w:rFonts w:ascii="Times New Roman" w:hAnsi="Times New Roman"/>
          <w:sz w:val="24"/>
          <w:szCs w:val="24"/>
        </w:rPr>
      </w:pPr>
    </w:p>
    <w:tbl>
      <w:tblPr>
        <w:tblStyle w:val="TableauGrille1Clair1"/>
        <w:tblpPr w:leftFromText="141" w:rightFromText="141" w:vertAnchor="text" w:tblpX="250" w:tblpY="1"/>
        <w:tblW w:w="6516" w:type="dxa"/>
        <w:tblLook w:val="04A0" w:firstRow="1" w:lastRow="0" w:firstColumn="1" w:lastColumn="0" w:noHBand="0" w:noVBand="1"/>
      </w:tblPr>
      <w:tblGrid>
        <w:gridCol w:w="1240"/>
        <w:gridCol w:w="2157"/>
        <w:gridCol w:w="1560"/>
        <w:gridCol w:w="1559"/>
      </w:tblGrid>
      <w:tr w:rsidR="003A6FE4" w:rsidRPr="00A82394" w14:paraId="2E18F38A" w14:textId="77777777" w:rsidTr="003A6FE4">
        <w:trPr>
          <w:cnfStyle w:val="100000000000" w:firstRow="1" w:lastRow="0" w:firstColumn="0" w:lastColumn="0" w:oddVBand="0" w:evenVBand="0" w:oddHBand="0" w:evenHBand="0" w:firstRowFirstColumn="0" w:firstRowLastColumn="0" w:lastRowFirstColumn="0" w:lastRowLastColumn="0"/>
          <w:trHeight w:val="1001"/>
        </w:trPr>
        <w:tc>
          <w:tcPr>
            <w:cnfStyle w:val="001000000000" w:firstRow="0" w:lastRow="0" w:firstColumn="1" w:lastColumn="0" w:oddVBand="0" w:evenVBand="0" w:oddHBand="0" w:evenHBand="0" w:firstRowFirstColumn="0" w:firstRowLastColumn="0" w:lastRowFirstColumn="0" w:lastRowLastColumn="0"/>
            <w:tcW w:w="1240" w:type="dxa"/>
            <w:hideMark/>
          </w:tcPr>
          <w:p w14:paraId="73F500AD" w14:textId="77777777" w:rsidR="003A6FE4" w:rsidRPr="00A82394" w:rsidRDefault="003A6FE4" w:rsidP="003A6FE4">
            <w:pPr>
              <w:jc w:val="both"/>
              <w:rPr>
                <w:rFonts w:eastAsia="Times New Roman" w:cs="Calibri"/>
                <w:color w:val="000000"/>
                <w:lang w:eastAsia="fr-FR"/>
              </w:rPr>
            </w:pPr>
            <w:r w:rsidRPr="00A82394">
              <w:rPr>
                <w:rFonts w:eastAsia="Times New Roman" w:cs="Calibri"/>
                <w:color w:val="000000"/>
                <w:lang w:eastAsia="fr-FR"/>
              </w:rPr>
              <w:t>Année</w:t>
            </w:r>
          </w:p>
        </w:tc>
        <w:tc>
          <w:tcPr>
            <w:tcW w:w="2157" w:type="dxa"/>
            <w:hideMark/>
          </w:tcPr>
          <w:p w14:paraId="1927D72C" w14:textId="77777777" w:rsidR="003A6FE4" w:rsidRPr="00A82394" w:rsidRDefault="003A6FE4" w:rsidP="003A6FE4">
            <w:pPr>
              <w:jc w:val="both"/>
              <w:cnfStyle w:val="100000000000" w:firstRow="1" w:lastRow="0" w:firstColumn="0" w:lastColumn="0" w:oddVBand="0" w:evenVBand="0" w:oddHBand="0" w:evenHBand="0" w:firstRowFirstColumn="0" w:firstRowLastColumn="0" w:lastRowFirstColumn="0" w:lastRowLastColumn="0"/>
              <w:rPr>
                <w:rFonts w:eastAsia="Times New Roman" w:cs="Calibri"/>
                <w:color w:val="000000"/>
                <w:lang w:eastAsia="fr-FR"/>
              </w:rPr>
            </w:pPr>
            <w:r w:rsidRPr="00A82394">
              <w:rPr>
                <w:rFonts w:eastAsia="Times New Roman" w:cs="Calibri"/>
                <w:color w:val="000000"/>
                <w:lang w:eastAsia="fr-FR"/>
              </w:rPr>
              <w:t>Revenus du secteur extractif(en millions de CDF)</w:t>
            </w:r>
          </w:p>
        </w:tc>
        <w:tc>
          <w:tcPr>
            <w:tcW w:w="1560" w:type="dxa"/>
            <w:hideMark/>
          </w:tcPr>
          <w:p w14:paraId="2876833C" w14:textId="77777777" w:rsidR="003A6FE4" w:rsidRPr="00A82394" w:rsidRDefault="003A6FE4" w:rsidP="003A6FE4">
            <w:pPr>
              <w:jc w:val="both"/>
              <w:cnfStyle w:val="100000000000" w:firstRow="1" w:lastRow="0" w:firstColumn="0" w:lastColumn="0" w:oddVBand="0" w:evenVBand="0" w:oddHBand="0" w:evenHBand="0" w:firstRowFirstColumn="0" w:firstRowLastColumn="0" w:lastRowFirstColumn="0" w:lastRowLastColumn="0"/>
              <w:rPr>
                <w:rFonts w:eastAsia="Times New Roman" w:cs="Calibri"/>
                <w:color w:val="000000"/>
                <w:lang w:eastAsia="fr-FR"/>
              </w:rPr>
            </w:pPr>
            <w:r>
              <w:rPr>
                <w:rFonts w:eastAsia="Times New Roman" w:cs="Calibri"/>
                <w:color w:val="000000"/>
                <w:lang w:eastAsia="fr-FR"/>
              </w:rPr>
              <w:t xml:space="preserve">PIB </w:t>
            </w:r>
            <w:r w:rsidRPr="00A82394">
              <w:rPr>
                <w:rFonts w:eastAsia="Times New Roman" w:cs="Calibri"/>
                <w:color w:val="000000"/>
                <w:lang w:eastAsia="fr-FR"/>
              </w:rPr>
              <w:t xml:space="preserve"> (en millions de CDF)</w:t>
            </w:r>
          </w:p>
        </w:tc>
        <w:tc>
          <w:tcPr>
            <w:tcW w:w="1559" w:type="dxa"/>
            <w:noWrap/>
            <w:hideMark/>
          </w:tcPr>
          <w:p w14:paraId="65955CE0" w14:textId="77777777" w:rsidR="003A6FE4" w:rsidRPr="00A82394" w:rsidRDefault="003A6FE4" w:rsidP="003A6FE4">
            <w:pPr>
              <w:jc w:val="both"/>
              <w:cnfStyle w:val="100000000000" w:firstRow="1" w:lastRow="0" w:firstColumn="0" w:lastColumn="0" w:oddVBand="0" w:evenVBand="0" w:oddHBand="0" w:evenHBand="0" w:firstRowFirstColumn="0" w:firstRowLastColumn="0" w:lastRowFirstColumn="0" w:lastRowLastColumn="0"/>
              <w:rPr>
                <w:rFonts w:eastAsia="Times New Roman" w:cs="Calibri"/>
                <w:color w:val="000000"/>
                <w:lang w:eastAsia="fr-FR"/>
              </w:rPr>
            </w:pPr>
            <w:r w:rsidRPr="00A82394">
              <w:rPr>
                <w:rFonts w:eastAsia="Times New Roman" w:cs="Calibri"/>
                <w:color w:val="000000"/>
                <w:lang w:eastAsia="fr-FR"/>
              </w:rPr>
              <w:t xml:space="preserve">contribution du secteur </w:t>
            </w:r>
          </w:p>
        </w:tc>
      </w:tr>
      <w:tr w:rsidR="003A6FE4" w:rsidRPr="00A82394" w14:paraId="6DC861A1" w14:textId="77777777" w:rsidTr="003A6FE4">
        <w:trPr>
          <w:trHeight w:val="28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43B9C5" w14:textId="77777777" w:rsidR="003A6FE4" w:rsidRPr="00A82394" w:rsidRDefault="003A6FE4" w:rsidP="003A6FE4">
            <w:pPr>
              <w:jc w:val="both"/>
              <w:rPr>
                <w:rFonts w:eastAsia="Times New Roman" w:cs="Calibri"/>
                <w:color w:val="000000"/>
                <w:lang w:eastAsia="fr-FR"/>
              </w:rPr>
            </w:pPr>
            <w:r w:rsidRPr="00A82394">
              <w:rPr>
                <w:rFonts w:eastAsia="Times New Roman" w:cs="Calibri"/>
                <w:color w:val="000000"/>
                <w:lang w:eastAsia="fr-FR"/>
              </w:rPr>
              <w:t>2015</w:t>
            </w:r>
          </w:p>
        </w:tc>
        <w:tc>
          <w:tcPr>
            <w:tcW w:w="2157" w:type="dxa"/>
            <w:noWrap/>
            <w:hideMark/>
          </w:tcPr>
          <w:p w14:paraId="573A7CBA" w14:textId="77777777" w:rsidR="003A6FE4" w:rsidRPr="00A82394" w:rsidRDefault="003A6FE4" w:rsidP="003A6FE4">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fr-FR"/>
              </w:rPr>
            </w:pPr>
            <w:r w:rsidRPr="00A82394">
              <w:rPr>
                <w:rFonts w:eastAsia="Times New Roman" w:cs="Calibri"/>
                <w:color w:val="000000"/>
                <w:lang w:eastAsia="fr-FR"/>
              </w:rPr>
              <w:t>7 178 853</w:t>
            </w:r>
          </w:p>
        </w:tc>
        <w:tc>
          <w:tcPr>
            <w:tcW w:w="1560" w:type="dxa"/>
            <w:noWrap/>
            <w:hideMark/>
          </w:tcPr>
          <w:p w14:paraId="79CFD451" w14:textId="77777777" w:rsidR="003A6FE4" w:rsidRPr="00A82394" w:rsidRDefault="003A6FE4" w:rsidP="003A6FE4">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fr-FR"/>
              </w:rPr>
            </w:pPr>
            <w:r w:rsidRPr="00A82394">
              <w:rPr>
                <w:rFonts w:eastAsia="Times New Roman" w:cs="Calibri"/>
                <w:color w:val="000000"/>
                <w:lang w:eastAsia="fr-FR"/>
              </w:rPr>
              <w:t>35 111 226</w:t>
            </w:r>
          </w:p>
        </w:tc>
        <w:tc>
          <w:tcPr>
            <w:tcW w:w="1559" w:type="dxa"/>
            <w:noWrap/>
            <w:hideMark/>
          </w:tcPr>
          <w:p w14:paraId="35112515" w14:textId="77777777" w:rsidR="003A6FE4" w:rsidRPr="00A82394" w:rsidRDefault="003A6FE4" w:rsidP="003A6FE4">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fr-FR"/>
              </w:rPr>
            </w:pPr>
            <w:r w:rsidRPr="00A82394">
              <w:rPr>
                <w:rFonts w:eastAsia="Times New Roman" w:cs="Calibri"/>
                <w:color w:val="000000"/>
                <w:lang w:eastAsia="fr-FR"/>
              </w:rPr>
              <w:t>20,44</w:t>
            </w:r>
          </w:p>
        </w:tc>
      </w:tr>
      <w:tr w:rsidR="003A6FE4" w:rsidRPr="00A82394" w14:paraId="1D02345E" w14:textId="77777777" w:rsidTr="003A6FE4">
        <w:trPr>
          <w:trHeight w:val="28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B5656DF" w14:textId="77777777" w:rsidR="003A6FE4" w:rsidRPr="00A82394" w:rsidRDefault="003A6FE4" w:rsidP="003A6FE4">
            <w:pPr>
              <w:jc w:val="both"/>
              <w:rPr>
                <w:rFonts w:eastAsia="Times New Roman" w:cs="Calibri"/>
                <w:color w:val="000000"/>
                <w:lang w:eastAsia="fr-FR"/>
              </w:rPr>
            </w:pPr>
            <w:r w:rsidRPr="00A82394">
              <w:rPr>
                <w:rFonts w:eastAsia="Times New Roman" w:cs="Calibri"/>
                <w:color w:val="000000"/>
                <w:lang w:eastAsia="fr-FR"/>
              </w:rPr>
              <w:t>2016</w:t>
            </w:r>
          </w:p>
        </w:tc>
        <w:tc>
          <w:tcPr>
            <w:tcW w:w="2157" w:type="dxa"/>
            <w:noWrap/>
            <w:hideMark/>
          </w:tcPr>
          <w:p w14:paraId="7A4F8CBD" w14:textId="77777777" w:rsidR="003A6FE4" w:rsidRPr="00A82394" w:rsidRDefault="003A6FE4" w:rsidP="003A6FE4">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fr-FR"/>
              </w:rPr>
            </w:pPr>
            <w:r w:rsidRPr="00A82394">
              <w:rPr>
                <w:rFonts w:eastAsia="Times New Roman" w:cs="Calibri"/>
                <w:color w:val="000000"/>
                <w:lang w:eastAsia="fr-FR"/>
              </w:rPr>
              <w:t>7 254 338</w:t>
            </w:r>
          </w:p>
        </w:tc>
        <w:tc>
          <w:tcPr>
            <w:tcW w:w="1560" w:type="dxa"/>
            <w:noWrap/>
            <w:hideMark/>
          </w:tcPr>
          <w:p w14:paraId="58D725CC" w14:textId="77777777" w:rsidR="003A6FE4" w:rsidRPr="00A82394" w:rsidRDefault="003A6FE4" w:rsidP="003A6FE4">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fr-FR"/>
              </w:rPr>
            </w:pPr>
            <w:r w:rsidRPr="00A82394">
              <w:rPr>
                <w:rFonts w:eastAsia="Times New Roman" w:cs="Calibri"/>
                <w:color w:val="000000"/>
                <w:lang w:eastAsia="fr-FR"/>
              </w:rPr>
              <w:t>40 735 910</w:t>
            </w:r>
          </w:p>
        </w:tc>
        <w:tc>
          <w:tcPr>
            <w:tcW w:w="1559" w:type="dxa"/>
            <w:noWrap/>
            <w:hideMark/>
          </w:tcPr>
          <w:p w14:paraId="50D1D5C1" w14:textId="77777777" w:rsidR="003A6FE4" w:rsidRPr="00A82394" w:rsidRDefault="003A6FE4" w:rsidP="003A6FE4">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fr-FR"/>
              </w:rPr>
            </w:pPr>
            <w:r w:rsidRPr="00A82394">
              <w:rPr>
                <w:rFonts w:eastAsia="Times New Roman" w:cs="Calibri"/>
                <w:color w:val="000000"/>
                <w:lang w:eastAsia="fr-FR"/>
              </w:rPr>
              <w:t>17,8</w:t>
            </w:r>
          </w:p>
        </w:tc>
      </w:tr>
    </w:tbl>
    <w:p w14:paraId="6CA13876" w14:textId="77777777" w:rsidR="00E54F1D" w:rsidRPr="000C200F" w:rsidRDefault="00E54F1D" w:rsidP="00E54F1D">
      <w:pPr>
        <w:ind w:left="426"/>
        <w:jc w:val="both"/>
        <w:rPr>
          <w:rFonts w:ascii="Times New Roman" w:hAnsi="Times New Roman"/>
          <w:sz w:val="28"/>
        </w:rPr>
      </w:pPr>
    </w:p>
    <w:p w14:paraId="7FFFFAA1" w14:textId="77777777" w:rsidR="00E54F1D" w:rsidRPr="000C200F" w:rsidRDefault="00E54F1D" w:rsidP="00E54F1D">
      <w:pPr>
        <w:ind w:left="-426"/>
        <w:jc w:val="both"/>
        <w:rPr>
          <w:rFonts w:ascii="Times New Roman" w:hAnsi="Times New Roman"/>
          <w:sz w:val="28"/>
        </w:rPr>
      </w:pPr>
    </w:p>
    <w:p w14:paraId="789FB929" w14:textId="77777777" w:rsidR="003A6FE4" w:rsidRDefault="003A6FE4" w:rsidP="00E54F1D">
      <w:pPr>
        <w:jc w:val="both"/>
        <w:rPr>
          <w:rFonts w:ascii="Times New Roman" w:hAnsi="Times New Roman"/>
          <w:sz w:val="16"/>
          <w:szCs w:val="16"/>
        </w:rPr>
      </w:pPr>
    </w:p>
    <w:p w14:paraId="228F50E2" w14:textId="77777777" w:rsidR="003A6FE4" w:rsidRDefault="003A6FE4" w:rsidP="00E54F1D">
      <w:pPr>
        <w:jc w:val="both"/>
        <w:rPr>
          <w:rFonts w:ascii="Times New Roman" w:hAnsi="Times New Roman"/>
          <w:sz w:val="16"/>
          <w:szCs w:val="16"/>
        </w:rPr>
      </w:pPr>
    </w:p>
    <w:p w14:paraId="1A3EE4C2" w14:textId="77777777" w:rsidR="00E54F1D" w:rsidRPr="005D5874" w:rsidRDefault="00E54F1D" w:rsidP="00E54F1D">
      <w:pPr>
        <w:jc w:val="both"/>
        <w:rPr>
          <w:rFonts w:ascii="Times New Roman" w:hAnsi="Times New Roman"/>
          <w:sz w:val="16"/>
          <w:szCs w:val="16"/>
        </w:rPr>
      </w:pPr>
      <w:r w:rsidRPr="005D5874">
        <w:rPr>
          <w:rFonts w:ascii="Times New Roman" w:hAnsi="Times New Roman"/>
          <w:sz w:val="16"/>
          <w:szCs w:val="16"/>
        </w:rPr>
        <w:t>(1) Rapport Banque Centrale du Congo 2016</w:t>
      </w:r>
    </w:p>
    <w:p w14:paraId="3BD59D84" w14:textId="77777777" w:rsidR="003A6FE4" w:rsidRDefault="003A6FE4" w:rsidP="00E54F1D">
      <w:pPr>
        <w:jc w:val="both"/>
        <w:rPr>
          <w:rFonts w:ascii="Times New Roman" w:hAnsi="Times New Roman"/>
          <w:sz w:val="24"/>
          <w:szCs w:val="24"/>
        </w:rPr>
      </w:pPr>
    </w:p>
    <w:p w14:paraId="63B9653B" w14:textId="77777777" w:rsidR="00E54F1D" w:rsidRPr="00AB5853" w:rsidRDefault="00E54F1D" w:rsidP="00E54F1D">
      <w:pPr>
        <w:jc w:val="both"/>
        <w:rPr>
          <w:rFonts w:ascii="Times New Roman" w:hAnsi="Times New Roman"/>
          <w:sz w:val="24"/>
          <w:szCs w:val="24"/>
        </w:rPr>
      </w:pPr>
      <w:r w:rsidRPr="00AB5853">
        <w:rPr>
          <w:rFonts w:ascii="Times New Roman" w:hAnsi="Times New Roman"/>
          <w:sz w:val="24"/>
          <w:szCs w:val="24"/>
        </w:rPr>
        <w:t xml:space="preserve">La contribution sectorielle des industries extractives est présentée ci-après : </w:t>
      </w:r>
    </w:p>
    <w:p w14:paraId="5A6D7DC5" w14:textId="77777777" w:rsidR="00E54F1D" w:rsidRDefault="00E54F1D" w:rsidP="00E54F1D">
      <w:pPr>
        <w:jc w:val="both"/>
        <w:rPr>
          <w:rFonts w:ascii="Times New Roman" w:hAnsi="Times New Roman"/>
          <w:sz w:val="28"/>
        </w:rPr>
      </w:pPr>
      <w:r w:rsidRPr="000C200F">
        <w:rPr>
          <w:rFonts w:ascii="Times New Roman" w:hAnsi="Times New Roman"/>
          <w:noProof/>
          <w:lang w:eastAsia="fr-FR"/>
        </w:rPr>
        <w:drawing>
          <wp:inline distT="0" distB="0" distL="0" distR="0" wp14:anchorId="6A7D1415" wp14:editId="5B786123">
            <wp:extent cx="5318760" cy="2651760"/>
            <wp:effectExtent l="0" t="0" r="15240" b="15240"/>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57ED9A4" w14:textId="2CF1A1D1" w:rsidR="00E54F1D" w:rsidRPr="005D5874" w:rsidRDefault="00E54F1D" w:rsidP="00E54F1D">
      <w:pPr>
        <w:jc w:val="both"/>
        <w:rPr>
          <w:rFonts w:ascii="Times New Roman" w:hAnsi="Times New Roman"/>
          <w:sz w:val="16"/>
          <w:szCs w:val="16"/>
        </w:rPr>
      </w:pPr>
      <w:r w:rsidRPr="005D5874">
        <w:rPr>
          <w:rFonts w:ascii="Times New Roman" w:hAnsi="Times New Roman"/>
          <w:sz w:val="16"/>
          <w:szCs w:val="16"/>
        </w:rPr>
        <w:t>Source </w:t>
      </w:r>
      <w:r w:rsidR="00B50BF9" w:rsidRPr="005D5874">
        <w:rPr>
          <w:rFonts w:ascii="Times New Roman" w:hAnsi="Times New Roman"/>
          <w:sz w:val="16"/>
          <w:szCs w:val="16"/>
        </w:rPr>
        <w:t>: Rapport</w:t>
      </w:r>
      <w:r w:rsidRPr="005D5874">
        <w:rPr>
          <w:rFonts w:ascii="Times New Roman" w:hAnsi="Times New Roman"/>
          <w:sz w:val="16"/>
          <w:szCs w:val="16"/>
        </w:rPr>
        <w:t xml:space="preserve"> Banque Centrale du Congo 2016</w:t>
      </w:r>
    </w:p>
    <w:p w14:paraId="5E7031B5" w14:textId="788BFEA2" w:rsidR="003A6FE4" w:rsidRDefault="003A6FE4">
      <w:pPr>
        <w:rPr>
          <w:rFonts w:ascii="Times New Roman" w:hAnsi="Times New Roman"/>
          <w:sz w:val="28"/>
        </w:rPr>
      </w:pPr>
      <w:r>
        <w:rPr>
          <w:rFonts w:ascii="Times New Roman" w:hAnsi="Times New Roman"/>
          <w:sz w:val="28"/>
        </w:rPr>
        <w:br w:type="page"/>
      </w:r>
    </w:p>
    <w:p w14:paraId="112FD163" w14:textId="2048A6BE" w:rsidR="00E54F1D" w:rsidRPr="00F000B0" w:rsidRDefault="000668F9" w:rsidP="00F000B0">
      <w:pPr>
        <w:pStyle w:val="Titre2"/>
        <w:rPr>
          <w:rFonts w:ascii="Times New Roman" w:hAnsi="Times New Roman" w:cs="Times New Roman"/>
          <w:sz w:val="24"/>
          <w:szCs w:val="24"/>
        </w:rPr>
      </w:pPr>
      <w:bookmarkStart w:id="170" w:name="_Toc516764338"/>
      <w:bookmarkStart w:id="171" w:name="_Toc518468096"/>
      <w:r>
        <w:rPr>
          <w:rFonts w:ascii="Times New Roman" w:hAnsi="Times New Roman" w:cs="Times New Roman"/>
          <w:sz w:val="24"/>
          <w:szCs w:val="24"/>
        </w:rPr>
        <w:lastRenderedPageBreak/>
        <w:t>VIII.3</w:t>
      </w:r>
      <w:r w:rsidR="00E54F1D" w:rsidRPr="00F000B0">
        <w:rPr>
          <w:rFonts w:ascii="Times New Roman" w:hAnsi="Times New Roman" w:cs="Times New Roman"/>
          <w:sz w:val="24"/>
          <w:szCs w:val="24"/>
        </w:rPr>
        <w:t xml:space="preserve">. </w:t>
      </w:r>
      <w:r w:rsidR="00E54F1D" w:rsidRPr="002F7F99">
        <w:rPr>
          <w:rFonts w:ascii="Times New Roman" w:hAnsi="Times New Roman" w:cs="Times New Roman"/>
          <w:caps w:val="0"/>
          <w:sz w:val="24"/>
          <w:szCs w:val="24"/>
        </w:rPr>
        <w:t>Contribution au budget de l’Etat</w:t>
      </w:r>
      <w:bookmarkEnd w:id="170"/>
      <w:bookmarkEnd w:id="171"/>
    </w:p>
    <w:p w14:paraId="72807444" w14:textId="77777777" w:rsidR="00E54F1D" w:rsidRDefault="00E54F1D" w:rsidP="00E54F1D">
      <w:pPr>
        <w:jc w:val="both"/>
        <w:rPr>
          <w:rFonts w:ascii="Times New Roman" w:hAnsi="Times New Roman"/>
          <w:sz w:val="24"/>
          <w:szCs w:val="24"/>
        </w:rPr>
      </w:pPr>
      <w:r w:rsidRPr="00AB5853">
        <w:rPr>
          <w:rFonts w:ascii="Times New Roman" w:hAnsi="Times New Roman"/>
          <w:sz w:val="24"/>
          <w:szCs w:val="24"/>
        </w:rPr>
        <w:t>La part des recettes du secteur extractif dans l’ensemble des dépenses gouvernementales se présente comme suit :</w:t>
      </w:r>
    </w:p>
    <w:p w14:paraId="75104032" w14:textId="77777777" w:rsidR="003A6FE4" w:rsidRDefault="003A6FE4" w:rsidP="00E54F1D">
      <w:pPr>
        <w:jc w:val="both"/>
        <w:rPr>
          <w:rFonts w:ascii="Times New Roman" w:hAnsi="Times New Roman"/>
          <w:sz w:val="24"/>
          <w:szCs w:val="24"/>
        </w:rPr>
      </w:pPr>
    </w:p>
    <w:tbl>
      <w:tblPr>
        <w:tblStyle w:val="TableauGrille1Clair1"/>
        <w:tblW w:w="6379" w:type="dxa"/>
        <w:tblInd w:w="250" w:type="dxa"/>
        <w:tblLook w:val="04A0" w:firstRow="1" w:lastRow="0" w:firstColumn="1" w:lastColumn="0" w:noHBand="0" w:noVBand="1"/>
      </w:tblPr>
      <w:tblGrid>
        <w:gridCol w:w="884"/>
        <w:gridCol w:w="2235"/>
        <w:gridCol w:w="2126"/>
        <w:gridCol w:w="1134"/>
      </w:tblGrid>
      <w:tr w:rsidR="003A6FE4" w:rsidRPr="00BA5DF7" w14:paraId="7B060E4E" w14:textId="77777777" w:rsidTr="003A6FE4">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84" w:type="dxa"/>
            <w:noWrap/>
            <w:hideMark/>
          </w:tcPr>
          <w:p w14:paraId="26AF950D" w14:textId="77777777" w:rsidR="003A6FE4" w:rsidRPr="00BA5DF7" w:rsidRDefault="003A6FE4" w:rsidP="000B411F">
            <w:pPr>
              <w:jc w:val="both"/>
              <w:rPr>
                <w:rFonts w:eastAsia="Times New Roman" w:cs="Calibri"/>
                <w:color w:val="000000"/>
                <w:lang w:eastAsia="fr-FR"/>
              </w:rPr>
            </w:pPr>
            <w:r w:rsidRPr="00BA5DF7">
              <w:rPr>
                <w:rFonts w:eastAsia="Times New Roman" w:cs="Calibri"/>
                <w:color w:val="000000"/>
                <w:lang w:eastAsia="fr-FR"/>
              </w:rPr>
              <w:t>Année</w:t>
            </w:r>
          </w:p>
        </w:tc>
        <w:tc>
          <w:tcPr>
            <w:tcW w:w="2235" w:type="dxa"/>
            <w:noWrap/>
            <w:hideMark/>
          </w:tcPr>
          <w:p w14:paraId="38F5CF97" w14:textId="3463A966" w:rsidR="003A6FE4" w:rsidRPr="00BA5DF7" w:rsidRDefault="005E1F15" w:rsidP="000B411F">
            <w:pPr>
              <w:jc w:val="both"/>
              <w:cnfStyle w:val="100000000000" w:firstRow="1" w:lastRow="0" w:firstColumn="0" w:lastColumn="0" w:oddVBand="0" w:evenVBand="0" w:oddHBand="0" w:evenHBand="0" w:firstRowFirstColumn="0" w:firstRowLastColumn="0" w:lastRowFirstColumn="0" w:lastRowLastColumn="0"/>
              <w:rPr>
                <w:rFonts w:eastAsia="Times New Roman" w:cs="Calibri"/>
                <w:color w:val="000000"/>
                <w:lang w:eastAsia="fr-FR"/>
              </w:rPr>
            </w:pPr>
            <w:r>
              <w:rPr>
                <w:rFonts w:eastAsia="Times New Roman" w:cs="Calibri"/>
                <w:color w:val="000000"/>
                <w:lang w:eastAsia="fr-FR"/>
              </w:rPr>
              <w:t>Recettes du Trésor déclarées à l’ITIE</w:t>
            </w:r>
          </w:p>
        </w:tc>
        <w:tc>
          <w:tcPr>
            <w:tcW w:w="2126" w:type="dxa"/>
            <w:noWrap/>
            <w:hideMark/>
          </w:tcPr>
          <w:p w14:paraId="4929B2B7" w14:textId="77777777" w:rsidR="003A6FE4" w:rsidRPr="00BA5DF7" w:rsidRDefault="003A6FE4" w:rsidP="000B411F">
            <w:pPr>
              <w:jc w:val="both"/>
              <w:cnfStyle w:val="100000000000" w:firstRow="1" w:lastRow="0" w:firstColumn="0" w:lastColumn="0" w:oddVBand="0" w:evenVBand="0" w:oddHBand="0" w:evenHBand="0" w:firstRowFirstColumn="0" w:firstRowLastColumn="0" w:lastRowFirstColumn="0" w:lastRowLastColumn="0"/>
              <w:rPr>
                <w:rFonts w:eastAsia="Times New Roman" w:cs="Calibri"/>
                <w:color w:val="000000"/>
                <w:lang w:eastAsia="fr-FR"/>
              </w:rPr>
            </w:pPr>
            <w:r w:rsidRPr="00BA5DF7">
              <w:rPr>
                <w:rFonts w:eastAsia="Times New Roman" w:cs="Calibri"/>
                <w:color w:val="000000"/>
                <w:lang w:eastAsia="fr-FR"/>
              </w:rPr>
              <w:t>Dépenses exécutées</w:t>
            </w:r>
          </w:p>
        </w:tc>
        <w:tc>
          <w:tcPr>
            <w:tcW w:w="1134" w:type="dxa"/>
            <w:noWrap/>
            <w:hideMark/>
          </w:tcPr>
          <w:p w14:paraId="5FB9EEAB" w14:textId="77777777" w:rsidR="003A6FE4" w:rsidRPr="00BA5DF7" w:rsidRDefault="003A6FE4" w:rsidP="000B411F">
            <w:pPr>
              <w:jc w:val="both"/>
              <w:cnfStyle w:val="100000000000" w:firstRow="1" w:lastRow="0" w:firstColumn="0" w:lastColumn="0" w:oddVBand="0" w:evenVBand="0" w:oddHBand="0" w:evenHBand="0" w:firstRowFirstColumn="0" w:firstRowLastColumn="0" w:lastRowFirstColumn="0" w:lastRowLastColumn="0"/>
              <w:rPr>
                <w:rFonts w:eastAsia="Times New Roman" w:cs="Calibri"/>
                <w:color w:val="000000"/>
                <w:lang w:eastAsia="fr-FR"/>
              </w:rPr>
            </w:pPr>
            <w:r w:rsidRPr="00BA5DF7">
              <w:rPr>
                <w:rFonts w:eastAsia="Times New Roman" w:cs="Calibri"/>
                <w:color w:val="000000"/>
                <w:lang w:eastAsia="fr-FR"/>
              </w:rPr>
              <w:t>%</w:t>
            </w:r>
          </w:p>
        </w:tc>
      </w:tr>
      <w:tr w:rsidR="003A6FE4" w:rsidRPr="00BA5DF7" w14:paraId="3A5BED0F" w14:textId="77777777" w:rsidTr="003A6FE4">
        <w:trPr>
          <w:trHeight w:val="288"/>
        </w:trPr>
        <w:tc>
          <w:tcPr>
            <w:cnfStyle w:val="001000000000" w:firstRow="0" w:lastRow="0" w:firstColumn="1" w:lastColumn="0" w:oddVBand="0" w:evenVBand="0" w:oddHBand="0" w:evenHBand="0" w:firstRowFirstColumn="0" w:firstRowLastColumn="0" w:lastRowFirstColumn="0" w:lastRowLastColumn="0"/>
            <w:tcW w:w="884" w:type="dxa"/>
            <w:noWrap/>
            <w:hideMark/>
          </w:tcPr>
          <w:p w14:paraId="325FADAA" w14:textId="77777777" w:rsidR="003A6FE4" w:rsidRPr="00BA5DF7" w:rsidRDefault="003A6FE4" w:rsidP="003A6FE4">
            <w:pPr>
              <w:jc w:val="right"/>
              <w:rPr>
                <w:rFonts w:eastAsia="Times New Roman" w:cs="Calibri"/>
                <w:color w:val="000000"/>
                <w:lang w:eastAsia="fr-FR"/>
              </w:rPr>
            </w:pPr>
            <w:r w:rsidRPr="00BA5DF7">
              <w:rPr>
                <w:rFonts w:eastAsia="Times New Roman" w:cs="Calibri"/>
                <w:color w:val="000000"/>
                <w:lang w:eastAsia="fr-FR"/>
              </w:rPr>
              <w:t>2016</w:t>
            </w:r>
          </w:p>
        </w:tc>
        <w:tc>
          <w:tcPr>
            <w:tcW w:w="2235" w:type="dxa"/>
            <w:noWrap/>
            <w:hideMark/>
          </w:tcPr>
          <w:p w14:paraId="1B9618D1" w14:textId="77777777" w:rsidR="003A6FE4" w:rsidRPr="00BA5DF7" w:rsidRDefault="003A6FE4" w:rsidP="003A6FE4">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fr-FR"/>
              </w:rPr>
            </w:pPr>
            <w:r w:rsidRPr="00BA5DF7">
              <w:rPr>
                <w:rFonts w:eastAsia="Times New Roman" w:cs="Calibri"/>
                <w:color w:val="000000"/>
                <w:lang w:eastAsia="fr-FR"/>
              </w:rPr>
              <w:t> </w:t>
            </w:r>
            <w:r>
              <w:rPr>
                <w:rFonts w:eastAsia="Times New Roman" w:cs="Calibri"/>
                <w:color w:val="000000"/>
                <w:lang w:eastAsia="fr-FR"/>
              </w:rPr>
              <w:t>738 807 830</w:t>
            </w:r>
          </w:p>
        </w:tc>
        <w:tc>
          <w:tcPr>
            <w:tcW w:w="2126" w:type="dxa"/>
            <w:noWrap/>
            <w:hideMark/>
          </w:tcPr>
          <w:p w14:paraId="6842DD65" w14:textId="77777777" w:rsidR="003A6FE4" w:rsidRPr="00BA5DF7" w:rsidRDefault="003A6FE4" w:rsidP="003A6FE4">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fr-FR"/>
              </w:rPr>
            </w:pPr>
            <w:r w:rsidRPr="00BA5DF7">
              <w:rPr>
                <w:rFonts w:eastAsia="Times New Roman" w:cs="Calibri"/>
                <w:color w:val="000000"/>
                <w:lang w:eastAsia="fr-FR"/>
              </w:rPr>
              <w:t>4</w:t>
            </w:r>
            <w:r>
              <w:rPr>
                <w:rFonts w:eastAsia="Times New Roman" w:cs="Calibri"/>
                <w:color w:val="000000"/>
                <w:lang w:eastAsia="fr-FR"/>
              </w:rPr>
              <w:t xml:space="preserve"> </w:t>
            </w:r>
            <w:r w:rsidRPr="00BA5DF7">
              <w:rPr>
                <w:rFonts w:eastAsia="Times New Roman" w:cs="Calibri"/>
                <w:color w:val="000000"/>
                <w:lang w:eastAsia="fr-FR"/>
              </w:rPr>
              <w:t>045</w:t>
            </w:r>
            <w:r>
              <w:rPr>
                <w:rFonts w:eastAsia="Times New Roman" w:cs="Calibri"/>
                <w:color w:val="000000"/>
                <w:lang w:eastAsia="fr-FR"/>
              </w:rPr>
              <w:t xml:space="preserve"> </w:t>
            </w:r>
            <w:r w:rsidRPr="00BA5DF7">
              <w:rPr>
                <w:rFonts w:eastAsia="Times New Roman" w:cs="Calibri"/>
                <w:color w:val="000000"/>
                <w:lang w:eastAsia="fr-FR"/>
              </w:rPr>
              <w:t>985</w:t>
            </w:r>
            <w:r>
              <w:rPr>
                <w:rFonts w:eastAsia="Times New Roman" w:cs="Calibri"/>
                <w:color w:val="000000"/>
                <w:lang w:eastAsia="fr-FR"/>
              </w:rPr>
              <w:t xml:space="preserve"> </w:t>
            </w:r>
            <w:r w:rsidRPr="00BA5DF7">
              <w:rPr>
                <w:rFonts w:eastAsia="Times New Roman" w:cs="Calibri"/>
                <w:color w:val="000000"/>
                <w:lang w:eastAsia="fr-FR"/>
              </w:rPr>
              <w:t>351</w:t>
            </w:r>
          </w:p>
        </w:tc>
        <w:tc>
          <w:tcPr>
            <w:tcW w:w="1134" w:type="dxa"/>
            <w:noWrap/>
            <w:hideMark/>
          </w:tcPr>
          <w:p w14:paraId="683452DE" w14:textId="77777777" w:rsidR="003A6FE4" w:rsidRPr="00BA5DF7" w:rsidRDefault="003A6FE4" w:rsidP="003A6FE4">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fr-FR"/>
              </w:rPr>
            </w:pPr>
            <w:r w:rsidRPr="00BA5DF7">
              <w:rPr>
                <w:rFonts w:eastAsia="Times New Roman" w:cs="Calibri"/>
                <w:color w:val="000000"/>
                <w:lang w:eastAsia="fr-FR"/>
              </w:rPr>
              <w:t> </w:t>
            </w:r>
            <w:r>
              <w:rPr>
                <w:rFonts w:eastAsia="Times New Roman" w:cs="Calibri"/>
                <w:color w:val="000000"/>
                <w:lang w:eastAsia="fr-FR"/>
              </w:rPr>
              <w:t>18.26</w:t>
            </w:r>
          </w:p>
        </w:tc>
      </w:tr>
    </w:tbl>
    <w:p w14:paraId="7AB89DCB" w14:textId="77777777" w:rsidR="00E54F1D" w:rsidRPr="005D5874" w:rsidRDefault="00E54F1D" w:rsidP="00E54F1D">
      <w:pPr>
        <w:jc w:val="both"/>
        <w:rPr>
          <w:rFonts w:ascii="Times New Roman" w:hAnsi="Times New Roman"/>
          <w:sz w:val="16"/>
          <w:szCs w:val="16"/>
        </w:rPr>
      </w:pPr>
      <w:r w:rsidRPr="005D5874">
        <w:rPr>
          <w:rFonts w:ascii="Times New Roman" w:hAnsi="Times New Roman"/>
          <w:sz w:val="16"/>
          <w:szCs w:val="16"/>
        </w:rPr>
        <w:t>Sources : Déclarations ITIE 2016 et Rapport BCC 2016</w:t>
      </w:r>
    </w:p>
    <w:p w14:paraId="178A7C25" w14:textId="77777777" w:rsidR="00E54F1D" w:rsidRDefault="00E54F1D" w:rsidP="00E54F1D">
      <w:pPr>
        <w:rPr>
          <w:rFonts w:ascii="Times New Roman" w:hAnsi="Times New Roman"/>
          <w:sz w:val="28"/>
        </w:rPr>
      </w:pPr>
    </w:p>
    <w:p w14:paraId="36C9539C" w14:textId="6BE1D5E9" w:rsidR="00E54F1D" w:rsidRPr="00F000B0" w:rsidRDefault="000668F9" w:rsidP="00F000B0">
      <w:pPr>
        <w:pStyle w:val="Titre2"/>
        <w:rPr>
          <w:rFonts w:ascii="Times New Roman" w:hAnsi="Times New Roman" w:cs="Times New Roman"/>
          <w:sz w:val="24"/>
          <w:szCs w:val="24"/>
        </w:rPr>
      </w:pPr>
      <w:bookmarkStart w:id="172" w:name="_Toc516764339"/>
      <w:bookmarkStart w:id="173" w:name="_Toc518468097"/>
      <w:r>
        <w:rPr>
          <w:rFonts w:ascii="Times New Roman" w:hAnsi="Times New Roman" w:cs="Times New Roman"/>
          <w:sz w:val="24"/>
          <w:szCs w:val="24"/>
        </w:rPr>
        <w:t>VIII.4</w:t>
      </w:r>
      <w:r w:rsidR="00E54F1D" w:rsidRPr="00F000B0">
        <w:rPr>
          <w:rFonts w:ascii="Times New Roman" w:hAnsi="Times New Roman" w:cs="Times New Roman"/>
          <w:sz w:val="24"/>
          <w:szCs w:val="24"/>
        </w:rPr>
        <w:t xml:space="preserve">. </w:t>
      </w:r>
      <w:r w:rsidR="00E54F1D" w:rsidRPr="002F7F99">
        <w:rPr>
          <w:rFonts w:ascii="Times New Roman" w:hAnsi="Times New Roman" w:cs="Times New Roman"/>
          <w:caps w:val="0"/>
          <w:sz w:val="24"/>
          <w:szCs w:val="24"/>
        </w:rPr>
        <w:t>Contribution du secteur extractif aux exportations</w:t>
      </w:r>
      <w:bookmarkEnd w:id="172"/>
      <w:bookmarkEnd w:id="173"/>
    </w:p>
    <w:p w14:paraId="64995C0A" w14:textId="77777777" w:rsidR="00E54F1D" w:rsidRPr="003A6FE4" w:rsidRDefault="00E54F1D" w:rsidP="00E54F1D">
      <w:pPr>
        <w:jc w:val="both"/>
        <w:rPr>
          <w:rFonts w:ascii="Times New Roman" w:hAnsi="Times New Roman"/>
          <w:sz w:val="24"/>
          <w:szCs w:val="24"/>
        </w:rPr>
      </w:pPr>
      <w:r w:rsidRPr="003A6FE4">
        <w:rPr>
          <w:rFonts w:ascii="Times New Roman" w:hAnsi="Times New Roman"/>
          <w:sz w:val="24"/>
          <w:szCs w:val="24"/>
        </w:rPr>
        <w:t>Les exportations du secteur extractif dans l’ensemble des exportations sont résumées dans le tableau suivant :</w:t>
      </w:r>
    </w:p>
    <w:p w14:paraId="6A6CD9B3" w14:textId="77777777" w:rsidR="00E54F1D" w:rsidRDefault="00E54F1D" w:rsidP="00E54F1D">
      <w:pPr>
        <w:jc w:val="both"/>
        <w:rPr>
          <w:rFonts w:ascii="Times New Roman" w:hAnsi="Times New Roman"/>
          <w:sz w:val="28"/>
        </w:rPr>
      </w:pPr>
      <w:r>
        <w:rPr>
          <w:noProof/>
          <w:lang w:eastAsia="fr-FR"/>
        </w:rPr>
        <w:drawing>
          <wp:inline distT="0" distB="0" distL="0" distR="0" wp14:anchorId="5E7519B8" wp14:editId="4D6899CF">
            <wp:extent cx="5760720" cy="4193540"/>
            <wp:effectExtent l="0" t="0" r="11430" b="16510"/>
            <wp:docPr id="10"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6CE8A1B5" w14:textId="77777777" w:rsidR="00E54F1D" w:rsidRDefault="00E54F1D" w:rsidP="00E54F1D">
      <w:pPr>
        <w:jc w:val="both"/>
        <w:rPr>
          <w:rFonts w:ascii="Times New Roman" w:hAnsi="Times New Roman"/>
          <w:sz w:val="28"/>
        </w:rPr>
      </w:pPr>
      <w:r>
        <w:rPr>
          <w:noProof/>
          <w:lang w:eastAsia="fr-FR"/>
        </w:rPr>
        <w:lastRenderedPageBreak/>
        <w:drawing>
          <wp:inline distT="0" distB="0" distL="0" distR="0" wp14:anchorId="6A305D3D" wp14:editId="67F9CBE7">
            <wp:extent cx="5882640" cy="3489960"/>
            <wp:effectExtent l="0" t="0" r="3810" b="15240"/>
            <wp:docPr id="11"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33909C5C" w14:textId="77777777" w:rsidR="00E54F1D" w:rsidRPr="005D5874" w:rsidRDefault="00E54F1D" w:rsidP="00E54F1D">
      <w:pPr>
        <w:jc w:val="both"/>
        <w:rPr>
          <w:rFonts w:ascii="Times New Roman" w:hAnsi="Times New Roman"/>
          <w:sz w:val="16"/>
          <w:szCs w:val="16"/>
        </w:rPr>
      </w:pPr>
      <w:r w:rsidRPr="005D5874">
        <w:rPr>
          <w:rFonts w:ascii="Times New Roman" w:hAnsi="Times New Roman"/>
          <w:sz w:val="16"/>
          <w:szCs w:val="16"/>
        </w:rPr>
        <w:t>Source: Rapport BCC 2016</w:t>
      </w:r>
    </w:p>
    <w:p w14:paraId="00729CA8" w14:textId="77777777" w:rsidR="00E54F1D" w:rsidRDefault="00E54F1D" w:rsidP="00E54F1D">
      <w:pPr>
        <w:jc w:val="both"/>
        <w:rPr>
          <w:rFonts w:ascii="Times New Roman" w:hAnsi="Times New Roman"/>
          <w:sz w:val="28"/>
        </w:rPr>
      </w:pPr>
    </w:p>
    <w:p w14:paraId="47F09AF8" w14:textId="7173EA98" w:rsidR="00E54F1D" w:rsidRPr="00F000B0" w:rsidRDefault="000668F9" w:rsidP="00F000B0">
      <w:pPr>
        <w:pStyle w:val="Titre2"/>
        <w:rPr>
          <w:rFonts w:ascii="Times New Roman" w:hAnsi="Times New Roman" w:cs="Times New Roman"/>
          <w:sz w:val="24"/>
          <w:szCs w:val="24"/>
        </w:rPr>
      </w:pPr>
      <w:bookmarkStart w:id="174" w:name="_Toc516764340"/>
      <w:bookmarkStart w:id="175" w:name="_Toc518468098"/>
      <w:r>
        <w:rPr>
          <w:rFonts w:ascii="Times New Roman" w:hAnsi="Times New Roman" w:cs="Times New Roman"/>
          <w:sz w:val="24"/>
          <w:szCs w:val="24"/>
        </w:rPr>
        <w:t>VIII.5</w:t>
      </w:r>
      <w:r w:rsidR="00E54F1D" w:rsidRPr="00F000B0">
        <w:rPr>
          <w:rFonts w:ascii="Times New Roman" w:hAnsi="Times New Roman" w:cs="Times New Roman"/>
          <w:sz w:val="24"/>
          <w:szCs w:val="24"/>
        </w:rPr>
        <w:t xml:space="preserve">. </w:t>
      </w:r>
      <w:r w:rsidR="00E54F1D" w:rsidRPr="002F7F99">
        <w:rPr>
          <w:rFonts w:ascii="Times New Roman" w:hAnsi="Times New Roman" w:cs="Times New Roman"/>
          <w:caps w:val="0"/>
          <w:sz w:val="24"/>
          <w:szCs w:val="24"/>
        </w:rPr>
        <w:t>Contribution aux emplois</w:t>
      </w:r>
      <w:bookmarkEnd w:id="174"/>
      <w:bookmarkEnd w:id="175"/>
    </w:p>
    <w:p w14:paraId="7475EFF0" w14:textId="77777777" w:rsidR="00E54F1D" w:rsidRPr="000C200F" w:rsidRDefault="00E54F1D" w:rsidP="00E54F1D">
      <w:pPr>
        <w:jc w:val="both"/>
        <w:rPr>
          <w:rFonts w:ascii="Times New Roman" w:hAnsi="Times New Roman"/>
          <w:sz w:val="28"/>
        </w:rPr>
      </w:pPr>
      <w:r w:rsidRPr="00AA5920">
        <w:rPr>
          <w:rFonts w:ascii="Times New Roman" w:hAnsi="Times New Roman"/>
          <w:sz w:val="24"/>
          <w:szCs w:val="24"/>
        </w:rPr>
        <w:t>Selon les données reçues de l’Office Nationale de l’Emploi (ONEM), la part des emplois du secteur extractif dans l’ensemble des emplois est de 11,07%. Elle se détaille de la manière suivante</w:t>
      </w:r>
      <w:r w:rsidRPr="000C200F">
        <w:rPr>
          <w:rFonts w:ascii="Times New Roman" w:hAnsi="Times New Roman"/>
          <w:sz w:val="28"/>
        </w:rPr>
        <w:t> :</w:t>
      </w:r>
    </w:p>
    <w:tbl>
      <w:tblPr>
        <w:tblStyle w:val="TableauGrille1Clair1"/>
        <w:tblW w:w="10268" w:type="dxa"/>
        <w:tblLook w:val="04A0" w:firstRow="1" w:lastRow="0" w:firstColumn="1" w:lastColumn="0" w:noHBand="0" w:noVBand="1"/>
      </w:tblPr>
      <w:tblGrid>
        <w:gridCol w:w="1384"/>
        <w:gridCol w:w="972"/>
        <w:gridCol w:w="927"/>
        <w:gridCol w:w="986"/>
        <w:gridCol w:w="972"/>
        <w:gridCol w:w="927"/>
        <w:gridCol w:w="839"/>
        <w:gridCol w:w="1489"/>
        <w:gridCol w:w="1772"/>
      </w:tblGrid>
      <w:tr w:rsidR="00E54F1D" w:rsidRPr="00BB773D" w14:paraId="74E4547C" w14:textId="77777777" w:rsidTr="006E53CE">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384" w:type="dxa"/>
            <w:vMerge w:val="restart"/>
            <w:noWrap/>
            <w:vAlign w:val="center"/>
            <w:hideMark/>
          </w:tcPr>
          <w:p w14:paraId="6B82B94E" w14:textId="77777777" w:rsidR="00E54F1D" w:rsidRPr="00BB773D" w:rsidRDefault="00E54F1D" w:rsidP="006E53CE">
            <w:pPr>
              <w:jc w:val="center"/>
              <w:rPr>
                <w:rFonts w:ascii="Times New Roman" w:eastAsia="Times New Roman" w:hAnsi="Times New Roman"/>
                <w:b w:val="0"/>
                <w:bCs w:val="0"/>
                <w:lang w:eastAsia="fr-FR"/>
              </w:rPr>
            </w:pPr>
            <w:r w:rsidRPr="00BB773D">
              <w:rPr>
                <w:rFonts w:ascii="Times New Roman" w:eastAsia="Times New Roman" w:hAnsi="Times New Roman"/>
                <w:lang w:eastAsia="fr-FR"/>
              </w:rPr>
              <w:t>SECTEUR</w:t>
            </w:r>
          </w:p>
        </w:tc>
        <w:tc>
          <w:tcPr>
            <w:tcW w:w="2885" w:type="dxa"/>
            <w:gridSpan w:val="3"/>
            <w:noWrap/>
            <w:vAlign w:val="center"/>
            <w:hideMark/>
          </w:tcPr>
          <w:p w14:paraId="110BCD90" w14:textId="77777777" w:rsidR="00E54F1D" w:rsidRPr="00BB773D" w:rsidRDefault="00E54F1D" w:rsidP="006E53C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lang w:eastAsia="fr-FR"/>
              </w:rPr>
            </w:pPr>
            <w:r w:rsidRPr="00BB773D">
              <w:rPr>
                <w:rFonts w:ascii="Times New Roman" w:eastAsia="Times New Roman" w:hAnsi="Times New Roman"/>
                <w:lang w:eastAsia="fr-FR"/>
              </w:rPr>
              <w:t>Nationaux</w:t>
            </w:r>
          </w:p>
        </w:tc>
        <w:tc>
          <w:tcPr>
            <w:tcW w:w="0" w:type="auto"/>
            <w:gridSpan w:val="3"/>
            <w:noWrap/>
            <w:vAlign w:val="center"/>
            <w:hideMark/>
          </w:tcPr>
          <w:p w14:paraId="0CD9DA44" w14:textId="77777777" w:rsidR="00E54F1D" w:rsidRPr="00BB773D" w:rsidRDefault="00E54F1D" w:rsidP="006E53C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lang w:eastAsia="fr-FR"/>
              </w:rPr>
            </w:pPr>
            <w:r w:rsidRPr="00BB773D">
              <w:rPr>
                <w:rFonts w:ascii="Times New Roman" w:eastAsia="Times New Roman" w:hAnsi="Times New Roman"/>
                <w:lang w:eastAsia="fr-FR"/>
              </w:rPr>
              <w:t>Expatriés</w:t>
            </w:r>
          </w:p>
        </w:tc>
        <w:tc>
          <w:tcPr>
            <w:tcW w:w="1489" w:type="dxa"/>
            <w:vMerge w:val="restart"/>
            <w:noWrap/>
            <w:vAlign w:val="center"/>
            <w:hideMark/>
          </w:tcPr>
          <w:p w14:paraId="1C972B16" w14:textId="77777777" w:rsidR="00E54F1D" w:rsidRPr="00BB773D" w:rsidRDefault="00E54F1D" w:rsidP="006E53C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BB773D">
              <w:rPr>
                <w:rFonts w:ascii="Times New Roman" w:eastAsia="Times New Roman" w:hAnsi="Times New Roman"/>
                <w:lang w:eastAsia="fr-FR"/>
              </w:rPr>
              <w:t>TOTAL</w:t>
            </w:r>
          </w:p>
        </w:tc>
        <w:tc>
          <w:tcPr>
            <w:tcW w:w="1772" w:type="dxa"/>
            <w:vMerge w:val="restart"/>
            <w:noWrap/>
            <w:vAlign w:val="center"/>
            <w:hideMark/>
          </w:tcPr>
          <w:p w14:paraId="6E5CB04C" w14:textId="77777777" w:rsidR="00E54F1D" w:rsidRPr="00D039C4" w:rsidRDefault="00E54F1D" w:rsidP="006E53C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r w:rsidRPr="00D039C4">
              <w:rPr>
                <w:rFonts w:ascii="Times New Roman" w:eastAsia="Times New Roman" w:hAnsi="Times New Roman"/>
                <w:sz w:val="20"/>
                <w:szCs w:val="20"/>
                <w:lang w:eastAsia="fr-FR"/>
              </w:rPr>
              <w:t>POURCENTAGE</w:t>
            </w:r>
          </w:p>
        </w:tc>
      </w:tr>
      <w:tr w:rsidR="00E54F1D" w:rsidRPr="000C200F" w14:paraId="59030C0D" w14:textId="77777777" w:rsidTr="006E53CE">
        <w:trPr>
          <w:trHeight w:val="400"/>
        </w:trPr>
        <w:tc>
          <w:tcPr>
            <w:cnfStyle w:val="001000000000" w:firstRow="0" w:lastRow="0" w:firstColumn="1" w:lastColumn="0" w:oddVBand="0" w:evenVBand="0" w:oddHBand="0" w:evenHBand="0" w:firstRowFirstColumn="0" w:firstRowLastColumn="0" w:lastRowFirstColumn="0" w:lastRowLastColumn="0"/>
            <w:tcW w:w="1384" w:type="dxa"/>
            <w:vMerge/>
            <w:vAlign w:val="center"/>
            <w:hideMark/>
          </w:tcPr>
          <w:p w14:paraId="768A0311" w14:textId="77777777" w:rsidR="00E54F1D" w:rsidRPr="000C200F" w:rsidRDefault="00E54F1D" w:rsidP="006E53CE">
            <w:pPr>
              <w:jc w:val="center"/>
              <w:rPr>
                <w:rFonts w:ascii="Times New Roman" w:eastAsia="Times New Roman" w:hAnsi="Times New Roman"/>
                <w:b w:val="0"/>
                <w:bCs w:val="0"/>
                <w:color w:val="000000"/>
                <w:lang w:eastAsia="fr-FR"/>
              </w:rPr>
            </w:pPr>
          </w:p>
        </w:tc>
        <w:tc>
          <w:tcPr>
            <w:tcW w:w="972" w:type="dxa"/>
            <w:noWrap/>
            <w:vAlign w:val="center"/>
            <w:hideMark/>
          </w:tcPr>
          <w:p w14:paraId="27A4A447" w14:textId="77777777" w:rsidR="00E54F1D" w:rsidRPr="000C200F" w:rsidRDefault="00E54F1D" w:rsidP="006E53C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0"/>
                <w:szCs w:val="20"/>
                <w:lang w:eastAsia="fr-FR"/>
              </w:rPr>
            </w:pPr>
            <w:proofErr w:type="spellStart"/>
            <w:r w:rsidRPr="000C200F">
              <w:rPr>
                <w:rFonts w:ascii="Times New Roman" w:eastAsia="Times New Roman" w:hAnsi="Times New Roman"/>
                <w:b/>
                <w:bCs/>
                <w:color w:val="000000"/>
                <w:sz w:val="20"/>
                <w:szCs w:val="20"/>
                <w:lang w:val="en-US" w:eastAsia="fr-FR"/>
              </w:rPr>
              <w:t>Hommes</w:t>
            </w:r>
            <w:proofErr w:type="spellEnd"/>
          </w:p>
        </w:tc>
        <w:tc>
          <w:tcPr>
            <w:tcW w:w="0" w:type="auto"/>
            <w:noWrap/>
            <w:vAlign w:val="center"/>
            <w:hideMark/>
          </w:tcPr>
          <w:p w14:paraId="723F106E" w14:textId="77777777" w:rsidR="00E54F1D" w:rsidRPr="000C200F" w:rsidRDefault="00E54F1D" w:rsidP="006E53C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0"/>
                <w:szCs w:val="20"/>
                <w:lang w:eastAsia="fr-FR"/>
              </w:rPr>
            </w:pPr>
            <w:r w:rsidRPr="000C200F">
              <w:rPr>
                <w:rFonts w:ascii="Times New Roman" w:eastAsia="Times New Roman" w:hAnsi="Times New Roman"/>
                <w:b/>
                <w:bCs/>
                <w:color w:val="000000"/>
                <w:sz w:val="20"/>
                <w:szCs w:val="20"/>
                <w:lang w:val="en-US" w:eastAsia="fr-FR"/>
              </w:rPr>
              <w:t>Femmes</w:t>
            </w:r>
          </w:p>
        </w:tc>
        <w:tc>
          <w:tcPr>
            <w:tcW w:w="986" w:type="dxa"/>
            <w:noWrap/>
            <w:vAlign w:val="center"/>
            <w:hideMark/>
          </w:tcPr>
          <w:p w14:paraId="78664797" w14:textId="77777777" w:rsidR="00E54F1D" w:rsidRPr="000C200F" w:rsidRDefault="00E54F1D" w:rsidP="006E53C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0"/>
                <w:szCs w:val="20"/>
                <w:lang w:eastAsia="fr-FR"/>
              </w:rPr>
            </w:pPr>
            <w:r w:rsidRPr="000C200F">
              <w:rPr>
                <w:rFonts w:ascii="Times New Roman" w:eastAsia="Times New Roman" w:hAnsi="Times New Roman"/>
                <w:b/>
                <w:bCs/>
                <w:color w:val="000000"/>
                <w:sz w:val="20"/>
                <w:szCs w:val="20"/>
                <w:lang w:val="en-US" w:eastAsia="fr-FR"/>
              </w:rPr>
              <w:t>S/Total</w:t>
            </w:r>
          </w:p>
        </w:tc>
        <w:tc>
          <w:tcPr>
            <w:tcW w:w="0" w:type="auto"/>
            <w:noWrap/>
            <w:vAlign w:val="center"/>
            <w:hideMark/>
          </w:tcPr>
          <w:p w14:paraId="06D560F9" w14:textId="77777777" w:rsidR="00E54F1D" w:rsidRPr="000C200F" w:rsidRDefault="00E54F1D" w:rsidP="006E53C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0"/>
                <w:szCs w:val="20"/>
                <w:lang w:eastAsia="fr-FR"/>
              </w:rPr>
            </w:pPr>
            <w:proofErr w:type="spellStart"/>
            <w:r w:rsidRPr="000C200F">
              <w:rPr>
                <w:rFonts w:ascii="Times New Roman" w:eastAsia="Times New Roman" w:hAnsi="Times New Roman"/>
                <w:b/>
                <w:bCs/>
                <w:color w:val="000000"/>
                <w:sz w:val="20"/>
                <w:szCs w:val="20"/>
                <w:lang w:val="en-US" w:eastAsia="fr-FR"/>
              </w:rPr>
              <w:t>Hommes</w:t>
            </w:r>
            <w:proofErr w:type="spellEnd"/>
          </w:p>
        </w:tc>
        <w:tc>
          <w:tcPr>
            <w:tcW w:w="0" w:type="auto"/>
            <w:noWrap/>
            <w:vAlign w:val="center"/>
            <w:hideMark/>
          </w:tcPr>
          <w:p w14:paraId="42F5E056" w14:textId="77777777" w:rsidR="00E54F1D" w:rsidRPr="000C200F" w:rsidRDefault="00E54F1D" w:rsidP="006E53C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0"/>
                <w:szCs w:val="20"/>
                <w:lang w:eastAsia="fr-FR"/>
              </w:rPr>
            </w:pPr>
            <w:r w:rsidRPr="000C200F">
              <w:rPr>
                <w:rFonts w:ascii="Times New Roman" w:eastAsia="Times New Roman" w:hAnsi="Times New Roman"/>
                <w:b/>
                <w:bCs/>
                <w:color w:val="000000"/>
                <w:sz w:val="20"/>
                <w:szCs w:val="20"/>
                <w:lang w:val="en-US" w:eastAsia="fr-FR"/>
              </w:rPr>
              <w:t>Femmes</w:t>
            </w:r>
          </w:p>
        </w:tc>
        <w:tc>
          <w:tcPr>
            <w:tcW w:w="0" w:type="auto"/>
            <w:noWrap/>
            <w:vAlign w:val="center"/>
            <w:hideMark/>
          </w:tcPr>
          <w:p w14:paraId="6DAC1FB4" w14:textId="77777777" w:rsidR="00E54F1D" w:rsidRPr="000C200F" w:rsidRDefault="00E54F1D" w:rsidP="006E53C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0"/>
                <w:szCs w:val="20"/>
                <w:lang w:eastAsia="fr-FR"/>
              </w:rPr>
            </w:pPr>
            <w:r w:rsidRPr="000C200F">
              <w:rPr>
                <w:rFonts w:ascii="Times New Roman" w:eastAsia="Times New Roman" w:hAnsi="Times New Roman"/>
                <w:b/>
                <w:bCs/>
                <w:color w:val="000000"/>
                <w:sz w:val="20"/>
                <w:szCs w:val="20"/>
                <w:lang w:val="en-US" w:eastAsia="fr-FR"/>
              </w:rPr>
              <w:t>S/Total</w:t>
            </w:r>
          </w:p>
        </w:tc>
        <w:tc>
          <w:tcPr>
            <w:tcW w:w="1489" w:type="dxa"/>
            <w:vMerge/>
            <w:vAlign w:val="center"/>
            <w:hideMark/>
          </w:tcPr>
          <w:p w14:paraId="7F491BC5" w14:textId="77777777" w:rsidR="00E54F1D" w:rsidRPr="000C200F" w:rsidRDefault="00E54F1D" w:rsidP="006E53C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p>
        </w:tc>
        <w:tc>
          <w:tcPr>
            <w:tcW w:w="1772" w:type="dxa"/>
            <w:vMerge/>
            <w:vAlign w:val="center"/>
            <w:hideMark/>
          </w:tcPr>
          <w:p w14:paraId="32BB5D9D" w14:textId="77777777" w:rsidR="00E54F1D" w:rsidRPr="000C200F" w:rsidRDefault="00E54F1D" w:rsidP="006E53C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p>
        </w:tc>
      </w:tr>
      <w:tr w:rsidR="00E54F1D" w:rsidRPr="000C200F" w14:paraId="39E1D18B" w14:textId="77777777" w:rsidTr="006E53CE">
        <w:trPr>
          <w:trHeight w:val="766"/>
        </w:trPr>
        <w:tc>
          <w:tcPr>
            <w:cnfStyle w:val="001000000000" w:firstRow="0" w:lastRow="0" w:firstColumn="1" w:lastColumn="0" w:oddVBand="0" w:evenVBand="0" w:oddHBand="0" w:evenHBand="0" w:firstRowFirstColumn="0" w:firstRowLastColumn="0" w:lastRowFirstColumn="0" w:lastRowLastColumn="0"/>
            <w:tcW w:w="1384" w:type="dxa"/>
            <w:noWrap/>
            <w:hideMark/>
          </w:tcPr>
          <w:p w14:paraId="64F23B84" w14:textId="77777777" w:rsidR="00E54F1D" w:rsidRPr="000C200F" w:rsidRDefault="00E54F1D" w:rsidP="00F000B0">
            <w:pPr>
              <w:jc w:val="both"/>
              <w:rPr>
                <w:rFonts w:ascii="Times New Roman" w:eastAsia="Times New Roman" w:hAnsi="Times New Roman"/>
                <w:b w:val="0"/>
                <w:bCs w:val="0"/>
                <w:sz w:val="20"/>
                <w:szCs w:val="20"/>
                <w:lang w:eastAsia="fr-FR"/>
              </w:rPr>
            </w:pPr>
            <w:r w:rsidRPr="000C200F">
              <w:rPr>
                <w:rFonts w:ascii="Times New Roman" w:eastAsia="Times New Roman" w:hAnsi="Times New Roman"/>
                <w:sz w:val="20"/>
                <w:szCs w:val="20"/>
                <w:lang w:val="en-US" w:eastAsia="fr-FR"/>
              </w:rPr>
              <w:t>Industries extractives</w:t>
            </w:r>
          </w:p>
        </w:tc>
        <w:tc>
          <w:tcPr>
            <w:tcW w:w="972" w:type="dxa"/>
            <w:noWrap/>
            <w:hideMark/>
          </w:tcPr>
          <w:p w14:paraId="3BE22D44" w14:textId="77777777" w:rsidR="00E54F1D" w:rsidRPr="000C200F"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0C200F">
              <w:rPr>
                <w:rFonts w:ascii="Times New Roman" w:eastAsia="Times New Roman" w:hAnsi="Times New Roman"/>
                <w:lang w:val="en-US" w:eastAsia="fr-FR"/>
              </w:rPr>
              <w:t>106310</w:t>
            </w:r>
          </w:p>
        </w:tc>
        <w:tc>
          <w:tcPr>
            <w:tcW w:w="0" w:type="auto"/>
            <w:noWrap/>
            <w:hideMark/>
          </w:tcPr>
          <w:p w14:paraId="6EEF5C46" w14:textId="77777777" w:rsidR="00E54F1D" w:rsidRPr="000C200F"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0C200F">
              <w:rPr>
                <w:rFonts w:ascii="Times New Roman" w:eastAsia="Times New Roman" w:hAnsi="Times New Roman"/>
                <w:lang w:val="en-US" w:eastAsia="fr-FR"/>
              </w:rPr>
              <w:t>12799</w:t>
            </w:r>
          </w:p>
        </w:tc>
        <w:tc>
          <w:tcPr>
            <w:tcW w:w="986" w:type="dxa"/>
            <w:noWrap/>
            <w:hideMark/>
          </w:tcPr>
          <w:p w14:paraId="6FB3C9B6" w14:textId="77777777" w:rsidR="00E54F1D" w:rsidRPr="000C200F"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0C200F">
              <w:rPr>
                <w:rFonts w:ascii="Times New Roman" w:eastAsia="Times New Roman" w:hAnsi="Times New Roman"/>
                <w:lang w:val="en-US" w:eastAsia="fr-FR"/>
              </w:rPr>
              <w:t>119109</w:t>
            </w:r>
          </w:p>
        </w:tc>
        <w:tc>
          <w:tcPr>
            <w:tcW w:w="0" w:type="auto"/>
            <w:noWrap/>
            <w:hideMark/>
          </w:tcPr>
          <w:p w14:paraId="5F4E34B1" w14:textId="77777777" w:rsidR="00E54F1D" w:rsidRPr="000C200F"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0C200F">
              <w:rPr>
                <w:rFonts w:ascii="Times New Roman" w:eastAsia="Times New Roman" w:hAnsi="Times New Roman"/>
                <w:lang w:val="en-US" w:eastAsia="fr-FR"/>
              </w:rPr>
              <w:t>3463</w:t>
            </w:r>
          </w:p>
        </w:tc>
        <w:tc>
          <w:tcPr>
            <w:tcW w:w="0" w:type="auto"/>
            <w:noWrap/>
            <w:hideMark/>
          </w:tcPr>
          <w:p w14:paraId="56484197" w14:textId="77777777" w:rsidR="00E54F1D" w:rsidRPr="000C200F"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0C200F">
              <w:rPr>
                <w:rFonts w:ascii="Times New Roman" w:eastAsia="Times New Roman" w:hAnsi="Times New Roman"/>
                <w:lang w:val="en-US" w:eastAsia="fr-FR"/>
              </w:rPr>
              <w:t>75</w:t>
            </w:r>
          </w:p>
        </w:tc>
        <w:tc>
          <w:tcPr>
            <w:tcW w:w="0" w:type="auto"/>
            <w:noWrap/>
            <w:hideMark/>
          </w:tcPr>
          <w:p w14:paraId="2D092F26" w14:textId="77777777" w:rsidR="00E54F1D" w:rsidRPr="000C200F"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0C200F">
              <w:rPr>
                <w:rFonts w:ascii="Times New Roman" w:eastAsia="Times New Roman" w:hAnsi="Times New Roman"/>
                <w:lang w:val="en-US" w:eastAsia="fr-FR"/>
              </w:rPr>
              <w:t>3538</w:t>
            </w:r>
          </w:p>
        </w:tc>
        <w:tc>
          <w:tcPr>
            <w:tcW w:w="1489" w:type="dxa"/>
            <w:noWrap/>
            <w:hideMark/>
          </w:tcPr>
          <w:p w14:paraId="546290DB" w14:textId="77777777" w:rsidR="00E54F1D" w:rsidRPr="000C200F"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0C200F">
              <w:rPr>
                <w:rFonts w:ascii="Times New Roman" w:eastAsia="Times New Roman" w:hAnsi="Times New Roman"/>
                <w:lang w:val="en-US" w:eastAsia="fr-FR"/>
              </w:rPr>
              <w:t>122647</w:t>
            </w:r>
          </w:p>
        </w:tc>
        <w:tc>
          <w:tcPr>
            <w:tcW w:w="1772" w:type="dxa"/>
            <w:noWrap/>
            <w:hideMark/>
          </w:tcPr>
          <w:p w14:paraId="645C0968" w14:textId="77777777" w:rsidR="00E54F1D" w:rsidRPr="000C200F"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0C200F">
              <w:rPr>
                <w:rFonts w:ascii="Times New Roman" w:eastAsia="Times New Roman" w:hAnsi="Times New Roman"/>
                <w:lang w:val="en-US" w:eastAsia="fr-FR"/>
              </w:rPr>
              <w:t xml:space="preserve">11,07% </w:t>
            </w:r>
          </w:p>
        </w:tc>
      </w:tr>
      <w:tr w:rsidR="00E54F1D" w:rsidRPr="000C200F" w14:paraId="4392CAB2" w14:textId="77777777" w:rsidTr="006E53CE">
        <w:trPr>
          <w:trHeight w:val="766"/>
        </w:trPr>
        <w:tc>
          <w:tcPr>
            <w:cnfStyle w:val="001000000000" w:firstRow="0" w:lastRow="0" w:firstColumn="1" w:lastColumn="0" w:oddVBand="0" w:evenVBand="0" w:oddHBand="0" w:evenHBand="0" w:firstRowFirstColumn="0" w:firstRowLastColumn="0" w:lastRowFirstColumn="0" w:lastRowLastColumn="0"/>
            <w:tcW w:w="1384" w:type="dxa"/>
            <w:noWrap/>
            <w:hideMark/>
          </w:tcPr>
          <w:p w14:paraId="27309784" w14:textId="77777777" w:rsidR="00E54F1D" w:rsidRPr="00BB773D" w:rsidRDefault="00E54F1D" w:rsidP="00F000B0">
            <w:pPr>
              <w:jc w:val="both"/>
              <w:rPr>
                <w:rFonts w:ascii="Times New Roman" w:eastAsia="Times New Roman" w:hAnsi="Times New Roman"/>
                <w:b w:val="0"/>
                <w:bCs w:val="0"/>
                <w:sz w:val="20"/>
                <w:szCs w:val="20"/>
                <w:lang w:eastAsia="fr-FR"/>
              </w:rPr>
            </w:pPr>
            <w:r>
              <w:rPr>
                <w:rFonts w:ascii="Times New Roman" w:eastAsia="Times New Roman" w:hAnsi="Times New Roman"/>
                <w:sz w:val="20"/>
                <w:szCs w:val="20"/>
                <w:lang w:val="en-US" w:eastAsia="fr-FR"/>
              </w:rPr>
              <w:t xml:space="preserve">Total </w:t>
            </w:r>
            <w:proofErr w:type="spellStart"/>
            <w:r w:rsidRPr="00BB773D">
              <w:rPr>
                <w:rFonts w:ascii="Times New Roman" w:eastAsia="Times New Roman" w:hAnsi="Times New Roman"/>
                <w:sz w:val="20"/>
                <w:szCs w:val="20"/>
                <w:lang w:val="en-US" w:eastAsia="fr-FR"/>
              </w:rPr>
              <w:t>effectif</w:t>
            </w:r>
            <w:proofErr w:type="spellEnd"/>
            <w:r w:rsidRPr="00BB773D">
              <w:rPr>
                <w:rFonts w:ascii="Times New Roman" w:eastAsia="Times New Roman" w:hAnsi="Times New Roman"/>
                <w:sz w:val="20"/>
                <w:szCs w:val="20"/>
                <w:lang w:val="en-US" w:eastAsia="fr-FR"/>
              </w:rPr>
              <w:t xml:space="preserve"> </w:t>
            </w:r>
            <w:proofErr w:type="spellStart"/>
            <w:r w:rsidRPr="00BB773D">
              <w:rPr>
                <w:rFonts w:ascii="Times New Roman" w:eastAsia="Times New Roman" w:hAnsi="Times New Roman"/>
                <w:sz w:val="20"/>
                <w:szCs w:val="20"/>
                <w:lang w:val="en-US" w:eastAsia="fr-FR"/>
              </w:rPr>
              <w:t>employé</w:t>
            </w:r>
            <w:proofErr w:type="spellEnd"/>
          </w:p>
        </w:tc>
        <w:tc>
          <w:tcPr>
            <w:tcW w:w="972" w:type="dxa"/>
            <w:noWrap/>
            <w:hideMark/>
          </w:tcPr>
          <w:p w14:paraId="0E316A83" w14:textId="77777777" w:rsidR="00E54F1D" w:rsidRPr="000C200F"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lang w:eastAsia="fr-FR"/>
              </w:rPr>
            </w:pPr>
            <w:r w:rsidRPr="000C200F">
              <w:rPr>
                <w:rFonts w:ascii="Times New Roman" w:eastAsia="Times New Roman" w:hAnsi="Times New Roman"/>
                <w:b/>
                <w:bCs/>
                <w:color w:val="000000"/>
                <w:lang w:val="en-US" w:eastAsia="fr-FR"/>
              </w:rPr>
              <w:t>913201</w:t>
            </w:r>
          </w:p>
        </w:tc>
        <w:tc>
          <w:tcPr>
            <w:tcW w:w="0" w:type="auto"/>
            <w:noWrap/>
            <w:hideMark/>
          </w:tcPr>
          <w:p w14:paraId="18CFE8FA" w14:textId="77777777" w:rsidR="00E54F1D" w:rsidRPr="000C200F"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lang w:eastAsia="fr-FR"/>
              </w:rPr>
            </w:pPr>
            <w:r w:rsidRPr="000C200F">
              <w:rPr>
                <w:rFonts w:ascii="Times New Roman" w:eastAsia="Times New Roman" w:hAnsi="Times New Roman"/>
                <w:b/>
                <w:bCs/>
                <w:color w:val="000000"/>
                <w:lang w:val="en-US" w:eastAsia="fr-FR"/>
              </w:rPr>
              <w:t>186118</w:t>
            </w:r>
          </w:p>
        </w:tc>
        <w:tc>
          <w:tcPr>
            <w:tcW w:w="986" w:type="dxa"/>
            <w:noWrap/>
            <w:hideMark/>
          </w:tcPr>
          <w:p w14:paraId="7B2979EF" w14:textId="77777777" w:rsidR="00E54F1D" w:rsidRPr="000C200F"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lang w:eastAsia="fr-FR"/>
              </w:rPr>
            </w:pPr>
            <w:r w:rsidRPr="000C200F">
              <w:rPr>
                <w:rFonts w:ascii="Times New Roman" w:eastAsia="Times New Roman" w:hAnsi="Times New Roman"/>
                <w:b/>
                <w:bCs/>
                <w:color w:val="000000"/>
                <w:lang w:val="en-US" w:eastAsia="fr-FR"/>
              </w:rPr>
              <w:t>1099319</w:t>
            </w:r>
          </w:p>
        </w:tc>
        <w:tc>
          <w:tcPr>
            <w:tcW w:w="0" w:type="auto"/>
            <w:noWrap/>
            <w:hideMark/>
          </w:tcPr>
          <w:p w14:paraId="0137D218" w14:textId="77777777" w:rsidR="00E54F1D" w:rsidRPr="000C200F"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lang w:eastAsia="fr-FR"/>
              </w:rPr>
            </w:pPr>
            <w:r w:rsidRPr="000C200F">
              <w:rPr>
                <w:rFonts w:ascii="Times New Roman" w:eastAsia="Times New Roman" w:hAnsi="Times New Roman"/>
                <w:b/>
                <w:bCs/>
                <w:color w:val="000000"/>
                <w:lang w:val="en-US" w:eastAsia="fr-FR"/>
              </w:rPr>
              <w:t>8165</w:t>
            </w:r>
          </w:p>
        </w:tc>
        <w:tc>
          <w:tcPr>
            <w:tcW w:w="0" w:type="auto"/>
            <w:noWrap/>
            <w:hideMark/>
          </w:tcPr>
          <w:p w14:paraId="55839764" w14:textId="77777777" w:rsidR="00E54F1D" w:rsidRPr="000C200F"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lang w:eastAsia="fr-FR"/>
              </w:rPr>
            </w:pPr>
            <w:r w:rsidRPr="000C200F">
              <w:rPr>
                <w:rFonts w:ascii="Times New Roman" w:eastAsia="Times New Roman" w:hAnsi="Times New Roman"/>
                <w:b/>
                <w:bCs/>
                <w:color w:val="000000"/>
                <w:lang w:val="en-US" w:eastAsia="fr-FR"/>
              </w:rPr>
              <w:t>795</w:t>
            </w:r>
          </w:p>
        </w:tc>
        <w:tc>
          <w:tcPr>
            <w:tcW w:w="0" w:type="auto"/>
            <w:noWrap/>
            <w:hideMark/>
          </w:tcPr>
          <w:p w14:paraId="3453CBC5" w14:textId="77777777" w:rsidR="00E54F1D" w:rsidRPr="000C200F"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lang w:eastAsia="fr-FR"/>
              </w:rPr>
            </w:pPr>
            <w:r w:rsidRPr="000C200F">
              <w:rPr>
                <w:rFonts w:ascii="Times New Roman" w:eastAsia="Times New Roman" w:hAnsi="Times New Roman"/>
                <w:b/>
                <w:bCs/>
                <w:color w:val="000000"/>
                <w:lang w:val="en-US" w:eastAsia="fr-FR"/>
              </w:rPr>
              <w:t>8960</w:t>
            </w:r>
          </w:p>
        </w:tc>
        <w:tc>
          <w:tcPr>
            <w:tcW w:w="1489" w:type="dxa"/>
            <w:noWrap/>
            <w:hideMark/>
          </w:tcPr>
          <w:p w14:paraId="0DBD0DDA" w14:textId="77777777" w:rsidR="00E54F1D" w:rsidRPr="000C200F"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lang w:eastAsia="fr-FR"/>
              </w:rPr>
            </w:pPr>
            <w:r w:rsidRPr="000C200F">
              <w:rPr>
                <w:rFonts w:ascii="Times New Roman" w:eastAsia="Times New Roman" w:hAnsi="Times New Roman"/>
                <w:b/>
                <w:bCs/>
                <w:color w:val="000000"/>
                <w:lang w:val="en-US" w:eastAsia="fr-FR"/>
              </w:rPr>
              <w:t>1108279</w:t>
            </w:r>
          </w:p>
        </w:tc>
        <w:tc>
          <w:tcPr>
            <w:tcW w:w="1772" w:type="dxa"/>
            <w:noWrap/>
            <w:hideMark/>
          </w:tcPr>
          <w:p w14:paraId="28C90A09" w14:textId="77777777" w:rsidR="00E54F1D" w:rsidRPr="000C200F"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lang w:eastAsia="fr-FR"/>
              </w:rPr>
            </w:pPr>
            <w:r w:rsidRPr="000C200F">
              <w:rPr>
                <w:rFonts w:ascii="Times New Roman" w:eastAsia="Times New Roman" w:hAnsi="Times New Roman"/>
                <w:b/>
                <w:bCs/>
                <w:color w:val="000000"/>
                <w:lang w:val="en-US" w:eastAsia="fr-FR"/>
              </w:rPr>
              <w:t>100</w:t>
            </w:r>
          </w:p>
        </w:tc>
      </w:tr>
    </w:tbl>
    <w:p w14:paraId="7176D6D1" w14:textId="77777777" w:rsidR="00E54F1D" w:rsidRPr="000C200F" w:rsidRDefault="00E54F1D" w:rsidP="00E54F1D">
      <w:pPr>
        <w:jc w:val="both"/>
        <w:rPr>
          <w:rFonts w:ascii="Times New Roman" w:hAnsi="Times New Roman"/>
          <w:sz w:val="28"/>
        </w:rPr>
      </w:pPr>
    </w:p>
    <w:p w14:paraId="771C0D0E" w14:textId="77777777" w:rsidR="00E54F1D" w:rsidRPr="00AA5920" w:rsidRDefault="00E54F1D" w:rsidP="00E54F1D">
      <w:pPr>
        <w:jc w:val="both"/>
        <w:rPr>
          <w:rFonts w:ascii="Times New Roman" w:hAnsi="Times New Roman"/>
          <w:sz w:val="24"/>
          <w:szCs w:val="24"/>
        </w:rPr>
      </w:pPr>
      <w:r w:rsidRPr="00AA5920">
        <w:rPr>
          <w:rFonts w:ascii="Times New Roman" w:hAnsi="Times New Roman"/>
          <w:sz w:val="24"/>
          <w:szCs w:val="24"/>
        </w:rPr>
        <w:t xml:space="preserve">D’autre part, la synthèse de l’effectif employé déclaré par les entreprises extractives à l’ITIE-RDC 2016  se présente comme suit : </w:t>
      </w:r>
    </w:p>
    <w:tbl>
      <w:tblPr>
        <w:tblStyle w:val="TableauGrille1Clair1"/>
        <w:tblW w:w="9988" w:type="dxa"/>
        <w:tblLook w:val="04A0" w:firstRow="1" w:lastRow="0" w:firstColumn="1" w:lastColumn="0" w:noHBand="0" w:noVBand="1"/>
      </w:tblPr>
      <w:tblGrid>
        <w:gridCol w:w="1501"/>
        <w:gridCol w:w="1409"/>
        <w:gridCol w:w="1031"/>
        <w:gridCol w:w="1600"/>
        <w:gridCol w:w="1502"/>
        <w:gridCol w:w="1100"/>
        <w:gridCol w:w="1845"/>
      </w:tblGrid>
      <w:tr w:rsidR="00E54F1D" w:rsidRPr="000C200F" w14:paraId="3A774CCF" w14:textId="77777777" w:rsidTr="006E53CE">
        <w:trPr>
          <w:cnfStyle w:val="100000000000" w:firstRow="1" w:lastRow="0" w:firstColumn="0" w:lastColumn="0" w:oddVBand="0" w:evenVBand="0" w:oddHBand="0"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0" w:type="auto"/>
            <w:gridSpan w:val="3"/>
            <w:noWrap/>
            <w:vAlign w:val="center"/>
            <w:hideMark/>
          </w:tcPr>
          <w:p w14:paraId="0A2DB91E" w14:textId="77777777" w:rsidR="00E54F1D" w:rsidRPr="005E1507" w:rsidRDefault="00E54F1D" w:rsidP="006E53CE">
            <w:pPr>
              <w:jc w:val="center"/>
              <w:rPr>
                <w:rFonts w:ascii="Times New Roman" w:eastAsia="Times New Roman" w:hAnsi="Times New Roman"/>
                <w:b w:val="0"/>
                <w:bCs w:val="0"/>
                <w:lang w:eastAsia="fr-FR"/>
              </w:rPr>
            </w:pPr>
            <w:r w:rsidRPr="005E1507">
              <w:rPr>
                <w:rFonts w:ascii="Times New Roman" w:eastAsia="Times New Roman" w:hAnsi="Times New Roman"/>
                <w:lang w:eastAsia="fr-FR"/>
              </w:rPr>
              <w:t>Emplois directs</w:t>
            </w:r>
          </w:p>
        </w:tc>
        <w:tc>
          <w:tcPr>
            <w:tcW w:w="0" w:type="auto"/>
            <w:gridSpan w:val="3"/>
            <w:noWrap/>
            <w:vAlign w:val="center"/>
            <w:hideMark/>
          </w:tcPr>
          <w:p w14:paraId="17235E16" w14:textId="77777777" w:rsidR="00E54F1D" w:rsidRPr="005E1507" w:rsidRDefault="00E54F1D" w:rsidP="006E53C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lang w:eastAsia="fr-FR"/>
              </w:rPr>
            </w:pPr>
            <w:r w:rsidRPr="005E1507">
              <w:rPr>
                <w:rFonts w:ascii="Times New Roman" w:eastAsia="Times New Roman" w:hAnsi="Times New Roman"/>
                <w:lang w:eastAsia="fr-FR"/>
              </w:rPr>
              <w:t>Emplois indirects (sous-traitants)</w:t>
            </w:r>
          </w:p>
        </w:tc>
        <w:tc>
          <w:tcPr>
            <w:tcW w:w="0" w:type="auto"/>
            <w:vMerge w:val="restart"/>
            <w:noWrap/>
            <w:vAlign w:val="center"/>
            <w:hideMark/>
          </w:tcPr>
          <w:p w14:paraId="42DD2F95" w14:textId="77777777" w:rsidR="00E54F1D" w:rsidRPr="005E1507" w:rsidRDefault="00E54F1D" w:rsidP="006E53C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5E1507">
              <w:rPr>
                <w:rFonts w:ascii="Times New Roman" w:eastAsia="Times New Roman" w:hAnsi="Times New Roman"/>
                <w:lang w:eastAsia="fr-FR"/>
              </w:rPr>
              <w:t>Total général</w:t>
            </w:r>
          </w:p>
        </w:tc>
      </w:tr>
      <w:tr w:rsidR="00E54F1D" w:rsidRPr="000C200F" w14:paraId="7969B472" w14:textId="77777777" w:rsidTr="006E53CE">
        <w:trPr>
          <w:trHeight w:val="68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DCA6756" w14:textId="77777777" w:rsidR="00E54F1D" w:rsidRPr="000C200F" w:rsidRDefault="00E54F1D" w:rsidP="006E53CE">
            <w:pPr>
              <w:jc w:val="center"/>
              <w:rPr>
                <w:rFonts w:ascii="Times New Roman" w:eastAsia="Times New Roman" w:hAnsi="Times New Roman"/>
                <w:b w:val="0"/>
                <w:bCs w:val="0"/>
                <w:color w:val="000000"/>
                <w:lang w:eastAsia="fr-FR"/>
              </w:rPr>
            </w:pPr>
            <w:r w:rsidRPr="000C200F">
              <w:rPr>
                <w:rFonts w:ascii="Times New Roman" w:eastAsia="Times New Roman" w:hAnsi="Times New Roman"/>
                <w:color w:val="000000"/>
                <w:lang w:eastAsia="fr-FR"/>
              </w:rPr>
              <w:t>Nationaux</w:t>
            </w:r>
          </w:p>
        </w:tc>
        <w:tc>
          <w:tcPr>
            <w:tcW w:w="0" w:type="auto"/>
            <w:noWrap/>
            <w:vAlign w:val="center"/>
            <w:hideMark/>
          </w:tcPr>
          <w:p w14:paraId="28EB0252" w14:textId="77777777" w:rsidR="00E54F1D" w:rsidRPr="000C200F" w:rsidRDefault="00E54F1D" w:rsidP="006E53C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lang w:eastAsia="fr-FR"/>
              </w:rPr>
            </w:pPr>
            <w:r w:rsidRPr="000C200F">
              <w:rPr>
                <w:rFonts w:ascii="Times New Roman" w:eastAsia="Times New Roman" w:hAnsi="Times New Roman"/>
                <w:b/>
                <w:bCs/>
                <w:color w:val="000000"/>
                <w:lang w:eastAsia="fr-FR"/>
              </w:rPr>
              <w:t>Expatriés</w:t>
            </w:r>
          </w:p>
        </w:tc>
        <w:tc>
          <w:tcPr>
            <w:tcW w:w="0" w:type="auto"/>
            <w:noWrap/>
            <w:vAlign w:val="center"/>
            <w:hideMark/>
          </w:tcPr>
          <w:p w14:paraId="5AC4C07B" w14:textId="77777777" w:rsidR="00E54F1D" w:rsidRPr="000C200F" w:rsidRDefault="00E54F1D" w:rsidP="006E53C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lang w:eastAsia="fr-FR"/>
              </w:rPr>
            </w:pPr>
            <w:r w:rsidRPr="000C200F">
              <w:rPr>
                <w:rFonts w:ascii="Times New Roman" w:eastAsia="Times New Roman" w:hAnsi="Times New Roman"/>
                <w:b/>
                <w:bCs/>
                <w:color w:val="000000"/>
                <w:lang w:eastAsia="fr-FR"/>
              </w:rPr>
              <w:t>Total</w:t>
            </w:r>
          </w:p>
        </w:tc>
        <w:tc>
          <w:tcPr>
            <w:tcW w:w="0" w:type="auto"/>
            <w:noWrap/>
            <w:vAlign w:val="center"/>
            <w:hideMark/>
          </w:tcPr>
          <w:p w14:paraId="49190D78" w14:textId="77777777" w:rsidR="00E54F1D" w:rsidRPr="000C200F" w:rsidRDefault="00E54F1D" w:rsidP="006E53C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lang w:eastAsia="fr-FR"/>
              </w:rPr>
            </w:pPr>
            <w:r w:rsidRPr="000C200F">
              <w:rPr>
                <w:rFonts w:ascii="Times New Roman" w:eastAsia="Times New Roman" w:hAnsi="Times New Roman"/>
                <w:b/>
                <w:bCs/>
                <w:color w:val="000000"/>
                <w:lang w:eastAsia="fr-FR"/>
              </w:rPr>
              <w:t>Nationaux</w:t>
            </w:r>
          </w:p>
        </w:tc>
        <w:tc>
          <w:tcPr>
            <w:tcW w:w="0" w:type="auto"/>
            <w:noWrap/>
            <w:vAlign w:val="center"/>
            <w:hideMark/>
          </w:tcPr>
          <w:p w14:paraId="612685D0" w14:textId="77777777" w:rsidR="00E54F1D" w:rsidRPr="000C200F" w:rsidRDefault="00E54F1D" w:rsidP="006E53C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lang w:eastAsia="fr-FR"/>
              </w:rPr>
            </w:pPr>
            <w:r w:rsidRPr="000C200F">
              <w:rPr>
                <w:rFonts w:ascii="Times New Roman" w:eastAsia="Times New Roman" w:hAnsi="Times New Roman"/>
                <w:b/>
                <w:bCs/>
                <w:color w:val="000000"/>
                <w:lang w:eastAsia="fr-FR"/>
              </w:rPr>
              <w:t>Expatriés</w:t>
            </w:r>
          </w:p>
        </w:tc>
        <w:tc>
          <w:tcPr>
            <w:tcW w:w="0" w:type="auto"/>
            <w:noWrap/>
            <w:vAlign w:val="center"/>
            <w:hideMark/>
          </w:tcPr>
          <w:p w14:paraId="1DE878DF" w14:textId="77777777" w:rsidR="00E54F1D" w:rsidRPr="000C200F" w:rsidRDefault="00E54F1D" w:rsidP="006E53C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lang w:eastAsia="fr-FR"/>
              </w:rPr>
            </w:pPr>
            <w:r w:rsidRPr="000C200F">
              <w:rPr>
                <w:rFonts w:ascii="Times New Roman" w:eastAsia="Times New Roman" w:hAnsi="Times New Roman"/>
                <w:b/>
                <w:bCs/>
                <w:color w:val="000000"/>
                <w:lang w:eastAsia="fr-FR"/>
              </w:rPr>
              <w:t>Total</w:t>
            </w:r>
          </w:p>
        </w:tc>
        <w:tc>
          <w:tcPr>
            <w:tcW w:w="0" w:type="auto"/>
            <w:vMerge/>
            <w:vAlign w:val="center"/>
            <w:hideMark/>
          </w:tcPr>
          <w:p w14:paraId="7A71C399" w14:textId="77777777" w:rsidR="00E54F1D" w:rsidRPr="000C200F" w:rsidRDefault="00E54F1D" w:rsidP="006E53C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p>
        </w:tc>
      </w:tr>
      <w:tr w:rsidR="00E54F1D" w:rsidRPr="005E1507" w14:paraId="2C0FAFC5" w14:textId="77777777" w:rsidTr="006E53CE">
        <w:trPr>
          <w:trHeight w:val="688"/>
        </w:trPr>
        <w:tc>
          <w:tcPr>
            <w:cnfStyle w:val="001000000000" w:firstRow="0" w:lastRow="0" w:firstColumn="1" w:lastColumn="0" w:oddVBand="0" w:evenVBand="0" w:oddHBand="0" w:evenHBand="0" w:firstRowFirstColumn="0" w:firstRowLastColumn="0" w:lastRowFirstColumn="0" w:lastRowLastColumn="0"/>
            <w:tcW w:w="0" w:type="auto"/>
            <w:noWrap/>
            <w:hideMark/>
          </w:tcPr>
          <w:p w14:paraId="673C80F5" w14:textId="77777777" w:rsidR="00E54F1D" w:rsidRPr="005E1507" w:rsidRDefault="00E54F1D" w:rsidP="00F000B0">
            <w:pPr>
              <w:jc w:val="right"/>
              <w:rPr>
                <w:rFonts w:ascii="Times New Roman" w:eastAsia="Times New Roman" w:hAnsi="Times New Roman"/>
                <w:b w:val="0"/>
                <w:color w:val="000000"/>
                <w:lang w:eastAsia="fr-FR"/>
              </w:rPr>
            </w:pPr>
            <w:r w:rsidRPr="005E1507">
              <w:rPr>
                <w:rFonts w:ascii="Times New Roman" w:eastAsia="Times New Roman" w:hAnsi="Times New Roman"/>
                <w:b w:val="0"/>
                <w:color w:val="000000"/>
                <w:lang w:eastAsia="fr-FR"/>
              </w:rPr>
              <w:t>20 742</w:t>
            </w:r>
          </w:p>
        </w:tc>
        <w:tc>
          <w:tcPr>
            <w:tcW w:w="0" w:type="auto"/>
            <w:noWrap/>
            <w:hideMark/>
          </w:tcPr>
          <w:p w14:paraId="172C2779" w14:textId="77777777" w:rsidR="00E54F1D" w:rsidRPr="005E150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5E1507">
              <w:rPr>
                <w:rFonts w:ascii="Times New Roman" w:eastAsia="Times New Roman" w:hAnsi="Times New Roman"/>
                <w:color w:val="000000"/>
                <w:lang w:eastAsia="fr-FR"/>
              </w:rPr>
              <w:t>2 162</w:t>
            </w:r>
          </w:p>
        </w:tc>
        <w:tc>
          <w:tcPr>
            <w:tcW w:w="0" w:type="auto"/>
            <w:noWrap/>
            <w:hideMark/>
          </w:tcPr>
          <w:p w14:paraId="13F31916" w14:textId="77777777" w:rsidR="00E54F1D" w:rsidRPr="005E150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5E1507">
              <w:rPr>
                <w:rFonts w:ascii="Times New Roman" w:eastAsia="Times New Roman" w:hAnsi="Times New Roman"/>
                <w:color w:val="000000"/>
                <w:lang w:eastAsia="fr-FR"/>
              </w:rPr>
              <w:t>22 904</w:t>
            </w:r>
          </w:p>
        </w:tc>
        <w:tc>
          <w:tcPr>
            <w:tcW w:w="0" w:type="auto"/>
            <w:noWrap/>
            <w:hideMark/>
          </w:tcPr>
          <w:p w14:paraId="70162972" w14:textId="77777777" w:rsidR="00E54F1D" w:rsidRPr="005E150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5E1507">
              <w:rPr>
                <w:rFonts w:ascii="Times New Roman" w:eastAsia="Times New Roman" w:hAnsi="Times New Roman"/>
                <w:color w:val="000000"/>
                <w:lang w:eastAsia="fr-FR"/>
              </w:rPr>
              <w:t>16 498</w:t>
            </w:r>
          </w:p>
        </w:tc>
        <w:tc>
          <w:tcPr>
            <w:tcW w:w="0" w:type="auto"/>
            <w:noWrap/>
            <w:hideMark/>
          </w:tcPr>
          <w:p w14:paraId="1D40ED0F" w14:textId="77777777" w:rsidR="00E54F1D" w:rsidRPr="005E150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5E1507">
              <w:rPr>
                <w:rFonts w:ascii="Times New Roman" w:eastAsia="Times New Roman" w:hAnsi="Times New Roman"/>
                <w:color w:val="000000"/>
                <w:lang w:eastAsia="fr-FR"/>
              </w:rPr>
              <w:t>3 720</w:t>
            </w:r>
          </w:p>
        </w:tc>
        <w:tc>
          <w:tcPr>
            <w:tcW w:w="0" w:type="auto"/>
            <w:noWrap/>
            <w:hideMark/>
          </w:tcPr>
          <w:p w14:paraId="5ED308A0" w14:textId="77777777" w:rsidR="00E54F1D" w:rsidRPr="005E150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5E1507">
              <w:rPr>
                <w:rFonts w:ascii="Times New Roman" w:eastAsia="Times New Roman" w:hAnsi="Times New Roman"/>
                <w:color w:val="000000"/>
                <w:lang w:eastAsia="fr-FR"/>
              </w:rPr>
              <w:t>20 218</w:t>
            </w:r>
          </w:p>
        </w:tc>
        <w:tc>
          <w:tcPr>
            <w:tcW w:w="0" w:type="auto"/>
            <w:noWrap/>
            <w:hideMark/>
          </w:tcPr>
          <w:p w14:paraId="60FEDA75" w14:textId="77777777" w:rsidR="00E54F1D" w:rsidRPr="005E150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5E1507">
              <w:rPr>
                <w:rFonts w:ascii="Times New Roman" w:eastAsia="Times New Roman" w:hAnsi="Times New Roman"/>
                <w:color w:val="000000"/>
                <w:lang w:eastAsia="fr-FR"/>
              </w:rPr>
              <w:t>43 122</w:t>
            </w:r>
          </w:p>
        </w:tc>
      </w:tr>
    </w:tbl>
    <w:p w14:paraId="70D6D64E" w14:textId="77777777" w:rsidR="00E54F1D" w:rsidRPr="000C200F" w:rsidRDefault="00E54F1D" w:rsidP="00E54F1D">
      <w:pPr>
        <w:jc w:val="both"/>
        <w:rPr>
          <w:rFonts w:ascii="Times New Roman" w:hAnsi="Times New Roman"/>
          <w:sz w:val="28"/>
        </w:rPr>
      </w:pPr>
    </w:p>
    <w:p w14:paraId="7CE861F2" w14:textId="77777777" w:rsidR="00E54F1D" w:rsidRPr="00AA5920" w:rsidRDefault="00E54F1D" w:rsidP="00E54F1D">
      <w:pPr>
        <w:jc w:val="both"/>
        <w:rPr>
          <w:rFonts w:ascii="Times New Roman" w:hAnsi="Times New Roman"/>
          <w:sz w:val="24"/>
          <w:szCs w:val="24"/>
        </w:rPr>
      </w:pPr>
      <w:r w:rsidRPr="00AA5920">
        <w:rPr>
          <w:rFonts w:ascii="Times New Roman" w:hAnsi="Times New Roman"/>
          <w:sz w:val="24"/>
          <w:szCs w:val="24"/>
        </w:rPr>
        <w:t>La comparaison de deux tableaux dégage des écarts dus en grande partie à la différence des périmètres  auxquels se réfèrent l’ONEM  et l’ITIE.  Le périmètre ONEM est plus large que celui de l’ITIE. En effet</w:t>
      </w:r>
      <w:r>
        <w:rPr>
          <w:rFonts w:ascii="Times New Roman" w:hAnsi="Times New Roman"/>
          <w:sz w:val="24"/>
          <w:szCs w:val="24"/>
        </w:rPr>
        <w:t>,</w:t>
      </w:r>
      <w:r w:rsidRPr="00AA5920">
        <w:rPr>
          <w:rFonts w:ascii="Times New Roman" w:hAnsi="Times New Roman"/>
          <w:sz w:val="24"/>
          <w:szCs w:val="24"/>
        </w:rPr>
        <w:t xml:space="preserve"> selon l’ONEM, l’activité extractive englobe les aspects suivants : l’extraction du charbon et de lignite, l’extraction du pétrole brut et du gaz naturelle, l’extraction des minerais métalliques, autres activités extractives et diverses activités connexes à l’extraction. </w:t>
      </w:r>
    </w:p>
    <w:p w14:paraId="7A028B9A" w14:textId="77777777" w:rsidR="00E54F1D" w:rsidRPr="00AA5920" w:rsidRDefault="00E54F1D" w:rsidP="00E54F1D">
      <w:pPr>
        <w:jc w:val="both"/>
        <w:rPr>
          <w:rFonts w:ascii="Times New Roman" w:hAnsi="Times New Roman"/>
          <w:sz w:val="24"/>
          <w:szCs w:val="24"/>
        </w:rPr>
      </w:pPr>
      <w:r w:rsidRPr="00AA5920">
        <w:rPr>
          <w:rFonts w:ascii="Times New Roman" w:hAnsi="Times New Roman"/>
          <w:sz w:val="24"/>
          <w:szCs w:val="24"/>
        </w:rPr>
        <w:t>Ainsi, les bases de référence entre les deux structures étant différentes, la comparaison des effectifs déclarés, pour l’instant, n’est pas possible.</w:t>
      </w:r>
    </w:p>
    <w:p w14:paraId="4EB29B8A" w14:textId="77777777" w:rsidR="00E54F1D" w:rsidRPr="00AA5920" w:rsidRDefault="00E54F1D" w:rsidP="00E54F1D">
      <w:pPr>
        <w:jc w:val="both"/>
        <w:rPr>
          <w:rFonts w:ascii="Times New Roman" w:hAnsi="Times New Roman"/>
          <w:sz w:val="24"/>
          <w:szCs w:val="24"/>
        </w:rPr>
      </w:pPr>
      <w:r w:rsidRPr="00AA5920">
        <w:rPr>
          <w:rFonts w:ascii="Times New Roman" w:hAnsi="Times New Roman"/>
          <w:sz w:val="24"/>
          <w:szCs w:val="24"/>
        </w:rPr>
        <w:t xml:space="preserve">Aux fins d’une comparaison possible et raisonnable des déclarations des effectifs, dans l’avenir, l’ONEM sera sollicitée pour fournir à l’ITIE les statistiques afférentes aux seules industries extractives rentrant dans le champ de déclaration de cette dernière. </w:t>
      </w:r>
    </w:p>
    <w:p w14:paraId="529B4BF1" w14:textId="00F2CE06" w:rsidR="00E54F1D" w:rsidRPr="00F000B0" w:rsidRDefault="000668F9" w:rsidP="00F000B0">
      <w:pPr>
        <w:pStyle w:val="Titre2"/>
        <w:rPr>
          <w:rFonts w:ascii="Times New Roman" w:hAnsi="Times New Roman" w:cs="Times New Roman"/>
          <w:sz w:val="24"/>
          <w:szCs w:val="24"/>
        </w:rPr>
      </w:pPr>
      <w:bookmarkStart w:id="176" w:name="_Toc516764341"/>
      <w:bookmarkStart w:id="177" w:name="_Toc518468099"/>
      <w:r>
        <w:rPr>
          <w:rFonts w:ascii="Times New Roman" w:hAnsi="Times New Roman" w:cs="Times New Roman"/>
          <w:sz w:val="24"/>
          <w:szCs w:val="24"/>
        </w:rPr>
        <w:t>VIII.6</w:t>
      </w:r>
      <w:r w:rsidR="00E54F1D" w:rsidRPr="00F000B0">
        <w:rPr>
          <w:rFonts w:ascii="Times New Roman" w:hAnsi="Times New Roman" w:cs="Times New Roman"/>
          <w:sz w:val="24"/>
          <w:szCs w:val="24"/>
        </w:rPr>
        <w:t xml:space="preserve">.  </w:t>
      </w:r>
      <w:r w:rsidR="00E54F1D" w:rsidRPr="002F7F99">
        <w:rPr>
          <w:rFonts w:ascii="Times New Roman" w:hAnsi="Times New Roman" w:cs="Times New Roman"/>
          <w:caps w:val="0"/>
          <w:sz w:val="24"/>
          <w:szCs w:val="24"/>
        </w:rPr>
        <w:t>La production et zones d’extraction</w:t>
      </w:r>
      <w:bookmarkEnd w:id="176"/>
      <w:bookmarkEnd w:id="177"/>
    </w:p>
    <w:p w14:paraId="2ABD4441" w14:textId="77777777" w:rsidR="00E54F1D" w:rsidRPr="00F6708C" w:rsidRDefault="00E54F1D" w:rsidP="006E53CE">
      <w:pPr>
        <w:jc w:val="both"/>
        <w:rPr>
          <w:rFonts w:ascii="Times New Roman" w:hAnsi="Times New Roman"/>
          <w:sz w:val="24"/>
          <w:szCs w:val="24"/>
        </w:rPr>
      </w:pPr>
      <w:r w:rsidRPr="00F6708C">
        <w:rPr>
          <w:rFonts w:ascii="Times New Roman" w:hAnsi="Times New Roman"/>
          <w:sz w:val="24"/>
          <w:szCs w:val="24"/>
        </w:rPr>
        <w:t xml:space="preserve">La production du secteur extractif a été développée par le chapitre y relatif. </w:t>
      </w:r>
    </w:p>
    <w:p w14:paraId="39F03413" w14:textId="57180241" w:rsidR="00E54F1D" w:rsidRPr="00F6708C" w:rsidRDefault="00E54F1D" w:rsidP="006E53CE">
      <w:pPr>
        <w:jc w:val="both"/>
        <w:rPr>
          <w:rFonts w:ascii="Times New Roman" w:hAnsi="Times New Roman"/>
          <w:sz w:val="24"/>
          <w:szCs w:val="24"/>
        </w:rPr>
      </w:pPr>
      <w:r w:rsidRPr="00F6708C">
        <w:rPr>
          <w:rFonts w:ascii="Times New Roman" w:hAnsi="Times New Roman"/>
          <w:sz w:val="24"/>
          <w:szCs w:val="24"/>
        </w:rPr>
        <w:t xml:space="preserve">En bref, la production minière porte principalement sur les filières suivantes : </w:t>
      </w:r>
      <w:proofErr w:type="spellStart"/>
      <w:r w:rsidRPr="00F6708C">
        <w:rPr>
          <w:rFonts w:ascii="Times New Roman" w:hAnsi="Times New Roman"/>
          <w:b/>
          <w:sz w:val="24"/>
          <w:szCs w:val="24"/>
        </w:rPr>
        <w:t>cupro-cobalt</w:t>
      </w:r>
      <w:r>
        <w:rPr>
          <w:rFonts w:ascii="Times New Roman" w:hAnsi="Times New Roman"/>
          <w:b/>
          <w:sz w:val="24"/>
          <w:szCs w:val="24"/>
        </w:rPr>
        <w:t>i</w:t>
      </w:r>
      <w:r w:rsidRPr="00F6708C">
        <w:rPr>
          <w:rFonts w:ascii="Times New Roman" w:hAnsi="Times New Roman"/>
          <w:b/>
          <w:sz w:val="24"/>
          <w:szCs w:val="24"/>
        </w:rPr>
        <w:t>fère</w:t>
      </w:r>
      <w:proofErr w:type="spellEnd"/>
      <w:r w:rsidRPr="00F6708C">
        <w:rPr>
          <w:rFonts w:ascii="Times New Roman" w:hAnsi="Times New Roman"/>
          <w:sz w:val="24"/>
          <w:szCs w:val="24"/>
        </w:rPr>
        <w:t xml:space="preserve">  qui est concentrée dans les provinces du  Haut-Katanga et le Lualaba,  </w:t>
      </w:r>
      <w:r w:rsidRPr="00F6708C">
        <w:rPr>
          <w:rFonts w:ascii="Times New Roman" w:hAnsi="Times New Roman"/>
          <w:b/>
          <w:sz w:val="24"/>
          <w:szCs w:val="24"/>
        </w:rPr>
        <w:t>aurifère</w:t>
      </w:r>
      <w:r w:rsidR="005E1F15">
        <w:rPr>
          <w:rFonts w:ascii="Times New Roman" w:hAnsi="Times New Roman"/>
          <w:sz w:val="24"/>
          <w:szCs w:val="24"/>
        </w:rPr>
        <w:t xml:space="preserve"> dans le Haut-Uélé,</w:t>
      </w:r>
      <w:r w:rsidR="00FF0097">
        <w:rPr>
          <w:rFonts w:ascii="Times New Roman" w:hAnsi="Times New Roman"/>
          <w:sz w:val="24"/>
          <w:szCs w:val="24"/>
        </w:rPr>
        <w:t xml:space="preserve"> </w:t>
      </w:r>
      <w:proofErr w:type="spellStart"/>
      <w:r w:rsidR="005E1F15">
        <w:rPr>
          <w:rFonts w:ascii="Times New Roman" w:hAnsi="Times New Roman"/>
          <w:sz w:val="24"/>
          <w:szCs w:val="24"/>
        </w:rPr>
        <w:t>Ituri</w:t>
      </w:r>
      <w:proofErr w:type="spellEnd"/>
      <w:r w:rsidR="00FF0097">
        <w:rPr>
          <w:rFonts w:ascii="Times New Roman" w:hAnsi="Times New Roman"/>
          <w:sz w:val="24"/>
          <w:szCs w:val="24"/>
        </w:rPr>
        <w:t>,</w:t>
      </w:r>
      <w:r w:rsidR="005E1F15">
        <w:rPr>
          <w:rFonts w:ascii="Times New Roman" w:hAnsi="Times New Roman"/>
          <w:sz w:val="24"/>
          <w:szCs w:val="24"/>
        </w:rPr>
        <w:t xml:space="preserve"> </w:t>
      </w:r>
      <w:r w:rsidRPr="00F6708C">
        <w:rPr>
          <w:rFonts w:ascii="Times New Roman" w:hAnsi="Times New Roman"/>
          <w:sz w:val="24"/>
          <w:szCs w:val="24"/>
        </w:rPr>
        <w:t xml:space="preserve">Maniema et le Sud-Kivu, </w:t>
      </w:r>
      <w:r w:rsidRPr="00F6708C">
        <w:rPr>
          <w:rFonts w:ascii="Times New Roman" w:hAnsi="Times New Roman"/>
          <w:b/>
          <w:sz w:val="24"/>
          <w:szCs w:val="24"/>
        </w:rPr>
        <w:t>diamantifère</w:t>
      </w:r>
      <w:r w:rsidRPr="00F6708C">
        <w:rPr>
          <w:rFonts w:ascii="Times New Roman" w:hAnsi="Times New Roman"/>
          <w:sz w:val="24"/>
          <w:szCs w:val="24"/>
        </w:rPr>
        <w:t xml:space="preserve"> dans le </w:t>
      </w:r>
      <w:proofErr w:type="spellStart"/>
      <w:r w:rsidRPr="00F6708C">
        <w:rPr>
          <w:rFonts w:ascii="Times New Roman" w:hAnsi="Times New Roman"/>
          <w:sz w:val="24"/>
          <w:szCs w:val="24"/>
        </w:rPr>
        <w:t>Kasai</w:t>
      </w:r>
      <w:proofErr w:type="spellEnd"/>
      <w:r w:rsidRPr="00F6708C">
        <w:rPr>
          <w:rFonts w:ascii="Times New Roman" w:hAnsi="Times New Roman"/>
          <w:sz w:val="24"/>
          <w:szCs w:val="24"/>
        </w:rPr>
        <w:t xml:space="preserve">  Oriental et enfin, la filière </w:t>
      </w:r>
      <w:r w:rsidRPr="00F6708C">
        <w:rPr>
          <w:rFonts w:ascii="Times New Roman" w:hAnsi="Times New Roman"/>
          <w:b/>
          <w:sz w:val="24"/>
          <w:szCs w:val="24"/>
        </w:rPr>
        <w:t>stannifère</w:t>
      </w:r>
      <w:r w:rsidRPr="00F6708C">
        <w:rPr>
          <w:rFonts w:ascii="Times New Roman" w:hAnsi="Times New Roman"/>
          <w:sz w:val="24"/>
          <w:szCs w:val="24"/>
        </w:rPr>
        <w:t xml:space="preserve"> (cassitérite, </w:t>
      </w:r>
      <w:proofErr w:type="spellStart"/>
      <w:r w:rsidRPr="00F6708C">
        <w:rPr>
          <w:rFonts w:ascii="Times New Roman" w:hAnsi="Times New Roman"/>
          <w:sz w:val="24"/>
          <w:szCs w:val="24"/>
        </w:rPr>
        <w:t>coltan</w:t>
      </w:r>
      <w:proofErr w:type="spellEnd"/>
      <w:r w:rsidRPr="00F6708C">
        <w:rPr>
          <w:rFonts w:ascii="Times New Roman" w:hAnsi="Times New Roman"/>
          <w:sz w:val="24"/>
          <w:szCs w:val="24"/>
        </w:rPr>
        <w:t>, wolframite) dans les provinces du Sud –Kivu, Nord-Kivu, Maniema, Tanganyika et Haut–</w:t>
      </w:r>
      <w:proofErr w:type="spellStart"/>
      <w:r w:rsidRPr="00F6708C">
        <w:rPr>
          <w:rFonts w:ascii="Times New Roman" w:hAnsi="Times New Roman"/>
          <w:sz w:val="24"/>
          <w:szCs w:val="24"/>
        </w:rPr>
        <w:t>Lomami</w:t>
      </w:r>
      <w:proofErr w:type="spellEnd"/>
      <w:r w:rsidRPr="00F6708C">
        <w:rPr>
          <w:rFonts w:ascii="Times New Roman" w:hAnsi="Times New Roman"/>
          <w:sz w:val="24"/>
          <w:szCs w:val="24"/>
        </w:rPr>
        <w:t xml:space="preserve">. Suivant le rapport de la CTCPM 2016, la production de cette dernière filière est d’origine essentiellement artisanale.  </w:t>
      </w:r>
    </w:p>
    <w:p w14:paraId="4F0A9B29" w14:textId="77777777" w:rsidR="00E54F1D" w:rsidRPr="00F6708C" w:rsidRDefault="00E54F1D" w:rsidP="006E53CE">
      <w:pPr>
        <w:jc w:val="both"/>
        <w:rPr>
          <w:rFonts w:ascii="Times New Roman" w:hAnsi="Times New Roman"/>
          <w:sz w:val="24"/>
          <w:szCs w:val="24"/>
        </w:rPr>
      </w:pPr>
      <w:r w:rsidRPr="00F6708C">
        <w:rPr>
          <w:rFonts w:ascii="Times New Roman" w:hAnsi="Times New Roman"/>
          <w:sz w:val="24"/>
          <w:szCs w:val="24"/>
        </w:rPr>
        <w:t>Quant à la production pétrolière, elle est concentrée uniquement sur le littoral dans la Province du Kongo Central.</w:t>
      </w:r>
    </w:p>
    <w:p w14:paraId="64EF6110" w14:textId="77777777" w:rsidR="00E54F1D" w:rsidRDefault="00E54F1D" w:rsidP="00E54F1D">
      <w:pPr>
        <w:ind w:left="284"/>
        <w:jc w:val="both"/>
        <w:rPr>
          <w:rFonts w:ascii="Times New Roman" w:hAnsi="Times New Roman"/>
          <w:sz w:val="28"/>
        </w:rPr>
      </w:pPr>
    </w:p>
    <w:p w14:paraId="4E6B959A" w14:textId="23E88FD7" w:rsidR="00E54F1D" w:rsidRPr="00F813BE" w:rsidRDefault="000668F9" w:rsidP="00F000B0">
      <w:pPr>
        <w:pStyle w:val="Titre2"/>
        <w:rPr>
          <w:rFonts w:ascii="Times New Roman" w:hAnsi="Times New Roman" w:cs="Times New Roman"/>
          <w:b/>
        </w:rPr>
      </w:pPr>
      <w:bookmarkStart w:id="178" w:name="_Toc516764342"/>
      <w:bookmarkStart w:id="179" w:name="_Toc518468100"/>
      <w:r>
        <w:rPr>
          <w:rFonts w:ascii="Times New Roman" w:hAnsi="Times New Roman" w:cs="Times New Roman"/>
          <w:sz w:val="24"/>
          <w:szCs w:val="24"/>
        </w:rPr>
        <w:t>VIII.7</w:t>
      </w:r>
      <w:r w:rsidR="00E54F1D" w:rsidRPr="00F000B0">
        <w:rPr>
          <w:rFonts w:ascii="Times New Roman" w:hAnsi="Times New Roman" w:cs="Times New Roman"/>
          <w:sz w:val="24"/>
          <w:szCs w:val="24"/>
        </w:rPr>
        <w:t xml:space="preserve">. </w:t>
      </w:r>
      <w:r w:rsidR="00E54F1D" w:rsidRPr="002F7F99">
        <w:rPr>
          <w:rFonts w:ascii="Times New Roman" w:hAnsi="Times New Roman" w:cs="Times New Roman"/>
          <w:caps w:val="0"/>
          <w:sz w:val="24"/>
          <w:szCs w:val="24"/>
        </w:rPr>
        <w:t>Contribution de l’artisanat minier</w:t>
      </w:r>
      <w:bookmarkEnd w:id="178"/>
      <w:bookmarkEnd w:id="179"/>
    </w:p>
    <w:p w14:paraId="427001B4" w14:textId="67D55956" w:rsidR="002A7B79" w:rsidRPr="002A7B79" w:rsidRDefault="00B50BF9" w:rsidP="002A7B79">
      <w:pPr>
        <w:pStyle w:val="Paragraphedeliste"/>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1665408" behindDoc="0" locked="0" layoutInCell="1" allowOverlap="1" wp14:anchorId="563DACE8" wp14:editId="1405DF07">
                <wp:simplePos x="0" y="0"/>
                <wp:positionH relativeFrom="column">
                  <wp:posOffset>-79375</wp:posOffset>
                </wp:positionH>
                <wp:positionV relativeFrom="paragraph">
                  <wp:posOffset>38809</wp:posOffset>
                </wp:positionV>
                <wp:extent cx="6015038" cy="3307976"/>
                <wp:effectExtent l="0" t="0" r="24130" b="26035"/>
                <wp:wrapNone/>
                <wp:docPr id="17" name="Zone de texte 17"/>
                <wp:cNvGraphicFramePr/>
                <a:graphic xmlns:a="http://schemas.openxmlformats.org/drawingml/2006/main">
                  <a:graphicData uri="http://schemas.microsoft.com/office/word/2010/wordprocessingShape">
                    <wps:wsp>
                      <wps:cNvSpPr txBox="1"/>
                      <wps:spPr>
                        <a:xfrm>
                          <a:off x="0" y="0"/>
                          <a:ext cx="6015038" cy="3307976"/>
                        </a:xfrm>
                        <a:prstGeom prst="rect">
                          <a:avLst/>
                        </a:prstGeom>
                        <a:solidFill>
                          <a:schemeClr val="accent4">
                            <a:lumMod val="20000"/>
                            <a:lumOff val="80000"/>
                          </a:schemeClr>
                        </a:solidFill>
                        <a:ln w="6350">
                          <a:solidFill>
                            <a:schemeClr val="accent4">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B993367" w14:textId="77777777" w:rsidR="00E357DF" w:rsidRPr="00B50BF9" w:rsidRDefault="00E357DF" w:rsidP="002F7F99">
                            <w:pPr>
                              <w:ind w:left="142"/>
                              <w:jc w:val="both"/>
                              <w:rPr>
                                <w:rFonts w:ascii="Times New Roman" w:hAnsi="Times New Roman"/>
                              </w:rPr>
                            </w:pPr>
                            <w:r w:rsidRPr="00B50BF9">
                              <w:rPr>
                                <w:rFonts w:ascii="Times New Roman" w:hAnsi="Times New Roman"/>
                                <w:b/>
                              </w:rPr>
                              <w:t>Note</w:t>
                            </w:r>
                            <w:r w:rsidRPr="00B50BF9">
                              <w:rPr>
                                <w:rFonts w:ascii="Times New Roman" w:hAnsi="Times New Roman"/>
                              </w:rPr>
                              <w:t xml:space="preserve"> : </w:t>
                            </w:r>
                          </w:p>
                          <w:p w14:paraId="6F55F63E" w14:textId="77777777" w:rsidR="00E357DF" w:rsidRPr="00B50BF9" w:rsidRDefault="00E357DF" w:rsidP="000738D3">
                            <w:pPr>
                              <w:pStyle w:val="Paragraphedeliste"/>
                              <w:numPr>
                                <w:ilvl w:val="0"/>
                                <w:numId w:val="40"/>
                              </w:numPr>
                              <w:tabs>
                                <w:tab w:val="left" w:pos="142"/>
                                <w:tab w:val="left" w:pos="284"/>
                                <w:tab w:val="left" w:pos="426"/>
                              </w:tabs>
                              <w:spacing w:after="160" w:line="259" w:lineRule="auto"/>
                              <w:ind w:left="142" w:firstLine="142"/>
                              <w:jc w:val="both"/>
                              <w:rPr>
                                <w:rFonts w:ascii="Times New Roman" w:hAnsi="Times New Roman" w:cs="Times New Roman"/>
                              </w:rPr>
                            </w:pPr>
                            <w:r w:rsidRPr="00B50BF9">
                              <w:rPr>
                                <w:rFonts w:ascii="Times New Roman" w:hAnsi="Times New Roman" w:cs="Times New Roman"/>
                              </w:rPr>
                              <w:t xml:space="preserve">Ce point a été confectionné sur base des données tirées des « Statistiques Minières Exercice 2016 du Ministère des Mines » et celles fournies par des directions provinciales de  SAEMAP (ex SAESSCAM) : du Nord-Kivu, Sud Kivu, Maniema, Kasaï Oriental Kongo Central et la </w:t>
                            </w:r>
                            <w:proofErr w:type="spellStart"/>
                            <w:r w:rsidRPr="00B50BF9">
                              <w:rPr>
                                <w:rFonts w:ascii="Times New Roman" w:hAnsi="Times New Roman" w:cs="Times New Roman"/>
                              </w:rPr>
                              <w:t>Tshopo</w:t>
                            </w:r>
                            <w:proofErr w:type="spellEnd"/>
                            <w:r w:rsidRPr="00B50BF9">
                              <w:rPr>
                                <w:rFonts w:ascii="Times New Roman" w:hAnsi="Times New Roman" w:cs="Times New Roman"/>
                              </w:rPr>
                              <w:t xml:space="preserve">. Les informations traitées portent sur l’or, le diamant, la cassitérite, le wolframite et le </w:t>
                            </w:r>
                            <w:proofErr w:type="spellStart"/>
                            <w:r w:rsidRPr="00B50BF9">
                              <w:rPr>
                                <w:rFonts w:ascii="Times New Roman" w:hAnsi="Times New Roman" w:cs="Times New Roman"/>
                              </w:rPr>
                              <w:t>coltan</w:t>
                            </w:r>
                            <w:proofErr w:type="spellEnd"/>
                            <w:r w:rsidRPr="00B50BF9">
                              <w:rPr>
                                <w:rFonts w:ascii="Times New Roman" w:hAnsi="Times New Roman" w:cs="Times New Roman"/>
                              </w:rPr>
                              <w:t>. Les données sur le cuivre et le cobalt sont attendues de SAEMAP Lualaba et Haut-Katanga.</w:t>
                            </w:r>
                          </w:p>
                          <w:p w14:paraId="4FD4A43B" w14:textId="209AE6E1" w:rsidR="00E357DF" w:rsidRPr="00B50BF9" w:rsidRDefault="00E357DF" w:rsidP="002F7F99">
                            <w:pPr>
                              <w:pStyle w:val="Paragraphedeliste"/>
                              <w:tabs>
                                <w:tab w:val="left" w:pos="426"/>
                              </w:tabs>
                              <w:ind w:left="142"/>
                              <w:jc w:val="both"/>
                              <w:rPr>
                                <w:rFonts w:ascii="Times New Roman" w:hAnsi="Times New Roman" w:cs="Times New Roman"/>
                              </w:rPr>
                            </w:pPr>
                            <w:r w:rsidRPr="00B50BF9">
                              <w:rPr>
                                <w:rFonts w:ascii="Times New Roman" w:hAnsi="Times New Roman" w:cs="Times New Roman"/>
                              </w:rPr>
                              <w:t>Les sources documentaires</w:t>
                            </w:r>
                            <w:r>
                              <w:rPr>
                                <w:rFonts w:ascii="Times New Roman" w:hAnsi="Times New Roman" w:cs="Times New Roman"/>
                              </w:rPr>
                              <w:t xml:space="preserve"> ainsi que les données reçues </w:t>
                            </w:r>
                            <w:r w:rsidRPr="00B50BF9">
                              <w:rPr>
                                <w:rFonts w:ascii="Times New Roman" w:hAnsi="Times New Roman" w:cs="Times New Roman"/>
                              </w:rPr>
                              <w:t>sont postées sur le site de l’ITIE-RDC.</w:t>
                            </w:r>
                          </w:p>
                          <w:p w14:paraId="2BAD4114" w14:textId="77777777" w:rsidR="00E357DF" w:rsidRPr="00B50BF9" w:rsidRDefault="00E357DF" w:rsidP="002F7F99">
                            <w:pPr>
                              <w:pStyle w:val="Paragraphedeliste"/>
                              <w:tabs>
                                <w:tab w:val="left" w:pos="426"/>
                              </w:tabs>
                              <w:ind w:left="142"/>
                              <w:jc w:val="both"/>
                              <w:rPr>
                                <w:rFonts w:ascii="Times New Roman" w:hAnsi="Times New Roman" w:cs="Times New Roman"/>
                              </w:rPr>
                            </w:pPr>
                            <w:r w:rsidRPr="00B50BF9">
                              <w:rPr>
                                <w:rFonts w:ascii="Times New Roman" w:hAnsi="Times New Roman" w:cs="Times New Roman"/>
                              </w:rPr>
                              <w:t xml:space="preserve">D’utiles informations sur l’artisanat minier de la RDC sont aussi disponibles sur le site de « IPIS » </w:t>
                            </w:r>
                          </w:p>
                          <w:p w14:paraId="30A66758" w14:textId="77777777" w:rsidR="00E357DF" w:rsidRPr="00B50BF9" w:rsidRDefault="00E357DF" w:rsidP="002F7F99">
                            <w:pPr>
                              <w:pStyle w:val="Paragraphedeliste"/>
                              <w:tabs>
                                <w:tab w:val="left" w:pos="426"/>
                              </w:tabs>
                              <w:ind w:left="142"/>
                              <w:jc w:val="both"/>
                              <w:rPr>
                                <w:rFonts w:ascii="Times New Roman" w:hAnsi="Times New Roman" w:cs="Times New Roman"/>
                              </w:rPr>
                            </w:pPr>
                          </w:p>
                          <w:p w14:paraId="7AD774F4" w14:textId="77777777" w:rsidR="00E357DF" w:rsidRPr="00B50BF9" w:rsidRDefault="00E357DF" w:rsidP="000738D3">
                            <w:pPr>
                              <w:pStyle w:val="Paragraphedeliste"/>
                              <w:numPr>
                                <w:ilvl w:val="0"/>
                                <w:numId w:val="40"/>
                              </w:numPr>
                              <w:tabs>
                                <w:tab w:val="left" w:pos="142"/>
                                <w:tab w:val="left" w:pos="426"/>
                              </w:tabs>
                              <w:spacing w:after="160" w:line="259" w:lineRule="auto"/>
                              <w:ind w:left="142" w:firstLine="284"/>
                              <w:jc w:val="both"/>
                              <w:rPr>
                                <w:rFonts w:ascii="Times New Roman" w:hAnsi="Times New Roman" w:cs="Times New Roman"/>
                              </w:rPr>
                            </w:pPr>
                            <w:r w:rsidRPr="00B50BF9">
                              <w:rPr>
                                <w:rFonts w:ascii="Times New Roman" w:hAnsi="Times New Roman" w:cs="Times New Roman"/>
                              </w:rPr>
                              <w:t xml:space="preserve">  Il n’a pas été aisé d’obtenir des informations exhaustives sur ce secteur au regard de son caractère informel, de la multiplicité des flux variant d’une province à l’autre, de la presque indisponibilité de l’information sous format exploitable et du nombre assez élevé d’acteurs parfois aux intérêts antagonistes voire divergents. </w:t>
                            </w:r>
                          </w:p>
                          <w:p w14:paraId="36AEBA9D" w14:textId="77777777" w:rsidR="00E357DF" w:rsidRPr="00B50BF9" w:rsidRDefault="00E357DF" w:rsidP="002F7F99">
                            <w:pPr>
                              <w:pStyle w:val="Paragraphedeliste"/>
                              <w:tabs>
                                <w:tab w:val="left" w:pos="142"/>
                              </w:tabs>
                              <w:ind w:left="142"/>
                              <w:jc w:val="both"/>
                              <w:rPr>
                                <w:rFonts w:ascii="Times New Roman" w:hAnsi="Times New Roman" w:cs="Times New Roman"/>
                              </w:rPr>
                            </w:pPr>
                          </w:p>
                          <w:p w14:paraId="6839EA2E" w14:textId="77777777" w:rsidR="00E357DF" w:rsidRPr="00B50BF9" w:rsidRDefault="00E357DF" w:rsidP="000738D3">
                            <w:pPr>
                              <w:pStyle w:val="Paragraphedeliste"/>
                              <w:numPr>
                                <w:ilvl w:val="0"/>
                                <w:numId w:val="40"/>
                              </w:numPr>
                              <w:tabs>
                                <w:tab w:val="left" w:pos="142"/>
                                <w:tab w:val="left" w:pos="284"/>
                                <w:tab w:val="left" w:pos="426"/>
                              </w:tabs>
                              <w:spacing w:before="240" w:after="160" w:line="259" w:lineRule="auto"/>
                              <w:ind w:left="142" w:firstLine="284"/>
                              <w:jc w:val="both"/>
                              <w:rPr>
                                <w:rFonts w:ascii="Times New Roman" w:hAnsi="Times New Roman" w:cs="Times New Roman"/>
                              </w:rPr>
                            </w:pPr>
                            <w:r w:rsidRPr="00B50BF9">
                              <w:rPr>
                                <w:rFonts w:ascii="Times New Roman" w:hAnsi="Times New Roman" w:cs="Times New Roman"/>
                              </w:rPr>
                              <w:t xml:space="preserve">  Pour mieux cerner son importance dans l’économie, ce secteur devait faire l’objet d’une analyse fouillée et séparée conformément à la décision du Comité Exécutif</w:t>
                            </w:r>
                            <w:r w:rsidRPr="00B50BF9">
                              <w:rPr>
                                <w:rStyle w:val="Appelnotedebasdep"/>
                                <w:rFonts w:ascii="Times New Roman" w:hAnsi="Times New Roman" w:cs="Times New Roman"/>
                              </w:rPr>
                              <w:footnoteRef/>
                            </w:r>
                            <w:r w:rsidRPr="00B50BF9">
                              <w:rPr>
                                <w:rFonts w:ascii="Times New Roman" w:hAnsi="Times New Roman" w:cs="Times New Roman"/>
                              </w:rPr>
                              <w:t xml:space="preserve"> qui avait  d’ailleurs prévu une étude pilote comme préalable à son intégration dans le Périmètre ITIE.  </w:t>
                            </w:r>
                          </w:p>
                          <w:p w14:paraId="6FD2563F" w14:textId="77777777" w:rsidR="00E357DF" w:rsidRPr="00B50BF9" w:rsidRDefault="00E357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DACE8" id="Zone de texte 17" o:spid="_x0000_s1035" type="#_x0000_t202" style="position:absolute;left:0;text-align:left;margin-left:-6.25pt;margin-top:3.05pt;width:473.65pt;height:260.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" fillcolor="#fff2cc [663]" strokecolor="#fff2cc [663]" strokeweight=".5pt">
                <v:textbox>
                  <w:txbxContent>
                    <w:p w14:paraId="6B993367" w14:textId="77777777" w:rsidR="00E357DF" w:rsidRPr="00B50BF9" w:rsidRDefault="00E357DF" w:rsidP="002F7F99">
                      <w:pPr>
                        <w:ind w:left="142"/>
                        <w:jc w:val="both"/>
                        <w:rPr>
                          <w:rFonts w:ascii="Times New Roman" w:hAnsi="Times New Roman"/>
                        </w:rPr>
                      </w:pPr>
                      <w:r w:rsidRPr="00B50BF9">
                        <w:rPr>
                          <w:rFonts w:ascii="Times New Roman" w:hAnsi="Times New Roman"/>
                          <w:b/>
                        </w:rPr>
                        <w:t>Note</w:t>
                      </w:r>
                      <w:r w:rsidRPr="00B50BF9">
                        <w:rPr>
                          <w:rFonts w:ascii="Times New Roman" w:hAnsi="Times New Roman"/>
                        </w:rPr>
                        <w:t xml:space="preserve"> : </w:t>
                      </w:r>
                    </w:p>
                    <w:p w14:paraId="6F55F63E" w14:textId="77777777" w:rsidR="00E357DF" w:rsidRPr="00B50BF9" w:rsidRDefault="00E357DF" w:rsidP="000738D3">
                      <w:pPr>
                        <w:pStyle w:val="Paragraphedeliste"/>
                        <w:numPr>
                          <w:ilvl w:val="0"/>
                          <w:numId w:val="40"/>
                        </w:numPr>
                        <w:tabs>
                          <w:tab w:val="left" w:pos="142"/>
                          <w:tab w:val="left" w:pos="284"/>
                          <w:tab w:val="left" w:pos="426"/>
                        </w:tabs>
                        <w:spacing w:after="160" w:line="259" w:lineRule="auto"/>
                        <w:ind w:left="142" w:firstLine="142"/>
                        <w:jc w:val="both"/>
                        <w:rPr>
                          <w:rFonts w:ascii="Times New Roman" w:hAnsi="Times New Roman" w:cs="Times New Roman"/>
                        </w:rPr>
                      </w:pPr>
                      <w:r w:rsidRPr="00B50BF9">
                        <w:rPr>
                          <w:rFonts w:ascii="Times New Roman" w:hAnsi="Times New Roman" w:cs="Times New Roman"/>
                        </w:rPr>
                        <w:t xml:space="preserve">Ce point a été confectionné sur base des données tirées des « Statistiques Minières Exercice 2016 du Ministère des Mines » et celles fournies par des directions provinciales de  SAEMAP (ex SAESSCAM) : du Nord-Kivu, Sud Kivu, Maniema, Kasaï Oriental Kongo Central et la </w:t>
                      </w:r>
                      <w:proofErr w:type="spellStart"/>
                      <w:r w:rsidRPr="00B50BF9">
                        <w:rPr>
                          <w:rFonts w:ascii="Times New Roman" w:hAnsi="Times New Roman" w:cs="Times New Roman"/>
                        </w:rPr>
                        <w:t>Tshopo</w:t>
                      </w:r>
                      <w:proofErr w:type="spellEnd"/>
                      <w:r w:rsidRPr="00B50BF9">
                        <w:rPr>
                          <w:rFonts w:ascii="Times New Roman" w:hAnsi="Times New Roman" w:cs="Times New Roman"/>
                        </w:rPr>
                        <w:t xml:space="preserve">. Les informations traitées portent sur l’or, le diamant, la cassitérite, le wolframite et le </w:t>
                      </w:r>
                      <w:proofErr w:type="spellStart"/>
                      <w:r w:rsidRPr="00B50BF9">
                        <w:rPr>
                          <w:rFonts w:ascii="Times New Roman" w:hAnsi="Times New Roman" w:cs="Times New Roman"/>
                        </w:rPr>
                        <w:t>coltan</w:t>
                      </w:r>
                      <w:proofErr w:type="spellEnd"/>
                      <w:r w:rsidRPr="00B50BF9">
                        <w:rPr>
                          <w:rFonts w:ascii="Times New Roman" w:hAnsi="Times New Roman" w:cs="Times New Roman"/>
                        </w:rPr>
                        <w:t>. Les données sur le cuivre et le cobalt sont attendues de SAEMAP Lualaba et Haut-Katanga.</w:t>
                      </w:r>
                    </w:p>
                    <w:p w14:paraId="4FD4A43B" w14:textId="209AE6E1" w:rsidR="00E357DF" w:rsidRPr="00B50BF9" w:rsidRDefault="00E357DF" w:rsidP="002F7F99">
                      <w:pPr>
                        <w:pStyle w:val="Paragraphedeliste"/>
                        <w:tabs>
                          <w:tab w:val="left" w:pos="426"/>
                        </w:tabs>
                        <w:ind w:left="142"/>
                        <w:jc w:val="both"/>
                        <w:rPr>
                          <w:rFonts w:ascii="Times New Roman" w:hAnsi="Times New Roman" w:cs="Times New Roman"/>
                        </w:rPr>
                      </w:pPr>
                      <w:r w:rsidRPr="00B50BF9">
                        <w:rPr>
                          <w:rFonts w:ascii="Times New Roman" w:hAnsi="Times New Roman" w:cs="Times New Roman"/>
                        </w:rPr>
                        <w:t>Les sources documentaires</w:t>
                      </w:r>
                      <w:r>
                        <w:rPr>
                          <w:rFonts w:ascii="Times New Roman" w:hAnsi="Times New Roman" w:cs="Times New Roman"/>
                        </w:rPr>
                        <w:t xml:space="preserve"> ainsi que les données reçues </w:t>
                      </w:r>
                      <w:r w:rsidRPr="00B50BF9">
                        <w:rPr>
                          <w:rFonts w:ascii="Times New Roman" w:hAnsi="Times New Roman" w:cs="Times New Roman"/>
                        </w:rPr>
                        <w:t>sont postées sur le site de l’ITIE-RDC.</w:t>
                      </w:r>
                    </w:p>
                    <w:p w14:paraId="2BAD4114" w14:textId="77777777" w:rsidR="00E357DF" w:rsidRPr="00B50BF9" w:rsidRDefault="00E357DF" w:rsidP="002F7F99">
                      <w:pPr>
                        <w:pStyle w:val="Paragraphedeliste"/>
                        <w:tabs>
                          <w:tab w:val="left" w:pos="426"/>
                        </w:tabs>
                        <w:ind w:left="142"/>
                        <w:jc w:val="both"/>
                        <w:rPr>
                          <w:rFonts w:ascii="Times New Roman" w:hAnsi="Times New Roman" w:cs="Times New Roman"/>
                        </w:rPr>
                      </w:pPr>
                      <w:r w:rsidRPr="00B50BF9">
                        <w:rPr>
                          <w:rFonts w:ascii="Times New Roman" w:hAnsi="Times New Roman" w:cs="Times New Roman"/>
                        </w:rPr>
                        <w:t xml:space="preserve">D’utiles informations sur l’artisanat minier de la RDC sont aussi disponibles sur le site de « IPIS » </w:t>
                      </w:r>
                    </w:p>
                    <w:p w14:paraId="30A66758" w14:textId="77777777" w:rsidR="00E357DF" w:rsidRPr="00B50BF9" w:rsidRDefault="00E357DF" w:rsidP="002F7F99">
                      <w:pPr>
                        <w:pStyle w:val="Paragraphedeliste"/>
                        <w:tabs>
                          <w:tab w:val="left" w:pos="426"/>
                        </w:tabs>
                        <w:ind w:left="142"/>
                        <w:jc w:val="both"/>
                        <w:rPr>
                          <w:rFonts w:ascii="Times New Roman" w:hAnsi="Times New Roman" w:cs="Times New Roman"/>
                        </w:rPr>
                      </w:pPr>
                    </w:p>
                    <w:p w14:paraId="7AD774F4" w14:textId="77777777" w:rsidR="00E357DF" w:rsidRPr="00B50BF9" w:rsidRDefault="00E357DF" w:rsidP="000738D3">
                      <w:pPr>
                        <w:pStyle w:val="Paragraphedeliste"/>
                        <w:numPr>
                          <w:ilvl w:val="0"/>
                          <w:numId w:val="40"/>
                        </w:numPr>
                        <w:tabs>
                          <w:tab w:val="left" w:pos="142"/>
                          <w:tab w:val="left" w:pos="426"/>
                        </w:tabs>
                        <w:spacing w:after="160" w:line="259" w:lineRule="auto"/>
                        <w:ind w:left="142" w:firstLine="284"/>
                        <w:jc w:val="both"/>
                        <w:rPr>
                          <w:rFonts w:ascii="Times New Roman" w:hAnsi="Times New Roman" w:cs="Times New Roman"/>
                        </w:rPr>
                      </w:pPr>
                      <w:r w:rsidRPr="00B50BF9">
                        <w:rPr>
                          <w:rFonts w:ascii="Times New Roman" w:hAnsi="Times New Roman" w:cs="Times New Roman"/>
                        </w:rPr>
                        <w:t xml:space="preserve">  Il n’a pas été aisé d’obtenir des informations exhaustives sur ce secteur au regard de son caractère informel, de la multiplicité des flux variant d’une province à l’autre, de la presque indisponibilité de l’information sous format exploitable et du nombre assez élevé d’acteurs parfois aux intérêts antagonistes voire divergents. </w:t>
                      </w:r>
                    </w:p>
                    <w:p w14:paraId="36AEBA9D" w14:textId="77777777" w:rsidR="00E357DF" w:rsidRPr="00B50BF9" w:rsidRDefault="00E357DF" w:rsidP="002F7F99">
                      <w:pPr>
                        <w:pStyle w:val="Paragraphedeliste"/>
                        <w:tabs>
                          <w:tab w:val="left" w:pos="142"/>
                        </w:tabs>
                        <w:ind w:left="142"/>
                        <w:jc w:val="both"/>
                        <w:rPr>
                          <w:rFonts w:ascii="Times New Roman" w:hAnsi="Times New Roman" w:cs="Times New Roman"/>
                        </w:rPr>
                      </w:pPr>
                    </w:p>
                    <w:p w14:paraId="6839EA2E" w14:textId="77777777" w:rsidR="00E357DF" w:rsidRPr="00B50BF9" w:rsidRDefault="00E357DF" w:rsidP="000738D3">
                      <w:pPr>
                        <w:pStyle w:val="Paragraphedeliste"/>
                        <w:numPr>
                          <w:ilvl w:val="0"/>
                          <w:numId w:val="40"/>
                        </w:numPr>
                        <w:tabs>
                          <w:tab w:val="left" w:pos="142"/>
                          <w:tab w:val="left" w:pos="284"/>
                          <w:tab w:val="left" w:pos="426"/>
                        </w:tabs>
                        <w:spacing w:before="240" w:after="160" w:line="259" w:lineRule="auto"/>
                        <w:ind w:left="142" w:firstLine="284"/>
                        <w:jc w:val="both"/>
                        <w:rPr>
                          <w:rFonts w:ascii="Times New Roman" w:hAnsi="Times New Roman" w:cs="Times New Roman"/>
                        </w:rPr>
                      </w:pPr>
                      <w:r w:rsidRPr="00B50BF9">
                        <w:rPr>
                          <w:rFonts w:ascii="Times New Roman" w:hAnsi="Times New Roman" w:cs="Times New Roman"/>
                        </w:rPr>
                        <w:t xml:space="preserve">  Pour mieux cerner son importance dans l’économie, ce secteur devait faire l’objet d’une analyse fouillée et séparée conformément à la décision du Comité Exécutif</w:t>
                      </w:r>
                      <w:r w:rsidRPr="00B50BF9">
                        <w:rPr>
                          <w:rStyle w:val="Appelnotedebasdep"/>
                          <w:rFonts w:ascii="Times New Roman" w:hAnsi="Times New Roman" w:cs="Times New Roman"/>
                        </w:rPr>
                        <w:footnoteRef/>
                      </w:r>
                      <w:r w:rsidRPr="00B50BF9">
                        <w:rPr>
                          <w:rFonts w:ascii="Times New Roman" w:hAnsi="Times New Roman" w:cs="Times New Roman"/>
                        </w:rPr>
                        <w:t xml:space="preserve"> qui avait  d’ailleurs prévu une étude pilote comme préalable à son intégration dans le Périmètre ITIE.  </w:t>
                      </w:r>
                    </w:p>
                    <w:p w14:paraId="6FD2563F" w14:textId="77777777" w:rsidR="00E357DF" w:rsidRPr="00B50BF9" w:rsidRDefault="00E357DF"/>
                  </w:txbxContent>
                </v:textbox>
              </v:shape>
            </w:pict>
          </mc:Fallback>
        </mc:AlternateContent>
      </w:r>
    </w:p>
    <w:p w14:paraId="0C119841" w14:textId="77777777" w:rsidR="002F7F99" w:rsidRDefault="002F7F99" w:rsidP="00E54F1D">
      <w:pPr>
        <w:jc w:val="both"/>
        <w:rPr>
          <w:rFonts w:ascii="Times New Roman" w:hAnsi="Times New Roman"/>
          <w:sz w:val="24"/>
          <w:szCs w:val="24"/>
        </w:rPr>
      </w:pPr>
    </w:p>
    <w:p w14:paraId="1A0AB5FB" w14:textId="77777777" w:rsidR="002F7F99" w:rsidRDefault="002F7F99" w:rsidP="00E54F1D">
      <w:pPr>
        <w:jc w:val="both"/>
        <w:rPr>
          <w:rFonts w:ascii="Times New Roman" w:hAnsi="Times New Roman"/>
          <w:sz w:val="24"/>
          <w:szCs w:val="24"/>
        </w:rPr>
      </w:pPr>
    </w:p>
    <w:p w14:paraId="27F412C9" w14:textId="77777777" w:rsidR="002F7F99" w:rsidRDefault="002F7F99" w:rsidP="00E54F1D">
      <w:pPr>
        <w:jc w:val="both"/>
        <w:rPr>
          <w:rFonts w:ascii="Times New Roman" w:hAnsi="Times New Roman"/>
          <w:sz w:val="24"/>
          <w:szCs w:val="24"/>
        </w:rPr>
      </w:pPr>
    </w:p>
    <w:p w14:paraId="59817020" w14:textId="77777777" w:rsidR="002F7F99" w:rsidRDefault="002F7F99" w:rsidP="00E54F1D">
      <w:pPr>
        <w:jc w:val="both"/>
        <w:rPr>
          <w:rFonts w:ascii="Times New Roman" w:hAnsi="Times New Roman"/>
          <w:sz w:val="24"/>
          <w:szCs w:val="24"/>
        </w:rPr>
      </w:pPr>
    </w:p>
    <w:p w14:paraId="55B763ED" w14:textId="77777777" w:rsidR="002F7F99" w:rsidRDefault="002F7F99" w:rsidP="00E54F1D">
      <w:pPr>
        <w:jc w:val="both"/>
        <w:rPr>
          <w:rFonts w:ascii="Times New Roman" w:hAnsi="Times New Roman"/>
          <w:sz w:val="24"/>
          <w:szCs w:val="24"/>
        </w:rPr>
      </w:pPr>
    </w:p>
    <w:p w14:paraId="77814EF0" w14:textId="77777777" w:rsidR="002F7F99" w:rsidRDefault="002F7F99" w:rsidP="00E54F1D">
      <w:pPr>
        <w:jc w:val="both"/>
        <w:rPr>
          <w:rFonts w:ascii="Times New Roman" w:hAnsi="Times New Roman"/>
          <w:sz w:val="24"/>
          <w:szCs w:val="24"/>
        </w:rPr>
      </w:pPr>
    </w:p>
    <w:p w14:paraId="36BE5735" w14:textId="77777777" w:rsidR="002F7F99" w:rsidRDefault="002F7F99" w:rsidP="00E54F1D">
      <w:pPr>
        <w:jc w:val="both"/>
        <w:rPr>
          <w:rFonts w:ascii="Times New Roman" w:hAnsi="Times New Roman"/>
          <w:sz w:val="24"/>
          <w:szCs w:val="24"/>
        </w:rPr>
      </w:pPr>
    </w:p>
    <w:p w14:paraId="599789C5" w14:textId="77777777" w:rsidR="002F7F99" w:rsidRDefault="002F7F99" w:rsidP="00E54F1D">
      <w:pPr>
        <w:jc w:val="both"/>
        <w:rPr>
          <w:rFonts w:ascii="Times New Roman" w:hAnsi="Times New Roman"/>
          <w:sz w:val="24"/>
          <w:szCs w:val="24"/>
        </w:rPr>
      </w:pPr>
    </w:p>
    <w:p w14:paraId="258D3E2F" w14:textId="77777777" w:rsidR="002F7F99" w:rsidRDefault="002F7F99" w:rsidP="00E54F1D">
      <w:pPr>
        <w:jc w:val="both"/>
        <w:rPr>
          <w:rFonts w:ascii="Times New Roman" w:hAnsi="Times New Roman"/>
          <w:sz w:val="24"/>
          <w:szCs w:val="24"/>
        </w:rPr>
      </w:pPr>
    </w:p>
    <w:p w14:paraId="36974EF7" w14:textId="77777777" w:rsidR="002F7F99" w:rsidRDefault="002F7F99" w:rsidP="00E54F1D">
      <w:pPr>
        <w:jc w:val="both"/>
        <w:rPr>
          <w:rFonts w:ascii="Times New Roman" w:hAnsi="Times New Roman"/>
          <w:sz w:val="24"/>
          <w:szCs w:val="24"/>
        </w:rPr>
      </w:pPr>
    </w:p>
    <w:p w14:paraId="64DD800F" w14:textId="7093DE68" w:rsidR="00430899" w:rsidRDefault="00E54F1D" w:rsidP="00E54F1D">
      <w:pPr>
        <w:jc w:val="both"/>
        <w:rPr>
          <w:rFonts w:ascii="Times New Roman" w:hAnsi="Times New Roman"/>
          <w:sz w:val="24"/>
          <w:szCs w:val="24"/>
        </w:rPr>
      </w:pPr>
      <w:r w:rsidRPr="00FF7757">
        <w:rPr>
          <w:rFonts w:ascii="Times New Roman" w:hAnsi="Times New Roman"/>
          <w:sz w:val="24"/>
          <w:szCs w:val="24"/>
        </w:rPr>
        <w:lastRenderedPageBreak/>
        <w:t xml:space="preserve">L’importance de ce secteur dans l’économie nationale est analysée ici, sous </w:t>
      </w:r>
      <w:r>
        <w:rPr>
          <w:rFonts w:ascii="Times New Roman" w:hAnsi="Times New Roman"/>
          <w:sz w:val="24"/>
          <w:szCs w:val="24"/>
        </w:rPr>
        <w:t xml:space="preserve">forme de </w:t>
      </w:r>
      <w:r w:rsidRPr="00FF7757">
        <w:rPr>
          <w:rFonts w:ascii="Times New Roman" w:hAnsi="Times New Roman"/>
          <w:sz w:val="24"/>
          <w:szCs w:val="24"/>
        </w:rPr>
        <w:t>sa   cont</w:t>
      </w:r>
      <w:r>
        <w:rPr>
          <w:rFonts w:ascii="Times New Roman" w:hAnsi="Times New Roman"/>
          <w:sz w:val="24"/>
          <w:szCs w:val="24"/>
        </w:rPr>
        <w:t>ribution à la production et aux</w:t>
      </w:r>
      <w:r w:rsidRPr="00FF7757">
        <w:rPr>
          <w:rFonts w:ascii="Times New Roman" w:hAnsi="Times New Roman"/>
          <w:sz w:val="24"/>
          <w:szCs w:val="24"/>
        </w:rPr>
        <w:t xml:space="preserve"> exportations minières en 2016.</w:t>
      </w:r>
    </w:p>
    <w:p w14:paraId="2086AFC5" w14:textId="77777777" w:rsidR="00E54F1D" w:rsidRPr="00FF7757" w:rsidRDefault="00E54F1D" w:rsidP="00E54F1D">
      <w:pPr>
        <w:jc w:val="both"/>
        <w:rPr>
          <w:rFonts w:ascii="Times New Roman" w:hAnsi="Times New Roman"/>
          <w:sz w:val="24"/>
          <w:szCs w:val="24"/>
        </w:rPr>
      </w:pPr>
      <w:r w:rsidRPr="00FF7757">
        <w:rPr>
          <w:rFonts w:ascii="Times New Roman" w:hAnsi="Times New Roman"/>
          <w:sz w:val="24"/>
          <w:szCs w:val="24"/>
        </w:rPr>
        <w:t xml:space="preserve">La production minière artisanale du diamant, de l’or et des 3T en 2016 </w:t>
      </w:r>
      <w:r>
        <w:rPr>
          <w:rFonts w:ascii="Times New Roman" w:hAnsi="Times New Roman"/>
          <w:sz w:val="24"/>
          <w:szCs w:val="24"/>
        </w:rPr>
        <w:t>se résume comme suit</w:t>
      </w:r>
      <w:r w:rsidRPr="00FF7757">
        <w:rPr>
          <w:rFonts w:ascii="Times New Roman" w:hAnsi="Times New Roman"/>
          <w:sz w:val="24"/>
          <w:szCs w:val="24"/>
        </w:rPr>
        <w:t xml:space="preserve"> : </w:t>
      </w:r>
    </w:p>
    <w:tbl>
      <w:tblPr>
        <w:tblStyle w:val="TableauGrille1Clair1"/>
        <w:tblW w:w="9413" w:type="dxa"/>
        <w:tblLook w:val="04A0" w:firstRow="1" w:lastRow="0" w:firstColumn="1" w:lastColumn="0" w:noHBand="0" w:noVBand="1"/>
      </w:tblPr>
      <w:tblGrid>
        <w:gridCol w:w="1403"/>
        <w:gridCol w:w="830"/>
        <w:gridCol w:w="1906"/>
        <w:gridCol w:w="1646"/>
        <w:gridCol w:w="1801"/>
        <w:gridCol w:w="1827"/>
      </w:tblGrid>
      <w:tr w:rsidR="00E54F1D" w:rsidRPr="003D549F" w14:paraId="03A73B69" w14:textId="77777777" w:rsidTr="006E53CE">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A11D6C1" w14:textId="77777777" w:rsidR="00E54F1D" w:rsidRPr="003D549F" w:rsidRDefault="00E54F1D" w:rsidP="006E53CE">
            <w:pPr>
              <w:jc w:val="center"/>
              <w:rPr>
                <w:rFonts w:ascii="Times New Roman" w:eastAsia="Times New Roman" w:hAnsi="Times New Roman"/>
                <w:sz w:val="24"/>
                <w:szCs w:val="24"/>
                <w:lang w:eastAsia="fr-FR"/>
              </w:rPr>
            </w:pPr>
            <w:r w:rsidRPr="003D549F">
              <w:rPr>
                <w:rFonts w:ascii="Times New Roman" w:eastAsia="Times New Roman" w:hAnsi="Times New Roman"/>
                <w:sz w:val="24"/>
                <w:szCs w:val="24"/>
                <w:lang w:eastAsia="fr-FR"/>
              </w:rPr>
              <w:t>Matière</w:t>
            </w:r>
          </w:p>
        </w:tc>
        <w:tc>
          <w:tcPr>
            <w:tcW w:w="0" w:type="auto"/>
            <w:vAlign w:val="center"/>
            <w:hideMark/>
          </w:tcPr>
          <w:p w14:paraId="4968A12D" w14:textId="77777777" w:rsidR="00E54F1D" w:rsidRPr="003D549F" w:rsidRDefault="00E54F1D" w:rsidP="006E53C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fr-FR"/>
              </w:rPr>
            </w:pPr>
            <w:r w:rsidRPr="003D549F">
              <w:rPr>
                <w:rFonts w:ascii="Times New Roman" w:eastAsia="Times New Roman" w:hAnsi="Times New Roman"/>
                <w:sz w:val="24"/>
                <w:szCs w:val="24"/>
                <w:lang w:eastAsia="fr-FR"/>
              </w:rPr>
              <w:t>Unité</w:t>
            </w:r>
          </w:p>
        </w:tc>
        <w:tc>
          <w:tcPr>
            <w:tcW w:w="1906" w:type="dxa"/>
            <w:vAlign w:val="center"/>
            <w:hideMark/>
          </w:tcPr>
          <w:p w14:paraId="4DFC06E0" w14:textId="77777777" w:rsidR="00E54F1D" w:rsidRPr="003D549F" w:rsidRDefault="00E54F1D" w:rsidP="006E53C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fr-FR"/>
              </w:rPr>
            </w:pPr>
            <w:r w:rsidRPr="003D549F">
              <w:rPr>
                <w:rFonts w:ascii="Times New Roman" w:eastAsia="Times New Roman" w:hAnsi="Times New Roman"/>
                <w:sz w:val="24"/>
                <w:szCs w:val="24"/>
                <w:lang w:eastAsia="fr-FR"/>
              </w:rPr>
              <w:t>Production artisanale</w:t>
            </w:r>
          </w:p>
        </w:tc>
        <w:tc>
          <w:tcPr>
            <w:tcW w:w="0" w:type="auto"/>
            <w:vAlign w:val="center"/>
            <w:hideMark/>
          </w:tcPr>
          <w:p w14:paraId="58A09CCF" w14:textId="77777777" w:rsidR="00E54F1D" w:rsidRPr="003D549F" w:rsidRDefault="00E54F1D" w:rsidP="006E53C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fr-FR"/>
              </w:rPr>
            </w:pPr>
            <w:r w:rsidRPr="003D549F">
              <w:rPr>
                <w:rFonts w:ascii="Times New Roman" w:eastAsia="Times New Roman" w:hAnsi="Times New Roman"/>
                <w:sz w:val="24"/>
                <w:szCs w:val="24"/>
                <w:lang w:eastAsia="fr-FR"/>
              </w:rPr>
              <w:t>Production industrielle</w:t>
            </w:r>
          </w:p>
        </w:tc>
        <w:tc>
          <w:tcPr>
            <w:tcW w:w="1801" w:type="dxa"/>
            <w:vAlign w:val="center"/>
            <w:hideMark/>
          </w:tcPr>
          <w:p w14:paraId="24AC9E72" w14:textId="77777777" w:rsidR="00E54F1D" w:rsidRPr="003D549F" w:rsidRDefault="00E54F1D" w:rsidP="006E53C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fr-FR"/>
              </w:rPr>
            </w:pPr>
            <w:r w:rsidRPr="003D549F">
              <w:rPr>
                <w:rFonts w:ascii="Times New Roman" w:eastAsia="Times New Roman" w:hAnsi="Times New Roman"/>
                <w:sz w:val="24"/>
                <w:szCs w:val="24"/>
                <w:lang w:eastAsia="fr-FR"/>
              </w:rPr>
              <w:t>Production totale</w:t>
            </w:r>
          </w:p>
        </w:tc>
        <w:tc>
          <w:tcPr>
            <w:tcW w:w="0" w:type="auto"/>
            <w:vAlign w:val="center"/>
            <w:hideMark/>
          </w:tcPr>
          <w:p w14:paraId="0D474ED0" w14:textId="77777777" w:rsidR="00E54F1D" w:rsidRPr="003D549F" w:rsidRDefault="00E54F1D" w:rsidP="006E53C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fr-FR"/>
              </w:rPr>
            </w:pPr>
            <w:r w:rsidRPr="003D549F">
              <w:rPr>
                <w:rFonts w:ascii="Times New Roman" w:eastAsia="Times New Roman" w:hAnsi="Times New Roman"/>
                <w:sz w:val="24"/>
                <w:szCs w:val="24"/>
                <w:lang w:eastAsia="fr-FR"/>
              </w:rPr>
              <w:t>Part de la production artisanale</w:t>
            </w:r>
          </w:p>
        </w:tc>
      </w:tr>
      <w:tr w:rsidR="00E54F1D" w:rsidRPr="00FF7757" w14:paraId="4B3A07B1" w14:textId="77777777" w:rsidTr="006E53CE">
        <w:trPr>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419EE750" w14:textId="77777777" w:rsidR="00E54F1D" w:rsidRPr="003D549F" w:rsidRDefault="00E54F1D" w:rsidP="00F000B0">
            <w:pPr>
              <w:jc w:val="both"/>
              <w:rPr>
                <w:rFonts w:ascii="Times New Roman" w:eastAsia="Times New Roman" w:hAnsi="Times New Roman"/>
                <w:sz w:val="24"/>
                <w:szCs w:val="24"/>
                <w:lang w:eastAsia="fr-FR"/>
              </w:rPr>
            </w:pPr>
            <w:r w:rsidRPr="003D549F">
              <w:rPr>
                <w:rFonts w:ascii="Times New Roman" w:eastAsia="Times New Roman" w:hAnsi="Times New Roman"/>
                <w:sz w:val="24"/>
                <w:szCs w:val="24"/>
                <w:lang w:eastAsia="fr-FR"/>
              </w:rPr>
              <w:t>Diamant</w:t>
            </w:r>
          </w:p>
        </w:tc>
        <w:tc>
          <w:tcPr>
            <w:tcW w:w="0" w:type="auto"/>
            <w:hideMark/>
          </w:tcPr>
          <w:p w14:paraId="081CBC6F" w14:textId="77777777" w:rsidR="00E54F1D" w:rsidRPr="00FF7757" w:rsidRDefault="00E54F1D"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carat</w:t>
            </w:r>
          </w:p>
        </w:tc>
        <w:tc>
          <w:tcPr>
            <w:tcW w:w="1906" w:type="dxa"/>
            <w:hideMark/>
          </w:tcPr>
          <w:p w14:paraId="5175B608"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12 377 331,18</w:t>
            </w:r>
          </w:p>
        </w:tc>
        <w:tc>
          <w:tcPr>
            <w:tcW w:w="0" w:type="auto"/>
            <w:hideMark/>
          </w:tcPr>
          <w:p w14:paraId="2BD5243A"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3 182 115,3</w:t>
            </w:r>
          </w:p>
        </w:tc>
        <w:tc>
          <w:tcPr>
            <w:tcW w:w="1801" w:type="dxa"/>
            <w:hideMark/>
          </w:tcPr>
          <w:p w14:paraId="2ADB9E50"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1555 947,19</w:t>
            </w:r>
          </w:p>
        </w:tc>
        <w:tc>
          <w:tcPr>
            <w:tcW w:w="0" w:type="auto"/>
            <w:hideMark/>
          </w:tcPr>
          <w:p w14:paraId="4655235A"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79,55%</w:t>
            </w:r>
          </w:p>
        </w:tc>
      </w:tr>
      <w:tr w:rsidR="00E54F1D" w:rsidRPr="00FF7757" w14:paraId="4D32810C" w14:textId="77777777" w:rsidTr="006E53CE">
        <w:trPr>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0C45DC88" w14:textId="77777777" w:rsidR="00E54F1D" w:rsidRPr="003D549F" w:rsidRDefault="00E54F1D" w:rsidP="00F000B0">
            <w:pPr>
              <w:jc w:val="both"/>
              <w:rPr>
                <w:rFonts w:ascii="Times New Roman" w:eastAsia="Times New Roman" w:hAnsi="Times New Roman"/>
                <w:sz w:val="24"/>
                <w:szCs w:val="24"/>
                <w:lang w:eastAsia="fr-FR"/>
              </w:rPr>
            </w:pPr>
            <w:r w:rsidRPr="003D549F">
              <w:rPr>
                <w:rFonts w:ascii="Times New Roman" w:eastAsia="Times New Roman" w:hAnsi="Times New Roman"/>
                <w:sz w:val="24"/>
                <w:szCs w:val="24"/>
                <w:lang w:eastAsia="fr-FR"/>
              </w:rPr>
              <w:t>Or</w:t>
            </w:r>
          </w:p>
        </w:tc>
        <w:tc>
          <w:tcPr>
            <w:tcW w:w="0" w:type="auto"/>
            <w:hideMark/>
          </w:tcPr>
          <w:p w14:paraId="6F2A0EF7" w14:textId="77777777" w:rsidR="00E54F1D" w:rsidRPr="00FF7757" w:rsidRDefault="00E54F1D"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Kg</w:t>
            </w:r>
          </w:p>
        </w:tc>
        <w:tc>
          <w:tcPr>
            <w:tcW w:w="1906" w:type="dxa"/>
            <w:hideMark/>
          </w:tcPr>
          <w:p w14:paraId="3B8D1776"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442,16</w:t>
            </w:r>
          </w:p>
        </w:tc>
        <w:tc>
          <w:tcPr>
            <w:tcW w:w="0" w:type="auto"/>
            <w:hideMark/>
          </w:tcPr>
          <w:p w14:paraId="2EC9DBEA"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30 221,68</w:t>
            </w:r>
          </w:p>
        </w:tc>
        <w:tc>
          <w:tcPr>
            <w:tcW w:w="1801" w:type="dxa"/>
            <w:hideMark/>
          </w:tcPr>
          <w:p w14:paraId="110675E1"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30 663,84</w:t>
            </w:r>
          </w:p>
        </w:tc>
        <w:tc>
          <w:tcPr>
            <w:tcW w:w="0" w:type="auto"/>
            <w:hideMark/>
          </w:tcPr>
          <w:p w14:paraId="3FE4F25C"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1,44%</w:t>
            </w:r>
          </w:p>
        </w:tc>
      </w:tr>
      <w:tr w:rsidR="00E54F1D" w:rsidRPr="00FF7757" w14:paraId="5A32566F" w14:textId="77777777" w:rsidTr="006E53CE">
        <w:trPr>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258D8A18" w14:textId="77777777" w:rsidR="00E54F1D" w:rsidRPr="003D549F" w:rsidRDefault="00E54F1D" w:rsidP="00F000B0">
            <w:pPr>
              <w:jc w:val="both"/>
              <w:rPr>
                <w:rFonts w:ascii="Times New Roman" w:eastAsia="Times New Roman" w:hAnsi="Times New Roman"/>
                <w:sz w:val="24"/>
                <w:szCs w:val="24"/>
                <w:lang w:eastAsia="fr-FR"/>
              </w:rPr>
            </w:pPr>
            <w:proofErr w:type="spellStart"/>
            <w:r w:rsidRPr="003D549F">
              <w:rPr>
                <w:rFonts w:ascii="Times New Roman" w:eastAsia="Times New Roman" w:hAnsi="Times New Roman"/>
                <w:sz w:val="24"/>
                <w:szCs w:val="24"/>
                <w:lang w:eastAsia="fr-FR"/>
              </w:rPr>
              <w:t>Coltan</w:t>
            </w:r>
            <w:proofErr w:type="spellEnd"/>
          </w:p>
        </w:tc>
        <w:tc>
          <w:tcPr>
            <w:tcW w:w="0" w:type="auto"/>
            <w:hideMark/>
          </w:tcPr>
          <w:p w14:paraId="41F7814D" w14:textId="77777777" w:rsidR="00E54F1D" w:rsidRPr="00FF7757" w:rsidRDefault="00E54F1D"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Tonne</w:t>
            </w:r>
          </w:p>
        </w:tc>
        <w:tc>
          <w:tcPr>
            <w:tcW w:w="1906" w:type="dxa"/>
            <w:hideMark/>
          </w:tcPr>
          <w:p w14:paraId="4F2844DB"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2414</w:t>
            </w:r>
          </w:p>
        </w:tc>
        <w:tc>
          <w:tcPr>
            <w:tcW w:w="0" w:type="auto"/>
            <w:hideMark/>
          </w:tcPr>
          <w:p w14:paraId="56E67640"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 </w:t>
            </w:r>
          </w:p>
        </w:tc>
        <w:tc>
          <w:tcPr>
            <w:tcW w:w="1801" w:type="dxa"/>
            <w:hideMark/>
          </w:tcPr>
          <w:p w14:paraId="62535648"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2414</w:t>
            </w:r>
          </w:p>
        </w:tc>
        <w:tc>
          <w:tcPr>
            <w:tcW w:w="0" w:type="auto"/>
            <w:hideMark/>
          </w:tcPr>
          <w:p w14:paraId="3221EA9D"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100%</w:t>
            </w:r>
          </w:p>
        </w:tc>
      </w:tr>
      <w:tr w:rsidR="00E54F1D" w:rsidRPr="00FF7757" w14:paraId="7703E8F3" w14:textId="77777777" w:rsidTr="006E53CE">
        <w:trPr>
          <w:trHeight w:val="360"/>
        </w:trPr>
        <w:tc>
          <w:tcPr>
            <w:cnfStyle w:val="001000000000" w:firstRow="0" w:lastRow="0" w:firstColumn="1" w:lastColumn="0" w:oddVBand="0" w:evenVBand="0" w:oddHBand="0" w:evenHBand="0" w:firstRowFirstColumn="0" w:firstRowLastColumn="0" w:lastRowFirstColumn="0" w:lastRowLastColumn="0"/>
            <w:tcW w:w="0" w:type="auto"/>
            <w:hideMark/>
          </w:tcPr>
          <w:p w14:paraId="582AD284" w14:textId="77777777" w:rsidR="00E54F1D" w:rsidRPr="003D549F" w:rsidRDefault="00E54F1D" w:rsidP="00F000B0">
            <w:pPr>
              <w:jc w:val="both"/>
              <w:rPr>
                <w:rFonts w:ascii="Times New Roman" w:eastAsia="Times New Roman" w:hAnsi="Times New Roman"/>
                <w:sz w:val="24"/>
                <w:szCs w:val="24"/>
                <w:lang w:eastAsia="fr-FR"/>
              </w:rPr>
            </w:pPr>
            <w:r w:rsidRPr="003D549F">
              <w:rPr>
                <w:rFonts w:ascii="Times New Roman" w:eastAsia="Times New Roman" w:hAnsi="Times New Roman"/>
                <w:sz w:val="24"/>
                <w:szCs w:val="24"/>
                <w:lang w:eastAsia="fr-FR"/>
              </w:rPr>
              <w:t>Cassitérite</w:t>
            </w:r>
          </w:p>
        </w:tc>
        <w:tc>
          <w:tcPr>
            <w:tcW w:w="0" w:type="auto"/>
            <w:hideMark/>
          </w:tcPr>
          <w:p w14:paraId="7DDAE4E5" w14:textId="77777777" w:rsidR="00E54F1D" w:rsidRPr="00FF7757" w:rsidRDefault="00E54F1D"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Tonne</w:t>
            </w:r>
          </w:p>
        </w:tc>
        <w:tc>
          <w:tcPr>
            <w:tcW w:w="1906" w:type="dxa"/>
            <w:hideMark/>
          </w:tcPr>
          <w:p w14:paraId="518C2851"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11 824,34</w:t>
            </w:r>
          </w:p>
        </w:tc>
        <w:tc>
          <w:tcPr>
            <w:tcW w:w="0" w:type="auto"/>
            <w:hideMark/>
          </w:tcPr>
          <w:p w14:paraId="08F38079"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 </w:t>
            </w:r>
          </w:p>
        </w:tc>
        <w:tc>
          <w:tcPr>
            <w:tcW w:w="1801" w:type="dxa"/>
            <w:hideMark/>
          </w:tcPr>
          <w:p w14:paraId="00945BA8"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11 824,34</w:t>
            </w:r>
          </w:p>
        </w:tc>
        <w:tc>
          <w:tcPr>
            <w:tcW w:w="0" w:type="auto"/>
            <w:hideMark/>
          </w:tcPr>
          <w:p w14:paraId="568CEA43"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100%</w:t>
            </w:r>
          </w:p>
        </w:tc>
      </w:tr>
      <w:tr w:rsidR="00E54F1D" w:rsidRPr="00FF7757" w14:paraId="1225A1FD" w14:textId="77777777" w:rsidTr="006E53CE">
        <w:trPr>
          <w:trHeight w:val="360"/>
        </w:trPr>
        <w:tc>
          <w:tcPr>
            <w:cnfStyle w:val="001000000000" w:firstRow="0" w:lastRow="0" w:firstColumn="1" w:lastColumn="0" w:oddVBand="0" w:evenVBand="0" w:oddHBand="0" w:evenHBand="0" w:firstRowFirstColumn="0" w:firstRowLastColumn="0" w:lastRowFirstColumn="0" w:lastRowLastColumn="0"/>
            <w:tcW w:w="0" w:type="auto"/>
            <w:hideMark/>
          </w:tcPr>
          <w:p w14:paraId="6C0CAB0F" w14:textId="77777777" w:rsidR="00E54F1D" w:rsidRPr="003D549F" w:rsidRDefault="00E54F1D" w:rsidP="00F000B0">
            <w:pPr>
              <w:jc w:val="both"/>
              <w:rPr>
                <w:rFonts w:ascii="Times New Roman" w:eastAsia="Times New Roman" w:hAnsi="Times New Roman"/>
                <w:sz w:val="24"/>
                <w:szCs w:val="24"/>
                <w:lang w:eastAsia="fr-FR"/>
              </w:rPr>
            </w:pPr>
            <w:r w:rsidRPr="003D549F">
              <w:rPr>
                <w:rFonts w:ascii="Times New Roman" w:eastAsia="Times New Roman" w:hAnsi="Times New Roman"/>
                <w:sz w:val="24"/>
                <w:szCs w:val="24"/>
                <w:lang w:eastAsia="fr-FR"/>
              </w:rPr>
              <w:t>Wolframite</w:t>
            </w:r>
          </w:p>
        </w:tc>
        <w:tc>
          <w:tcPr>
            <w:tcW w:w="0" w:type="auto"/>
            <w:hideMark/>
          </w:tcPr>
          <w:p w14:paraId="3D0B5729" w14:textId="77777777" w:rsidR="00E54F1D" w:rsidRPr="00FF7757" w:rsidRDefault="00E54F1D"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Tonne</w:t>
            </w:r>
          </w:p>
        </w:tc>
        <w:tc>
          <w:tcPr>
            <w:tcW w:w="1906" w:type="dxa"/>
            <w:hideMark/>
          </w:tcPr>
          <w:p w14:paraId="771B8B58"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153,88</w:t>
            </w:r>
          </w:p>
        </w:tc>
        <w:tc>
          <w:tcPr>
            <w:tcW w:w="0" w:type="auto"/>
            <w:noWrap/>
            <w:hideMark/>
          </w:tcPr>
          <w:p w14:paraId="76BDABCC"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 </w:t>
            </w:r>
          </w:p>
        </w:tc>
        <w:tc>
          <w:tcPr>
            <w:tcW w:w="1801" w:type="dxa"/>
            <w:hideMark/>
          </w:tcPr>
          <w:p w14:paraId="6574A2A0"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153,88</w:t>
            </w:r>
          </w:p>
        </w:tc>
        <w:tc>
          <w:tcPr>
            <w:tcW w:w="0" w:type="auto"/>
            <w:noWrap/>
            <w:hideMark/>
          </w:tcPr>
          <w:p w14:paraId="468FB528"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100%</w:t>
            </w:r>
          </w:p>
        </w:tc>
      </w:tr>
    </w:tbl>
    <w:p w14:paraId="48C43450" w14:textId="77777777" w:rsidR="00E54F1D" w:rsidRPr="003D549F" w:rsidRDefault="00E54F1D" w:rsidP="00E54F1D">
      <w:pPr>
        <w:jc w:val="both"/>
        <w:rPr>
          <w:rFonts w:ascii="Times New Roman" w:hAnsi="Times New Roman"/>
          <w:sz w:val="16"/>
          <w:szCs w:val="16"/>
        </w:rPr>
      </w:pPr>
      <w:r w:rsidRPr="003D549F">
        <w:rPr>
          <w:rFonts w:ascii="Times New Roman" w:hAnsi="Times New Roman"/>
          <w:sz w:val="16"/>
          <w:szCs w:val="16"/>
        </w:rPr>
        <w:t>Source : « Statistiques Minières Exercice 2016 du Ministère des Mines »</w:t>
      </w:r>
    </w:p>
    <w:p w14:paraId="2A17ACE4" w14:textId="77777777" w:rsidR="00E54F1D" w:rsidRPr="00FF7757" w:rsidRDefault="00E54F1D" w:rsidP="00E54F1D">
      <w:pPr>
        <w:jc w:val="both"/>
        <w:rPr>
          <w:rFonts w:ascii="Times New Roman" w:hAnsi="Times New Roman"/>
          <w:sz w:val="24"/>
          <w:szCs w:val="24"/>
        </w:rPr>
      </w:pPr>
      <w:r w:rsidRPr="00FF7757">
        <w:rPr>
          <w:rFonts w:ascii="Times New Roman" w:hAnsi="Times New Roman"/>
          <w:sz w:val="24"/>
          <w:szCs w:val="24"/>
        </w:rPr>
        <w:t>Il ressort de ce tableau que, hormis l’or, la production industrielle dans l’ensemble est marginale par rapport à la production artisanale</w:t>
      </w:r>
      <w:r>
        <w:rPr>
          <w:rFonts w:ascii="Times New Roman" w:hAnsi="Times New Roman"/>
          <w:sz w:val="24"/>
          <w:szCs w:val="24"/>
        </w:rPr>
        <w:t xml:space="preserve"> et que cette dernière</w:t>
      </w:r>
      <w:r w:rsidRPr="00FF7757">
        <w:rPr>
          <w:rFonts w:ascii="Times New Roman" w:hAnsi="Times New Roman"/>
          <w:sz w:val="24"/>
          <w:szCs w:val="24"/>
        </w:rPr>
        <w:t xml:space="preserve"> alimente l’essentiel </w:t>
      </w:r>
      <w:r>
        <w:rPr>
          <w:rFonts w:ascii="Times New Roman" w:hAnsi="Times New Roman"/>
          <w:sz w:val="24"/>
          <w:szCs w:val="24"/>
        </w:rPr>
        <w:t>des exportations du diamant et d</w:t>
      </w:r>
      <w:r w:rsidRPr="00FF7757">
        <w:rPr>
          <w:rFonts w:ascii="Times New Roman" w:hAnsi="Times New Roman"/>
          <w:sz w:val="24"/>
          <w:szCs w:val="24"/>
        </w:rPr>
        <w:t>es 3T.</w:t>
      </w:r>
    </w:p>
    <w:p w14:paraId="695079C6" w14:textId="77777777" w:rsidR="00E54F1D" w:rsidRPr="00FF7757" w:rsidRDefault="00E54F1D" w:rsidP="00E54F1D">
      <w:pPr>
        <w:jc w:val="both"/>
        <w:rPr>
          <w:rFonts w:ascii="Times New Roman" w:hAnsi="Times New Roman"/>
          <w:sz w:val="24"/>
          <w:szCs w:val="24"/>
        </w:rPr>
      </w:pPr>
      <w:r w:rsidRPr="00FF7757">
        <w:rPr>
          <w:rFonts w:ascii="Times New Roman" w:hAnsi="Times New Roman"/>
          <w:sz w:val="24"/>
          <w:szCs w:val="24"/>
        </w:rPr>
        <w:t xml:space="preserve">Comme la production, </w:t>
      </w:r>
      <w:r>
        <w:rPr>
          <w:rFonts w:ascii="Times New Roman" w:hAnsi="Times New Roman"/>
          <w:sz w:val="24"/>
          <w:szCs w:val="24"/>
        </w:rPr>
        <w:t>l</w:t>
      </w:r>
      <w:r w:rsidRPr="00FF7757">
        <w:rPr>
          <w:rFonts w:ascii="Times New Roman" w:hAnsi="Times New Roman"/>
          <w:sz w:val="24"/>
          <w:szCs w:val="24"/>
        </w:rPr>
        <w:t>es exportations des produits marchands d’origine artisanale portent sur le diamant, l’or et les 3T. Elles so</w:t>
      </w:r>
      <w:r>
        <w:rPr>
          <w:rFonts w:ascii="Times New Roman" w:hAnsi="Times New Roman"/>
          <w:sz w:val="24"/>
          <w:szCs w:val="24"/>
        </w:rPr>
        <w:t>nt détaillées dans le tableau ci</w:t>
      </w:r>
      <w:r w:rsidRPr="00FF7757">
        <w:rPr>
          <w:rFonts w:ascii="Times New Roman" w:hAnsi="Times New Roman"/>
          <w:sz w:val="24"/>
          <w:szCs w:val="24"/>
        </w:rPr>
        <w:t xml:space="preserve">–dessous : </w:t>
      </w:r>
    </w:p>
    <w:p w14:paraId="4F5C7DB1" w14:textId="77777777" w:rsidR="00E54F1D" w:rsidRPr="00FF7757" w:rsidRDefault="00E54F1D" w:rsidP="00E54F1D">
      <w:pPr>
        <w:jc w:val="both"/>
        <w:rPr>
          <w:rFonts w:ascii="Times New Roman" w:hAnsi="Times New Roman"/>
          <w:i/>
          <w:sz w:val="24"/>
          <w:szCs w:val="24"/>
          <w:u w:val="single"/>
        </w:rPr>
      </w:pPr>
      <w:r w:rsidRPr="00FF7757">
        <w:rPr>
          <w:rFonts w:ascii="Times New Roman" w:hAnsi="Times New Roman"/>
          <w:sz w:val="24"/>
          <w:szCs w:val="24"/>
        </w:rPr>
        <w:t xml:space="preserve"> </w:t>
      </w:r>
      <w:r w:rsidRPr="00FF7757">
        <w:rPr>
          <w:rFonts w:ascii="Times New Roman" w:hAnsi="Times New Roman"/>
          <w:i/>
          <w:sz w:val="24"/>
          <w:szCs w:val="24"/>
          <w:u w:val="single"/>
        </w:rPr>
        <w:t>Exportations d’origine artisanale dans l’ensemble des exportations</w:t>
      </w:r>
    </w:p>
    <w:tbl>
      <w:tblPr>
        <w:tblStyle w:val="TableauGrille1Clair1"/>
        <w:tblW w:w="9203" w:type="dxa"/>
        <w:tblLook w:val="04A0" w:firstRow="1" w:lastRow="0" w:firstColumn="1" w:lastColumn="0" w:noHBand="0" w:noVBand="1"/>
      </w:tblPr>
      <w:tblGrid>
        <w:gridCol w:w="1403"/>
        <w:gridCol w:w="1240"/>
        <w:gridCol w:w="1601"/>
        <w:gridCol w:w="1843"/>
        <w:gridCol w:w="1846"/>
        <w:gridCol w:w="1270"/>
      </w:tblGrid>
      <w:tr w:rsidR="00E54F1D" w:rsidRPr="00DA2B3E" w14:paraId="454C6291" w14:textId="77777777" w:rsidTr="00943F67">
        <w:trPr>
          <w:cnfStyle w:val="100000000000" w:firstRow="1" w:lastRow="0" w:firstColumn="0" w:lastColumn="0" w:oddVBand="0" w:evenVBand="0" w:oddHBand="0"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1403" w:type="dxa"/>
            <w:noWrap/>
            <w:hideMark/>
          </w:tcPr>
          <w:p w14:paraId="2A4EC432" w14:textId="77777777" w:rsidR="00E54F1D" w:rsidRPr="00DA2B3E" w:rsidRDefault="00E54F1D" w:rsidP="00F000B0">
            <w:pPr>
              <w:rPr>
                <w:rFonts w:ascii="Times New Roman" w:eastAsia="Times New Roman" w:hAnsi="Times New Roman"/>
                <w:sz w:val="24"/>
                <w:szCs w:val="24"/>
                <w:lang w:eastAsia="fr-FR"/>
              </w:rPr>
            </w:pPr>
            <w:r w:rsidRPr="00DA2B3E">
              <w:rPr>
                <w:rFonts w:ascii="Times New Roman" w:eastAsia="Times New Roman" w:hAnsi="Times New Roman"/>
                <w:sz w:val="24"/>
                <w:szCs w:val="24"/>
                <w:lang w:eastAsia="fr-FR"/>
              </w:rPr>
              <w:t>Matière</w:t>
            </w:r>
          </w:p>
        </w:tc>
        <w:tc>
          <w:tcPr>
            <w:tcW w:w="1240" w:type="dxa"/>
            <w:noWrap/>
            <w:hideMark/>
          </w:tcPr>
          <w:p w14:paraId="2AC98449" w14:textId="77777777" w:rsidR="00E54F1D" w:rsidRPr="00DA2B3E" w:rsidRDefault="00E54F1D" w:rsidP="00F000B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fr-FR"/>
              </w:rPr>
            </w:pPr>
            <w:r w:rsidRPr="00DA2B3E">
              <w:rPr>
                <w:rFonts w:ascii="Times New Roman" w:eastAsia="Times New Roman" w:hAnsi="Times New Roman"/>
                <w:sz w:val="24"/>
                <w:szCs w:val="24"/>
                <w:lang w:eastAsia="fr-FR"/>
              </w:rPr>
              <w:t>Unité</w:t>
            </w:r>
          </w:p>
        </w:tc>
        <w:tc>
          <w:tcPr>
            <w:tcW w:w="1601" w:type="dxa"/>
            <w:hideMark/>
          </w:tcPr>
          <w:p w14:paraId="0FE4C15C" w14:textId="77777777" w:rsidR="00E54F1D" w:rsidRPr="00DA2B3E" w:rsidRDefault="00E54F1D" w:rsidP="00F000B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fr-FR"/>
              </w:rPr>
            </w:pPr>
            <w:r w:rsidRPr="00DA2B3E">
              <w:rPr>
                <w:rFonts w:ascii="Times New Roman" w:eastAsia="Times New Roman" w:hAnsi="Times New Roman"/>
                <w:sz w:val="24"/>
                <w:szCs w:val="24"/>
                <w:lang w:eastAsia="fr-FR"/>
              </w:rPr>
              <w:t>Exportations  artisanales (en $</w:t>
            </w:r>
            <w:proofErr w:type="spellStart"/>
            <w:r w:rsidRPr="00DA2B3E">
              <w:rPr>
                <w:rFonts w:ascii="Times New Roman" w:eastAsia="Times New Roman" w:hAnsi="Times New Roman"/>
                <w:sz w:val="24"/>
                <w:szCs w:val="24"/>
                <w:lang w:eastAsia="fr-FR"/>
              </w:rPr>
              <w:t>Usd</w:t>
            </w:r>
            <w:proofErr w:type="spellEnd"/>
            <w:r w:rsidRPr="00DA2B3E">
              <w:rPr>
                <w:rFonts w:ascii="Times New Roman" w:eastAsia="Times New Roman" w:hAnsi="Times New Roman"/>
                <w:sz w:val="24"/>
                <w:szCs w:val="24"/>
                <w:lang w:eastAsia="fr-FR"/>
              </w:rPr>
              <w:t>)</w:t>
            </w:r>
          </w:p>
        </w:tc>
        <w:tc>
          <w:tcPr>
            <w:tcW w:w="1843" w:type="dxa"/>
            <w:hideMark/>
          </w:tcPr>
          <w:p w14:paraId="55DA9BEB" w14:textId="77777777" w:rsidR="00E54F1D" w:rsidRPr="00DA2B3E" w:rsidRDefault="00E54F1D" w:rsidP="00F000B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fr-FR"/>
              </w:rPr>
            </w:pPr>
            <w:r w:rsidRPr="00DA2B3E">
              <w:rPr>
                <w:rFonts w:ascii="Times New Roman" w:eastAsia="Times New Roman" w:hAnsi="Times New Roman"/>
                <w:sz w:val="24"/>
                <w:szCs w:val="24"/>
                <w:lang w:eastAsia="fr-FR"/>
              </w:rPr>
              <w:t>Exportations industrielle (en $</w:t>
            </w:r>
            <w:proofErr w:type="spellStart"/>
            <w:r w:rsidRPr="00DA2B3E">
              <w:rPr>
                <w:rFonts w:ascii="Times New Roman" w:eastAsia="Times New Roman" w:hAnsi="Times New Roman"/>
                <w:sz w:val="24"/>
                <w:szCs w:val="24"/>
                <w:lang w:eastAsia="fr-FR"/>
              </w:rPr>
              <w:t>Usd</w:t>
            </w:r>
            <w:proofErr w:type="spellEnd"/>
            <w:r w:rsidRPr="00DA2B3E">
              <w:rPr>
                <w:rFonts w:ascii="Times New Roman" w:eastAsia="Times New Roman" w:hAnsi="Times New Roman"/>
                <w:sz w:val="24"/>
                <w:szCs w:val="24"/>
                <w:lang w:eastAsia="fr-FR"/>
              </w:rPr>
              <w:t>)</w:t>
            </w:r>
          </w:p>
        </w:tc>
        <w:tc>
          <w:tcPr>
            <w:tcW w:w="1846" w:type="dxa"/>
            <w:hideMark/>
          </w:tcPr>
          <w:p w14:paraId="3E9C7ABC" w14:textId="77777777" w:rsidR="00E54F1D" w:rsidRPr="00DA2B3E" w:rsidRDefault="00E54F1D" w:rsidP="00F000B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fr-FR"/>
              </w:rPr>
            </w:pPr>
            <w:r w:rsidRPr="00DA2B3E">
              <w:rPr>
                <w:rFonts w:ascii="Times New Roman" w:eastAsia="Times New Roman" w:hAnsi="Times New Roman"/>
                <w:sz w:val="24"/>
                <w:szCs w:val="24"/>
                <w:lang w:eastAsia="fr-FR"/>
              </w:rPr>
              <w:t>Exportations totales (En $</w:t>
            </w:r>
            <w:proofErr w:type="spellStart"/>
            <w:r w:rsidRPr="00DA2B3E">
              <w:rPr>
                <w:rFonts w:ascii="Times New Roman" w:eastAsia="Times New Roman" w:hAnsi="Times New Roman"/>
                <w:sz w:val="24"/>
                <w:szCs w:val="24"/>
                <w:lang w:eastAsia="fr-FR"/>
              </w:rPr>
              <w:t>Usd</w:t>
            </w:r>
            <w:proofErr w:type="spellEnd"/>
            <w:r w:rsidRPr="00DA2B3E">
              <w:rPr>
                <w:rFonts w:ascii="Times New Roman" w:eastAsia="Times New Roman" w:hAnsi="Times New Roman"/>
                <w:sz w:val="24"/>
                <w:szCs w:val="24"/>
                <w:lang w:eastAsia="fr-FR"/>
              </w:rPr>
              <w:t>)</w:t>
            </w:r>
          </w:p>
        </w:tc>
        <w:tc>
          <w:tcPr>
            <w:tcW w:w="1270" w:type="dxa"/>
            <w:hideMark/>
          </w:tcPr>
          <w:p w14:paraId="141D5B83" w14:textId="77777777" w:rsidR="00E54F1D" w:rsidRPr="00DA2B3E" w:rsidRDefault="00E54F1D" w:rsidP="00F000B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fr-FR"/>
              </w:rPr>
            </w:pPr>
            <w:r w:rsidRPr="00DA2B3E">
              <w:rPr>
                <w:rFonts w:ascii="Times New Roman" w:eastAsia="Times New Roman" w:hAnsi="Times New Roman"/>
                <w:sz w:val="24"/>
                <w:szCs w:val="24"/>
                <w:lang w:eastAsia="fr-FR"/>
              </w:rPr>
              <w:t>Part de l'artisanat</w:t>
            </w:r>
          </w:p>
        </w:tc>
      </w:tr>
      <w:tr w:rsidR="00E54F1D" w:rsidRPr="00FF7757" w14:paraId="005C1F58"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403" w:type="dxa"/>
            <w:noWrap/>
            <w:hideMark/>
          </w:tcPr>
          <w:p w14:paraId="1E6E3470" w14:textId="77777777" w:rsidR="00E54F1D" w:rsidRPr="00DA2B3E" w:rsidRDefault="00E54F1D" w:rsidP="00F000B0">
            <w:pPr>
              <w:rPr>
                <w:rFonts w:ascii="Times New Roman" w:eastAsia="Times New Roman" w:hAnsi="Times New Roman"/>
                <w:sz w:val="24"/>
                <w:szCs w:val="24"/>
                <w:lang w:eastAsia="fr-FR"/>
              </w:rPr>
            </w:pPr>
            <w:r w:rsidRPr="00DA2B3E">
              <w:rPr>
                <w:rFonts w:ascii="Times New Roman" w:eastAsia="Times New Roman" w:hAnsi="Times New Roman"/>
                <w:sz w:val="24"/>
                <w:szCs w:val="24"/>
                <w:lang w:eastAsia="fr-FR"/>
              </w:rPr>
              <w:t>Diamant</w:t>
            </w:r>
          </w:p>
        </w:tc>
        <w:tc>
          <w:tcPr>
            <w:tcW w:w="1240" w:type="dxa"/>
            <w:noWrap/>
            <w:hideMark/>
          </w:tcPr>
          <w:p w14:paraId="04DE656A" w14:textId="77777777" w:rsidR="00E54F1D" w:rsidRPr="00FF7757" w:rsidRDefault="00E54F1D"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carat</w:t>
            </w:r>
          </w:p>
        </w:tc>
        <w:tc>
          <w:tcPr>
            <w:tcW w:w="1601" w:type="dxa"/>
            <w:noWrap/>
            <w:hideMark/>
          </w:tcPr>
          <w:p w14:paraId="62E533E0"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174 598 777,8</w:t>
            </w:r>
          </w:p>
        </w:tc>
        <w:tc>
          <w:tcPr>
            <w:tcW w:w="1843" w:type="dxa"/>
            <w:noWrap/>
            <w:hideMark/>
          </w:tcPr>
          <w:p w14:paraId="0E040433"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14 746 354,2</w:t>
            </w:r>
          </w:p>
        </w:tc>
        <w:tc>
          <w:tcPr>
            <w:tcW w:w="1846" w:type="dxa"/>
            <w:noWrap/>
            <w:hideMark/>
          </w:tcPr>
          <w:p w14:paraId="4B21DA9D"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229 299 054,9</w:t>
            </w:r>
          </w:p>
        </w:tc>
        <w:tc>
          <w:tcPr>
            <w:tcW w:w="1270" w:type="dxa"/>
            <w:noWrap/>
            <w:hideMark/>
          </w:tcPr>
          <w:p w14:paraId="6CCC9AD0"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76,14%</w:t>
            </w:r>
          </w:p>
        </w:tc>
      </w:tr>
      <w:tr w:rsidR="00E54F1D" w:rsidRPr="00FF7757" w14:paraId="3598D0DE" w14:textId="77777777" w:rsidTr="00943F67">
        <w:trPr>
          <w:trHeight w:val="278"/>
        </w:trPr>
        <w:tc>
          <w:tcPr>
            <w:cnfStyle w:val="001000000000" w:firstRow="0" w:lastRow="0" w:firstColumn="1" w:lastColumn="0" w:oddVBand="0" w:evenVBand="0" w:oddHBand="0" w:evenHBand="0" w:firstRowFirstColumn="0" w:firstRowLastColumn="0" w:lastRowFirstColumn="0" w:lastRowLastColumn="0"/>
            <w:tcW w:w="1403" w:type="dxa"/>
            <w:noWrap/>
            <w:hideMark/>
          </w:tcPr>
          <w:p w14:paraId="692B1728" w14:textId="77777777" w:rsidR="00E54F1D" w:rsidRPr="00DA2B3E" w:rsidRDefault="00E54F1D" w:rsidP="00F000B0">
            <w:pPr>
              <w:rPr>
                <w:rFonts w:ascii="Times New Roman" w:eastAsia="Times New Roman" w:hAnsi="Times New Roman"/>
                <w:sz w:val="24"/>
                <w:szCs w:val="24"/>
                <w:lang w:eastAsia="fr-FR"/>
              </w:rPr>
            </w:pPr>
            <w:r w:rsidRPr="00DA2B3E">
              <w:rPr>
                <w:rFonts w:ascii="Times New Roman" w:eastAsia="Times New Roman" w:hAnsi="Times New Roman"/>
                <w:sz w:val="24"/>
                <w:szCs w:val="24"/>
                <w:lang w:eastAsia="fr-FR"/>
              </w:rPr>
              <w:t>Or</w:t>
            </w:r>
          </w:p>
        </w:tc>
        <w:tc>
          <w:tcPr>
            <w:tcW w:w="1240" w:type="dxa"/>
            <w:noWrap/>
            <w:hideMark/>
          </w:tcPr>
          <w:p w14:paraId="35244F79" w14:textId="77777777" w:rsidR="00E54F1D" w:rsidRPr="00FF7757" w:rsidRDefault="00E54F1D"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Kg</w:t>
            </w:r>
          </w:p>
        </w:tc>
        <w:tc>
          <w:tcPr>
            <w:tcW w:w="1601" w:type="dxa"/>
            <w:noWrap/>
            <w:hideMark/>
          </w:tcPr>
          <w:p w14:paraId="4D099312"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7 970 284,0</w:t>
            </w:r>
          </w:p>
        </w:tc>
        <w:tc>
          <w:tcPr>
            <w:tcW w:w="1843" w:type="dxa"/>
            <w:noWrap/>
            <w:hideMark/>
          </w:tcPr>
          <w:p w14:paraId="035C09A3"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hAnsi="Times New Roman"/>
                <w:color w:val="000000"/>
                <w:sz w:val="24"/>
                <w:szCs w:val="24"/>
              </w:rPr>
              <w:t>1 211 518 031</w:t>
            </w:r>
          </w:p>
        </w:tc>
        <w:tc>
          <w:tcPr>
            <w:tcW w:w="1846" w:type="dxa"/>
            <w:noWrap/>
            <w:hideMark/>
          </w:tcPr>
          <w:p w14:paraId="7CEA5B7F"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1 219 488 315,5</w:t>
            </w:r>
          </w:p>
        </w:tc>
        <w:tc>
          <w:tcPr>
            <w:tcW w:w="1270" w:type="dxa"/>
            <w:noWrap/>
            <w:hideMark/>
          </w:tcPr>
          <w:p w14:paraId="45C51A90"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0,65%</w:t>
            </w:r>
          </w:p>
        </w:tc>
      </w:tr>
      <w:tr w:rsidR="00E54F1D" w:rsidRPr="00FF7757" w14:paraId="6EA8CD4A"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403" w:type="dxa"/>
            <w:noWrap/>
            <w:hideMark/>
          </w:tcPr>
          <w:p w14:paraId="4291A439" w14:textId="77777777" w:rsidR="00E54F1D" w:rsidRPr="00DA2B3E" w:rsidRDefault="00E54F1D" w:rsidP="00F000B0">
            <w:pPr>
              <w:rPr>
                <w:rFonts w:ascii="Times New Roman" w:eastAsia="Times New Roman" w:hAnsi="Times New Roman"/>
                <w:sz w:val="24"/>
                <w:szCs w:val="24"/>
                <w:lang w:eastAsia="fr-FR"/>
              </w:rPr>
            </w:pPr>
            <w:proofErr w:type="spellStart"/>
            <w:r w:rsidRPr="00DA2B3E">
              <w:rPr>
                <w:rFonts w:ascii="Times New Roman" w:eastAsia="Times New Roman" w:hAnsi="Times New Roman"/>
                <w:sz w:val="24"/>
                <w:szCs w:val="24"/>
                <w:lang w:eastAsia="fr-FR"/>
              </w:rPr>
              <w:t>Coltan</w:t>
            </w:r>
            <w:proofErr w:type="spellEnd"/>
          </w:p>
        </w:tc>
        <w:tc>
          <w:tcPr>
            <w:tcW w:w="1240" w:type="dxa"/>
            <w:noWrap/>
            <w:hideMark/>
          </w:tcPr>
          <w:p w14:paraId="6855F4CC" w14:textId="77777777" w:rsidR="00E54F1D" w:rsidRPr="00FF7757" w:rsidRDefault="00E54F1D"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Tonne</w:t>
            </w:r>
          </w:p>
        </w:tc>
        <w:tc>
          <w:tcPr>
            <w:tcW w:w="1601" w:type="dxa"/>
            <w:noWrap/>
            <w:hideMark/>
          </w:tcPr>
          <w:p w14:paraId="449D2AFF"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54 827 912,0</w:t>
            </w:r>
          </w:p>
        </w:tc>
        <w:tc>
          <w:tcPr>
            <w:tcW w:w="1843" w:type="dxa"/>
            <w:noWrap/>
            <w:hideMark/>
          </w:tcPr>
          <w:p w14:paraId="5C876043" w14:textId="77777777" w:rsidR="00E54F1D" w:rsidRPr="00FF775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w:t>
            </w:r>
          </w:p>
        </w:tc>
        <w:tc>
          <w:tcPr>
            <w:tcW w:w="1846" w:type="dxa"/>
            <w:noWrap/>
            <w:hideMark/>
          </w:tcPr>
          <w:p w14:paraId="5084CC32"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54 827 912,0</w:t>
            </w:r>
          </w:p>
        </w:tc>
        <w:tc>
          <w:tcPr>
            <w:tcW w:w="1270" w:type="dxa"/>
            <w:noWrap/>
            <w:hideMark/>
          </w:tcPr>
          <w:p w14:paraId="119A7C8C"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100%</w:t>
            </w:r>
          </w:p>
        </w:tc>
      </w:tr>
      <w:tr w:rsidR="00E54F1D" w:rsidRPr="00FF7757" w14:paraId="6DC4C951"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403" w:type="dxa"/>
            <w:noWrap/>
            <w:hideMark/>
          </w:tcPr>
          <w:p w14:paraId="5CD88631" w14:textId="77777777" w:rsidR="00E54F1D" w:rsidRPr="00DA2B3E" w:rsidRDefault="00E54F1D" w:rsidP="00F000B0">
            <w:pPr>
              <w:rPr>
                <w:rFonts w:ascii="Times New Roman" w:eastAsia="Times New Roman" w:hAnsi="Times New Roman"/>
                <w:sz w:val="24"/>
                <w:szCs w:val="24"/>
                <w:lang w:eastAsia="fr-FR"/>
              </w:rPr>
            </w:pPr>
            <w:r w:rsidRPr="00DA2B3E">
              <w:rPr>
                <w:rFonts w:ascii="Times New Roman" w:eastAsia="Times New Roman" w:hAnsi="Times New Roman"/>
                <w:sz w:val="24"/>
                <w:szCs w:val="24"/>
                <w:lang w:eastAsia="fr-FR"/>
              </w:rPr>
              <w:t>Cassitérite</w:t>
            </w:r>
          </w:p>
        </w:tc>
        <w:tc>
          <w:tcPr>
            <w:tcW w:w="1240" w:type="dxa"/>
            <w:noWrap/>
            <w:hideMark/>
          </w:tcPr>
          <w:p w14:paraId="79A0FECF" w14:textId="77777777" w:rsidR="00E54F1D" w:rsidRPr="00FF7757" w:rsidRDefault="00E54F1D"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Tonne</w:t>
            </w:r>
          </w:p>
        </w:tc>
        <w:tc>
          <w:tcPr>
            <w:tcW w:w="1601" w:type="dxa"/>
            <w:noWrap/>
            <w:hideMark/>
          </w:tcPr>
          <w:p w14:paraId="305C3274"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64 134 872,0</w:t>
            </w:r>
          </w:p>
        </w:tc>
        <w:tc>
          <w:tcPr>
            <w:tcW w:w="1843" w:type="dxa"/>
            <w:noWrap/>
            <w:hideMark/>
          </w:tcPr>
          <w:p w14:paraId="5C084B4E" w14:textId="77777777" w:rsidR="00E54F1D" w:rsidRPr="00FF775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w:t>
            </w:r>
          </w:p>
        </w:tc>
        <w:tc>
          <w:tcPr>
            <w:tcW w:w="1846" w:type="dxa"/>
            <w:noWrap/>
            <w:hideMark/>
          </w:tcPr>
          <w:p w14:paraId="453DCDE5"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64 134 872,0</w:t>
            </w:r>
          </w:p>
        </w:tc>
        <w:tc>
          <w:tcPr>
            <w:tcW w:w="1270" w:type="dxa"/>
            <w:noWrap/>
            <w:hideMark/>
          </w:tcPr>
          <w:p w14:paraId="6F10ACDF"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100%</w:t>
            </w:r>
          </w:p>
        </w:tc>
      </w:tr>
      <w:tr w:rsidR="00E54F1D" w:rsidRPr="00FF7757" w14:paraId="53E8DC81"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403" w:type="dxa"/>
            <w:noWrap/>
            <w:hideMark/>
          </w:tcPr>
          <w:p w14:paraId="316C0E41" w14:textId="77777777" w:rsidR="00E54F1D" w:rsidRPr="00DA2B3E" w:rsidRDefault="00E54F1D" w:rsidP="00F000B0">
            <w:pPr>
              <w:rPr>
                <w:rFonts w:ascii="Times New Roman" w:eastAsia="Times New Roman" w:hAnsi="Times New Roman"/>
                <w:sz w:val="24"/>
                <w:szCs w:val="24"/>
                <w:lang w:eastAsia="fr-FR"/>
              </w:rPr>
            </w:pPr>
            <w:r w:rsidRPr="00DA2B3E">
              <w:rPr>
                <w:rFonts w:ascii="Times New Roman" w:eastAsia="Times New Roman" w:hAnsi="Times New Roman"/>
                <w:sz w:val="24"/>
                <w:szCs w:val="24"/>
                <w:lang w:eastAsia="fr-FR"/>
              </w:rPr>
              <w:t>Wolframite</w:t>
            </w:r>
          </w:p>
        </w:tc>
        <w:tc>
          <w:tcPr>
            <w:tcW w:w="1240" w:type="dxa"/>
            <w:noWrap/>
            <w:hideMark/>
          </w:tcPr>
          <w:p w14:paraId="196BA7C3" w14:textId="77777777" w:rsidR="00E54F1D" w:rsidRPr="00FF7757" w:rsidRDefault="00E54F1D"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Tonne</w:t>
            </w:r>
          </w:p>
        </w:tc>
        <w:tc>
          <w:tcPr>
            <w:tcW w:w="1601" w:type="dxa"/>
            <w:noWrap/>
            <w:hideMark/>
          </w:tcPr>
          <w:p w14:paraId="520F96A4"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736 349,0</w:t>
            </w:r>
          </w:p>
        </w:tc>
        <w:tc>
          <w:tcPr>
            <w:tcW w:w="1843" w:type="dxa"/>
            <w:noWrap/>
            <w:hideMark/>
          </w:tcPr>
          <w:p w14:paraId="3B12F143" w14:textId="77777777" w:rsidR="00E54F1D" w:rsidRPr="00FF775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w:t>
            </w:r>
          </w:p>
        </w:tc>
        <w:tc>
          <w:tcPr>
            <w:tcW w:w="1846" w:type="dxa"/>
            <w:noWrap/>
            <w:hideMark/>
          </w:tcPr>
          <w:p w14:paraId="60BE6F74"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736 349,0</w:t>
            </w:r>
          </w:p>
        </w:tc>
        <w:tc>
          <w:tcPr>
            <w:tcW w:w="1270" w:type="dxa"/>
            <w:noWrap/>
            <w:hideMark/>
          </w:tcPr>
          <w:p w14:paraId="04C6A65C"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100%</w:t>
            </w:r>
          </w:p>
        </w:tc>
      </w:tr>
      <w:tr w:rsidR="00E54F1D" w:rsidRPr="00FF7757" w14:paraId="43098934" w14:textId="77777777" w:rsidTr="00943F67">
        <w:trPr>
          <w:trHeight w:val="366"/>
        </w:trPr>
        <w:tc>
          <w:tcPr>
            <w:cnfStyle w:val="001000000000" w:firstRow="0" w:lastRow="0" w:firstColumn="1" w:lastColumn="0" w:oddVBand="0" w:evenVBand="0" w:oddHBand="0" w:evenHBand="0" w:firstRowFirstColumn="0" w:firstRowLastColumn="0" w:lastRowFirstColumn="0" w:lastRowLastColumn="0"/>
            <w:tcW w:w="1403" w:type="dxa"/>
            <w:noWrap/>
          </w:tcPr>
          <w:p w14:paraId="27602CD6" w14:textId="77777777" w:rsidR="00E54F1D" w:rsidRPr="00DA2B3E" w:rsidRDefault="00E54F1D" w:rsidP="00F000B0">
            <w:pPr>
              <w:rPr>
                <w:rFonts w:ascii="Times New Roman" w:eastAsia="Times New Roman" w:hAnsi="Times New Roman"/>
                <w:sz w:val="24"/>
                <w:szCs w:val="24"/>
                <w:lang w:eastAsia="fr-FR"/>
              </w:rPr>
            </w:pPr>
            <w:r w:rsidRPr="00DA2B3E">
              <w:rPr>
                <w:rFonts w:ascii="Times New Roman" w:eastAsia="Times New Roman" w:hAnsi="Times New Roman"/>
                <w:sz w:val="24"/>
                <w:szCs w:val="24"/>
                <w:lang w:eastAsia="fr-FR"/>
              </w:rPr>
              <w:t>Total</w:t>
            </w:r>
          </w:p>
        </w:tc>
        <w:tc>
          <w:tcPr>
            <w:tcW w:w="1240" w:type="dxa"/>
            <w:noWrap/>
          </w:tcPr>
          <w:p w14:paraId="2FA4DDC4"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p>
        </w:tc>
        <w:tc>
          <w:tcPr>
            <w:tcW w:w="1601" w:type="dxa"/>
            <w:noWrap/>
          </w:tcPr>
          <w:p w14:paraId="62DC81BE"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hAnsi="Times New Roman"/>
                <w:color w:val="000000"/>
                <w:sz w:val="24"/>
                <w:szCs w:val="24"/>
              </w:rPr>
              <w:t>302 268 195</w:t>
            </w:r>
          </w:p>
        </w:tc>
        <w:tc>
          <w:tcPr>
            <w:tcW w:w="1843" w:type="dxa"/>
            <w:noWrap/>
          </w:tcPr>
          <w:p w14:paraId="406A322F"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hAnsi="Times New Roman"/>
                <w:color w:val="000000"/>
                <w:sz w:val="24"/>
                <w:szCs w:val="24"/>
              </w:rPr>
              <w:t>1 226 264 385</w:t>
            </w:r>
          </w:p>
        </w:tc>
        <w:tc>
          <w:tcPr>
            <w:tcW w:w="1846" w:type="dxa"/>
            <w:noWrap/>
          </w:tcPr>
          <w:p w14:paraId="45141EF3"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hAnsi="Times New Roman"/>
                <w:color w:val="000000"/>
                <w:sz w:val="24"/>
                <w:szCs w:val="24"/>
              </w:rPr>
              <w:t>1 528 532 580</w:t>
            </w:r>
          </w:p>
        </w:tc>
        <w:tc>
          <w:tcPr>
            <w:tcW w:w="1270" w:type="dxa"/>
            <w:noWrap/>
          </w:tcPr>
          <w:p w14:paraId="2FF41D01"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p>
        </w:tc>
      </w:tr>
    </w:tbl>
    <w:p w14:paraId="5FE16190" w14:textId="77777777" w:rsidR="00E54F1D" w:rsidRPr="00DA2B3E" w:rsidRDefault="00E54F1D" w:rsidP="00E54F1D">
      <w:pPr>
        <w:jc w:val="both"/>
        <w:rPr>
          <w:rFonts w:ascii="Times New Roman" w:hAnsi="Times New Roman"/>
          <w:sz w:val="16"/>
          <w:szCs w:val="16"/>
        </w:rPr>
      </w:pPr>
      <w:r w:rsidRPr="00DA2B3E">
        <w:rPr>
          <w:rFonts w:ascii="Times New Roman" w:hAnsi="Times New Roman"/>
          <w:sz w:val="16"/>
          <w:szCs w:val="16"/>
        </w:rPr>
        <w:t xml:space="preserve"> Source :   Statistiques Minières Exercice 2016 du Ministère des Mines 2016.   </w:t>
      </w:r>
    </w:p>
    <w:p w14:paraId="6468AAB3" w14:textId="77777777" w:rsidR="00E54F1D" w:rsidRPr="00FF7757" w:rsidRDefault="00E54F1D" w:rsidP="00E54F1D">
      <w:pPr>
        <w:jc w:val="both"/>
        <w:rPr>
          <w:rFonts w:ascii="Times New Roman" w:hAnsi="Times New Roman"/>
          <w:sz w:val="24"/>
          <w:szCs w:val="24"/>
        </w:rPr>
      </w:pPr>
      <w:r>
        <w:rPr>
          <w:rFonts w:ascii="Times New Roman" w:hAnsi="Times New Roman"/>
          <w:sz w:val="24"/>
          <w:szCs w:val="24"/>
        </w:rPr>
        <w:t>Il apparait que l</w:t>
      </w:r>
      <w:r w:rsidRPr="00FF7757">
        <w:rPr>
          <w:rFonts w:ascii="Times New Roman" w:hAnsi="Times New Roman"/>
          <w:sz w:val="24"/>
          <w:szCs w:val="24"/>
        </w:rPr>
        <w:t>es recettes d’exportation des produits d’origine artisanale représentent 19,77% de l’ensemble des recettes</w:t>
      </w:r>
      <w:r>
        <w:rPr>
          <w:rFonts w:ascii="Times New Roman" w:hAnsi="Times New Roman"/>
          <w:sz w:val="24"/>
          <w:szCs w:val="24"/>
        </w:rPr>
        <w:t xml:space="preserve"> des exportations</w:t>
      </w:r>
      <w:r w:rsidRPr="00FF7757">
        <w:rPr>
          <w:rFonts w:ascii="Times New Roman" w:hAnsi="Times New Roman"/>
          <w:sz w:val="24"/>
          <w:szCs w:val="24"/>
        </w:rPr>
        <w:t>. La différence, soit 80,23%, revient à l’or et le diamant de production industrielle dont une large part</w:t>
      </w:r>
      <w:r>
        <w:rPr>
          <w:rFonts w:ascii="Times New Roman" w:hAnsi="Times New Roman"/>
          <w:sz w:val="24"/>
          <w:szCs w:val="24"/>
        </w:rPr>
        <w:t xml:space="preserve"> est</w:t>
      </w:r>
      <w:r w:rsidRPr="00FF7757">
        <w:rPr>
          <w:rFonts w:ascii="Times New Roman" w:hAnsi="Times New Roman"/>
          <w:sz w:val="24"/>
          <w:szCs w:val="24"/>
        </w:rPr>
        <w:t xml:space="preserve"> couverte par l’or (79, 26%). </w:t>
      </w:r>
    </w:p>
    <w:p w14:paraId="634A2A25" w14:textId="77777777" w:rsidR="00E54F1D" w:rsidRDefault="00E54F1D" w:rsidP="00E54F1D">
      <w:pPr>
        <w:jc w:val="both"/>
        <w:rPr>
          <w:rFonts w:ascii="Times New Roman" w:hAnsi="Times New Roman"/>
          <w:sz w:val="24"/>
          <w:szCs w:val="24"/>
        </w:rPr>
      </w:pPr>
      <w:r w:rsidRPr="00FF7757">
        <w:rPr>
          <w:rFonts w:ascii="Times New Roman" w:hAnsi="Times New Roman"/>
          <w:sz w:val="24"/>
          <w:szCs w:val="24"/>
        </w:rPr>
        <w:t>Enfin, à titre illustratif de la contribution de ce secteur dans l’emploi, SAEMAP Maniema a renseigné les données suivantes sur le nombre d’acteurs</w:t>
      </w:r>
      <w:r>
        <w:rPr>
          <w:rFonts w:ascii="Times New Roman" w:hAnsi="Times New Roman"/>
          <w:sz w:val="24"/>
          <w:szCs w:val="24"/>
        </w:rPr>
        <w:t>,</w:t>
      </w:r>
      <w:r w:rsidRPr="00FF7757">
        <w:rPr>
          <w:rFonts w:ascii="Times New Roman" w:hAnsi="Times New Roman"/>
          <w:sz w:val="24"/>
          <w:szCs w:val="24"/>
        </w:rPr>
        <w:t xml:space="preserve"> ventilés par sexe ainsi que  les sites opérationnels :</w:t>
      </w:r>
    </w:p>
    <w:tbl>
      <w:tblPr>
        <w:tblStyle w:val="TableauGrille1Clair1"/>
        <w:tblW w:w="10371" w:type="dxa"/>
        <w:tblLayout w:type="fixed"/>
        <w:tblLook w:val="04A0" w:firstRow="1" w:lastRow="0" w:firstColumn="1" w:lastColumn="0" w:noHBand="0" w:noVBand="1"/>
      </w:tblPr>
      <w:tblGrid>
        <w:gridCol w:w="936"/>
        <w:gridCol w:w="902"/>
        <w:gridCol w:w="851"/>
        <w:gridCol w:w="1139"/>
        <w:gridCol w:w="987"/>
        <w:gridCol w:w="851"/>
        <w:gridCol w:w="567"/>
        <w:gridCol w:w="708"/>
        <w:gridCol w:w="1163"/>
        <w:gridCol w:w="850"/>
        <w:gridCol w:w="1417"/>
      </w:tblGrid>
      <w:tr w:rsidR="00E54F1D" w:rsidRPr="0017564B" w14:paraId="0BA8ED2B" w14:textId="77777777" w:rsidTr="00943F67">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689" w:type="dxa"/>
            <w:gridSpan w:val="3"/>
            <w:noWrap/>
            <w:vAlign w:val="center"/>
            <w:hideMark/>
          </w:tcPr>
          <w:p w14:paraId="2F3FAE53" w14:textId="77777777" w:rsidR="00E54F1D" w:rsidRPr="0017564B" w:rsidRDefault="00E54F1D" w:rsidP="00943F67">
            <w:pPr>
              <w:jc w:val="center"/>
              <w:rPr>
                <w:rFonts w:ascii="Times New Roman" w:eastAsia="Times New Roman" w:hAnsi="Times New Roman"/>
                <w:sz w:val="24"/>
                <w:szCs w:val="24"/>
                <w:lang w:eastAsia="fr-FR"/>
              </w:rPr>
            </w:pPr>
            <w:r w:rsidRPr="0017564B">
              <w:rPr>
                <w:rFonts w:ascii="Times New Roman" w:eastAsia="Times New Roman" w:hAnsi="Times New Roman"/>
                <w:sz w:val="24"/>
                <w:szCs w:val="24"/>
                <w:lang w:eastAsia="fr-FR"/>
              </w:rPr>
              <w:t>Nature des sites</w:t>
            </w:r>
          </w:p>
        </w:tc>
        <w:tc>
          <w:tcPr>
            <w:tcW w:w="2977" w:type="dxa"/>
            <w:gridSpan w:val="3"/>
            <w:noWrap/>
            <w:vAlign w:val="center"/>
            <w:hideMark/>
          </w:tcPr>
          <w:p w14:paraId="390F7AAC" w14:textId="77777777" w:rsidR="00E54F1D" w:rsidRPr="0017564B" w:rsidRDefault="00E54F1D" w:rsidP="00943F6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fr-FR"/>
              </w:rPr>
            </w:pPr>
            <w:r w:rsidRPr="0017564B">
              <w:rPr>
                <w:rFonts w:ascii="Times New Roman" w:eastAsia="Times New Roman" w:hAnsi="Times New Roman"/>
                <w:sz w:val="24"/>
                <w:szCs w:val="24"/>
                <w:lang w:eastAsia="fr-FR"/>
              </w:rPr>
              <w:t>Nombre d'artisanaux</w:t>
            </w:r>
          </w:p>
        </w:tc>
        <w:tc>
          <w:tcPr>
            <w:tcW w:w="3288" w:type="dxa"/>
            <w:gridSpan w:val="4"/>
            <w:noWrap/>
            <w:vAlign w:val="center"/>
            <w:hideMark/>
          </w:tcPr>
          <w:p w14:paraId="21E1EE21" w14:textId="77777777" w:rsidR="00E54F1D" w:rsidRPr="0017564B" w:rsidRDefault="00E54F1D" w:rsidP="00943F6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fr-FR"/>
              </w:rPr>
            </w:pPr>
            <w:r w:rsidRPr="0017564B">
              <w:rPr>
                <w:rFonts w:ascii="Times New Roman" w:eastAsia="Times New Roman" w:hAnsi="Times New Roman"/>
                <w:sz w:val="24"/>
                <w:szCs w:val="24"/>
                <w:lang w:eastAsia="fr-FR"/>
              </w:rPr>
              <w:t>Nombre de négociants</w:t>
            </w:r>
          </w:p>
        </w:tc>
        <w:tc>
          <w:tcPr>
            <w:tcW w:w="1417" w:type="dxa"/>
            <w:vMerge w:val="restart"/>
            <w:vAlign w:val="center"/>
            <w:hideMark/>
          </w:tcPr>
          <w:p w14:paraId="73793310" w14:textId="77777777" w:rsidR="00E54F1D" w:rsidRPr="0017564B" w:rsidRDefault="00E54F1D" w:rsidP="00943F6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fr-FR"/>
              </w:rPr>
            </w:pPr>
            <w:r w:rsidRPr="0017564B">
              <w:rPr>
                <w:rFonts w:ascii="Times New Roman" w:eastAsia="Times New Roman" w:hAnsi="Times New Roman"/>
                <w:sz w:val="24"/>
                <w:szCs w:val="24"/>
                <w:lang w:eastAsia="fr-FR"/>
              </w:rPr>
              <w:t>Total opérateurs</w:t>
            </w:r>
          </w:p>
        </w:tc>
      </w:tr>
      <w:tr w:rsidR="00943F67" w:rsidRPr="00943F67" w14:paraId="15E0876B" w14:textId="77777777" w:rsidTr="00943F67">
        <w:trPr>
          <w:trHeight w:val="516"/>
        </w:trPr>
        <w:tc>
          <w:tcPr>
            <w:cnfStyle w:val="001000000000" w:firstRow="0" w:lastRow="0" w:firstColumn="1" w:lastColumn="0" w:oddVBand="0" w:evenVBand="0" w:oddHBand="0" w:evenHBand="0" w:firstRowFirstColumn="0" w:firstRowLastColumn="0" w:lastRowFirstColumn="0" w:lastRowLastColumn="0"/>
            <w:tcW w:w="936" w:type="dxa"/>
            <w:noWrap/>
            <w:hideMark/>
          </w:tcPr>
          <w:p w14:paraId="6A9F43F0" w14:textId="77777777" w:rsidR="00E54F1D" w:rsidRPr="00943F67" w:rsidRDefault="00E54F1D" w:rsidP="00F000B0">
            <w:pPr>
              <w:jc w:val="center"/>
              <w:rPr>
                <w:rFonts w:ascii="Times New Roman" w:eastAsia="Times New Roman" w:hAnsi="Times New Roman"/>
                <w:b w:val="0"/>
                <w:color w:val="3B3838" w:themeColor="background2" w:themeShade="40"/>
                <w:sz w:val="24"/>
                <w:szCs w:val="24"/>
                <w:lang w:eastAsia="fr-FR"/>
              </w:rPr>
            </w:pPr>
            <w:r w:rsidRPr="00943F67">
              <w:rPr>
                <w:rFonts w:ascii="Times New Roman" w:eastAsia="Times New Roman" w:hAnsi="Times New Roman"/>
                <w:b w:val="0"/>
                <w:color w:val="3B3838" w:themeColor="background2" w:themeShade="40"/>
                <w:sz w:val="24"/>
                <w:szCs w:val="24"/>
                <w:lang w:eastAsia="fr-FR"/>
              </w:rPr>
              <w:t>Sites validés</w:t>
            </w:r>
          </w:p>
        </w:tc>
        <w:tc>
          <w:tcPr>
            <w:tcW w:w="902" w:type="dxa"/>
            <w:hideMark/>
          </w:tcPr>
          <w:p w14:paraId="7AFE4CAA" w14:textId="77777777" w:rsidR="00E54F1D" w:rsidRPr="00943F6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B3838" w:themeColor="background2" w:themeShade="40"/>
                <w:sz w:val="24"/>
                <w:szCs w:val="24"/>
                <w:lang w:eastAsia="fr-FR"/>
              </w:rPr>
            </w:pPr>
            <w:r w:rsidRPr="00943F67">
              <w:rPr>
                <w:rFonts w:ascii="Times New Roman" w:eastAsia="Times New Roman" w:hAnsi="Times New Roman"/>
                <w:color w:val="3B3838" w:themeColor="background2" w:themeShade="40"/>
                <w:sz w:val="24"/>
                <w:szCs w:val="24"/>
                <w:lang w:eastAsia="fr-FR"/>
              </w:rPr>
              <w:t>Sites non validés</w:t>
            </w:r>
          </w:p>
        </w:tc>
        <w:tc>
          <w:tcPr>
            <w:tcW w:w="851" w:type="dxa"/>
            <w:noWrap/>
            <w:hideMark/>
          </w:tcPr>
          <w:p w14:paraId="08D006FA" w14:textId="77777777" w:rsidR="00E54F1D" w:rsidRPr="00943F6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B3838" w:themeColor="background2" w:themeShade="40"/>
                <w:sz w:val="24"/>
                <w:szCs w:val="24"/>
                <w:lang w:eastAsia="fr-FR"/>
              </w:rPr>
            </w:pPr>
            <w:r w:rsidRPr="00943F67">
              <w:rPr>
                <w:rFonts w:ascii="Times New Roman" w:eastAsia="Times New Roman" w:hAnsi="Times New Roman"/>
                <w:color w:val="3B3838" w:themeColor="background2" w:themeShade="40"/>
                <w:sz w:val="24"/>
                <w:szCs w:val="24"/>
                <w:lang w:eastAsia="fr-FR"/>
              </w:rPr>
              <w:t>Total sites</w:t>
            </w:r>
          </w:p>
        </w:tc>
        <w:tc>
          <w:tcPr>
            <w:tcW w:w="1139" w:type="dxa"/>
            <w:noWrap/>
            <w:hideMark/>
          </w:tcPr>
          <w:p w14:paraId="2FA869FB" w14:textId="77777777" w:rsidR="00E54F1D" w:rsidRPr="00943F6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B3838" w:themeColor="background2" w:themeShade="40"/>
                <w:sz w:val="24"/>
                <w:szCs w:val="24"/>
                <w:lang w:eastAsia="fr-FR"/>
              </w:rPr>
            </w:pPr>
            <w:r w:rsidRPr="00943F67">
              <w:rPr>
                <w:rFonts w:ascii="Times New Roman" w:eastAsia="Times New Roman" w:hAnsi="Times New Roman"/>
                <w:color w:val="3B3838" w:themeColor="background2" w:themeShade="40"/>
                <w:sz w:val="24"/>
                <w:szCs w:val="24"/>
                <w:lang w:eastAsia="fr-FR"/>
              </w:rPr>
              <w:t>Homme</w:t>
            </w:r>
          </w:p>
        </w:tc>
        <w:tc>
          <w:tcPr>
            <w:tcW w:w="987" w:type="dxa"/>
            <w:noWrap/>
            <w:hideMark/>
          </w:tcPr>
          <w:p w14:paraId="6AF68EC2" w14:textId="77777777" w:rsidR="00E54F1D" w:rsidRPr="00943F6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B3838" w:themeColor="background2" w:themeShade="40"/>
                <w:sz w:val="24"/>
                <w:szCs w:val="24"/>
                <w:lang w:eastAsia="fr-FR"/>
              </w:rPr>
            </w:pPr>
            <w:r w:rsidRPr="00943F67">
              <w:rPr>
                <w:rFonts w:ascii="Times New Roman" w:eastAsia="Times New Roman" w:hAnsi="Times New Roman"/>
                <w:color w:val="3B3838" w:themeColor="background2" w:themeShade="40"/>
                <w:sz w:val="24"/>
                <w:szCs w:val="24"/>
                <w:lang w:eastAsia="fr-FR"/>
              </w:rPr>
              <w:t>Femme</w:t>
            </w:r>
          </w:p>
        </w:tc>
        <w:tc>
          <w:tcPr>
            <w:tcW w:w="851" w:type="dxa"/>
            <w:hideMark/>
          </w:tcPr>
          <w:p w14:paraId="0FCF9ABF" w14:textId="77777777" w:rsidR="00E54F1D" w:rsidRPr="00943F6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B3838" w:themeColor="background2" w:themeShade="40"/>
                <w:sz w:val="24"/>
                <w:szCs w:val="24"/>
                <w:lang w:eastAsia="fr-FR"/>
              </w:rPr>
            </w:pPr>
            <w:r w:rsidRPr="00943F67">
              <w:rPr>
                <w:rFonts w:ascii="Times New Roman" w:eastAsia="Times New Roman" w:hAnsi="Times New Roman"/>
                <w:color w:val="3B3838" w:themeColor="background2" w:themeShade="40"/>
                <w:sz w:val="24"/>
                <w:szCs w:val="24"/>
                <w:lang w:eastAsia="fr-FR"/>
              </w:rPr>
              <w:t>Total</w:t>
            </w:r>
          </w:p>
        </w:tc>
        <w:tc>
          <w:tcPr>
            <w:tcW w:w="567" w:type="dxa"/>
            <w:noWrap/>
            <w:hideMark/>
          </w:tcPr>
          <w:p w14:paraId="2A704504" w14:textId="77777777" w:rsidR="00E54F1D" w:rsidRPr="00943F6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B3838" w:themeColor="background2" w:themeShade="40"/>
                <w:sz w:val="24"/>
                <w:szCs w:val="24"/>
                <w:lang w:eastAsia="fr-FR"/>
              </w:rPr>
            </w:pPr>
            <w:r w:rsidRPr="00943F67">
              <w:rPr>
                <w:rFonts w:ascii="Times New Roman" w:eastAsia="Times New Roman" w:hAnsi="Times New Roman"/>
                <w:color w:val="3B3838" w:themeColor="background2" w:themeShade="40"/>
                <w:sz w:val="24"/>
                <w:szCs w:val="24"/>
                <w:lang w:eastAsia="fr-FR"/>
              </w:rPr>
              <w:t>Or</w:t>
            </w:r>
          </w:p>
        </w:tc>
        <w:tc>
          <w:tcPr>
            <w:tcW w:w="708" w:type="dxa"/>
            <w:noWrap/>
            <w:hideMark/>
          </w:tcPr>
          <w:p w14:paraId="301463B3" w14:textId="77777777" w:rsidR="00E54F1D" w:rsidRPr="00943F6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B3838" w:themeColor="background2" w:themeShade="40"/>
                <w:sz w:val="24"/>
                <w:szCs w:val="24"/>
                <w:lang w:eastAsia="fr-FR"/>
              </w:rPr>
            </w:pPr>
            <w:r w:rsidRPr="00943F67">
              <w:rPr>
                <w:rFonts w:ascii="Times New Roman" w:eastAsia="Times New Roman" w:hAnsi="Times New Roman"/>
                <w:color w:val="3B3838" w:themeColor="background2" w:themeShade="40"/>
                <w:sz w:val="24"/>
                <w:szCs w:val="24"/>
                <w:lang w:eastAsia="fr-FR"/>
              </w:rPr>
              <w:t>3T</w:t>
            </w:r>
          </w:p>
        </w:tc>
        <w:tc>
          <w:tcPr>
            <w:tcW w:w="1163" w:type="dxa"/>
            <w:noWrap/>
            <w:hideMark/>
          </w:tcPr>
          <w:p w14:paraId="19419B2D" w14:textId="77777777" w:rsidR="00E54F1D" w:rsidRPr="00943F6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B3838" w:themeColor="background2" w:themeShade="40"/>
                <w:sz w:val="24"/>
                <w:szCs w:val="24"/>
                <w:lang w:eastAsia="fr-FR"/>
              </w:rPr>
            </w:pPr>
            <w:r w:rsidRPr="00943F67">
              <w:rPr>
                <w:rFonts w:ascii="Times New Roman" w:eastAsia="Times New Roman" w:hAnsi="Times New Roman"/>
                <w:color w:val="3B3838" w:themeColor="background2" w:themeShade="40"/>
                <w:sz w:val="24"/>
                <w:szCs w:val="24"/>
                <w:lang w:eastAsia="fr-FR"/>
              </w:rPr>
              <w:t>Diamant</w:t>
            </w:r>
          </w:p>
        </w:tc>
        <w:tc>
          <w:tcPr>
            <w:tcW w:w="850" w:type="dxa"/>
            <w:hideMark/>
          </w:tcPr>
          <w:p w14:paraId="04EADC53" w14:textId="77777777" w:rsidR="00E54F1D" w:rsidRPr="00943F6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B3838" w:themeColor="background2" w:themeShade="40"/>
                <w:sz w:val="24"/>
                <w:szCs w:val="24"/>
                <w:lang w:eastAsia="fr-FR"/>
              </w:rPr>
            </w:pPr>
            <w:r w:rsidRPr="00943F67">
              <w:rPr>
                <w:rFonts w:ascii="Times New Roman" w:eastAsia="Times New Roman" w:hAnsi="Times New Roman"/>
                <w:color w:val="3B3838" w:themeColor="background2" w:themeShade="40"/>
                <w:sz w:val="24"/>
                <w:szCs w:val="24"/>
                <w:lang w:eastAsia="fr-FR"/>
              </w:rPr>
              <w:t>Total</w:t>
            </w:r>
          </w:p>
        </w:tc>
        <w:tc>
          <w:tcPr>
            <w:tcW w:w="1417" w:type="dxa"/>
            <w:vMerge/>
            <w:hideMark/>
          </w:tcPr>
          <w:p w14:paraId="411320DD" w14:textId="77777777" w:rsidR="00E54F1D" w:rsidRPr="00943F67" w:rsidRDefault="00E54F1D"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B3838" w:themeColor="background2" w:themeShade="40"/>
                <w:sz w:val="24"/>
                <w:szCs w:val="24"/>
                <w:lang w:eastAsia="fr-FR"/>
              </w:rPr>
            </w:pPr>
          </w:p>
        </w:tc>
      </w:tr>
      <w:tr w:rsidR="00E54F1D" w:rsidRPr="00FF7757" w14:paraId="07C6B230"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936" w:type="dxa"/>
            <w:noWrap/>
            <w:hideMark/>
          </w:tcPr>
          <w:p w14:paraId="61B7D223" w14:textId="77777777" w:rsidR="00E54F1D" w:rsidRPr="00FF7757" w:rsidRDefault="00E54F1D" w:rsidP="00F000B0">
            <w:pPr>
              <w:jc w:val="center"/>
              <w:rPr>
                <w:rFonts w:ascii="Times New Roman" w:eastAsia="Times New Roman" w:hAnsi="Times New Roman"/>
                <w:b w:val="0"/>
                <w:color w:val="000000"/>
                <w:sz w:val="24"/>
                <w:szCs w:val="24"/>
                <w:lang w:eastAsia="fr-FR"/>
              </w:rPr>
            </w:pPr>
            <w:r w:rsidRPr="00FF7757">
              <w:rPr>
                <w:rFonts w:ascii="Times New Roman" w:eastAsia="Times New Roman" w:hAnsi="Times New Roman"/>
                <w:b w:val="0"/>
                <w:color w:val="000000"/>
                <w:sz w:val="24"/>
                <w:szCs w:val="24"/>
                <w:lang w:eastAsia="fr-FR"/>
              </w:rPr>
              <w:t>50</w:t>
            </w:r>
          </w:p>
        </w:tc>
        <w:tc>
          <w:tcPr>
            <w:tcW w:w="902" w:type="dxa"/>
            <w:noWrap/>
            <w:hideMark/>
          </w:tcPr>
          <w:p w14:paraId="64056061" w14:textId="77777777" w:rsidR="00E54F1D" w:rsidRPr="00FF775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263</w:t>
            </w:r>
          </w:p>
        </w:tc>
        <w:tc>
          <w:tcPr>
            <w:tcW w:w="851" w:type="dxa"/>
            <w:noWrap/>
            <w:hideMark/>
          </w:tcPr>
          <w:p w14:paraId="3D4F5702" w14:textId="77777777" w:rsidR="00E54F1D" w:rsidRPr="00FF775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313</w:t>
            </w:r>
          </w:p>
        </w:tc>
        <w:tc>
          <w:tcPr>
            <w:tcW w:w="1139" w:type="dxa"/>
            <w:noWrap/>
            <w:hideMark/>
          </w:tcPr>
          <w:p w14:paraId="27C9C58A" w14:textId="77777777" w:rsidR="00E54F1D" w:rsidRPr="00FF775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28933</w:t>
            </w:r>
          </w:p>
        </w:tc>
        <w:tc>
          <w:tcPr>
            <w:tcW w:w="987" w:type="dxa"/>
            <w:noWrap/>
            <w:hideMark/>
          </w:tcPr>
          <w:p w14:paraId="02AC027F" w14:textId="77777777" w:rsidR="00E54F1D" w:rsidRPr="00FF775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3108</w:t>
            </w:r>
          </w:p>
        </w:tc>
        <w:tc>
          <w:tcPr>
            <w:tcW w:w="851" w:type="dxa"/>
            <w:noWrap/>
            <w:hideMark/>
          </w:tcPr>
          <w:p w14:paraId="1BE880EE" w14:textId="77777777" w:rsidR="00E54F1D" w:rsidRPr="00FF775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32041</w:t>
            </w:r>
          </w:p>
        </w:tc>
        <w:tc>
          <w:tcPr>
            <w:tcW w:w="567" w:type="dxa"/>
            <w:noWrap/>
            <w:hideMark/>
          </w:tcPr>
          <w:p w14:paraId="41A6E62E" w14:textId="77777777" w:rsidR="00E54F1D" w:rsidRPr="00FF775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92</w:t>
            </w:r>
          </w:p>
        </w:tc>
        <w:tc>
          <w:tcPr>
            <w:tcW w:w="708" w:type="dxa"/>
            <w:noWrap/>
            <w:hideMark/>
          </w:tcPr>
          <w:p w14:paraId="3AD95AA3" w14:textId="77777777" w:rsidR="00E54F1D" w:rsidRPr="00FF775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160</w:t>
            </w:r>
          </w:p>
        </w:tc>
        <w:tc>
          <w:tcPr>
            <w:tcW w:w="1163" w:type="dxa"/>
            <w:noWrap/>
            <w:hideMark/>
          </w:tcPr>
          <w:p w14:paraId="3F76F695" w14:textId="77777777" w:rsidR="00E54F1D" w:rsidRPr="00FF775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11</w:t>
            </w:r>
          </w:p>
        </w:tc>
        <w:tc>
          <w:tcPr>
            <w:tcW w:w="850" w:type="dxa"/>
            <w:noWrap/>
            <w:hideMark/>
          </w:tcPr>
          <w:p w14:paraId="51DE8406" w14:textId="77777777" w:rsidR="00E54F1D" w:rsidRPr="00FF775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263</w:t>
            </w:r>
          </w:p>
        </w:tc>
        <w:tc>
          <w:tcPr>
            <w:tcW w:w="1417" w:type="dxa"/>
            <w:noWrap/>
            <w:hideMark/>
          </w:tcPr>
          <w:p w14:paraId="607BC879"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32304</w:t>
            </w:r>
          </w:p>
        </w:tc>
      </w:tr>
    </w:tbl>
    <w:p w14:paraId="6CAE81F3" w14:textId="77777777" w:rsidR="00E54F1D" w:rsidRPr="0017564B" w:rsidRDefault="00E54F1D" w:rsidP="00E54F1D">
      <w:pPr>
        <w:jc w:val="both"/>
        <w:rPr>
          <w:rFonts w:ascii="Times New Roman" w:hAnsi="Times New Roman"/>
          <w:sz w:val="16"/>
          <w:szCs w:val="16"/>
        </w:rPr>
      </w:pPr>
      <w:r w:rsidRPr="0017564B">
        <w:rPr>
          <w:rFonts w:ascii="Times New Roman" w:hAnsi="Times New Roman"/>
          <w:sz w:val="16"/>
          <w:szCs w:val="16"/>
        </w:rPr>
        <w:t>Source : Statistiques SAEMAP, Direction provinciale du Maniema</w:t>
      </w:r>
    </w:p>
    <w:p w14:paraId="5D8B8309" w14:textId="77777777" w:rsidR="00F000B0" w:rsidRPr="008E2D55" w:rsidRDefault="00F000B0" w:rsidP="000668F9">
      <w:pPr>
        <w:pStyle w:val="Titre1"/>
        <w:numPr>
          <w:ilvl w:val="0"/>
          <w:numId w:val="4"/>
        </w:numPr>
        <w:ind w:left="426" w:hanging="425"/>
        <w:rPr>
          <w:rFonts w:ascii="Times New Roman" w:hAnsi="Times New Roman" w:cs="Times New Roman"/>
          <w:sz w:val="28"/>
          <w:szCs w:val="28"/>
        </w:rPr>
      </w:pPr>
      <w:bookmarkStart w:id="180" w:name="_Toc518468101"/>
      <w:r w:rsidRPr="008E2D55">
        <w:rPr>
          <w:rFonts w:ascii="Times New Roman" w:hAnsi="Times New Roman" w:cs="Times New Roman"/>
          <w:sz w:val="28"/>
          <w:szCs w:val="28"/>
        </w:rPr>
        <w:lastRenderedPageBreak/>
        <w:t>PARTICIPATION DE L’ETAT ET SITUATION SPECIFIQUE DES  EPE</w:t>
      </w:r>
      <w:bookmarkEnd w:id="180"/>
    </w:p>
    <w:p w14:paraId="4C2EE0A9" w14:textId="27A13DD0" w:rsidR="00F000B0" w:rsidRPr="00943F67" w:rsidRDefault="00553B37" w:rsidP="000738D3">
      <w:pPr>
        <w:pStyle w:val="Titre2"/>
        <w:numPr>
          <w:ilvl w:val="0"/>
          <w:numId w:val="54"/>
        </w:numPr>
        <w:jc w:val="center"/>
        <w:rPr>
          <w:rFonts w:ascii="Times New Roman" w:hAnsi="Times New Roman" w:cs="Times New Roman"/>
          <w:color w:val="3B3838" w:themeColor="background2" w:themeShade="40"/>
          <w:sz w:val="24"/>
          <w:szCs w:val="24"/>
        </w:rPr>
      </w:pPr>
      <w:bookmarkStart w:id="181" w:name="_Toc518468102"/>
      <w:r w:rsidRPr="00943F67">
        <w:rPr>
          <w:rFonts w:ascii="Times New Roman" w:hAnsi="Times New Roman" w:cs="Times New Roman"/>
          <w:caps w:val="0"/>
          <w:color w:val="3B3838" w:themeColor="background2" w:themeShade="40"/>
          <w:sz w:val="28"/>
          <w:szCs w:val="28"/>
        </w:rPr>
        <w:t>Considérations générales sur la participation de l’</w:t>
      </w:r>
      <w:r>
        <w:rPr>
          <w:rFonts w:ascii="Times New Roman" w:hAnsi="Times New Roman" w:cs="Times New Roman"/>
          <w:caps w:val="0"/>
          <w:color w:val="3B3838" w:themeColor="background2" w:themeShade="40"/>
          <w:sz w:val="28"/>
          <w:szCs w:val="28"/>
        </w:rPr>
        <w:t>E</w:t>
      </w:r>
      <w:r w:rsidRPr="00943F67">
        <w:rPr>
          <w:rFonts w:ascii="Times New Roman" w:hAnsi="Times New Roman" w:cs="Times New Roman"/>
          <w:caps w:val="0"/>
          <w:color w:val="3B3838" w:themeColor="background2" w:themeShade="40"/>
          <w:sz w:val="28"/>
          <w:szCs w:val="28"/>
        </w:rPr>
        <w:t>tat dans les industries extractives</w:t>
      </w:r>
      <w:r w:rsidRPr="00943F67">
        <w:rPr>
          <w:rFonts w:ascii="Times New Roman" w:hAnsi="Times New Roman" w:cs="Times New Roman"/>
          <w:caps w:val="0"/>
          <w:color w:val="3B3838" w:themeColor="background2" w:themeShade="40"/>
          <w:sz w:val="24"/>
          <w:szCs w:val="24"/>
        </w:rPr>
        <w:t>.</w:t>
      </w:r>
      <w:bookmarkEnd w:id="181"/>
    </w:p>
    <w:p w14:paraId="3D6D9EEB" w14:textId="6D03F61D" w:rsidR="00F000B0" w:rsidRPr="00BC7A6E" w:rsidRDefault="000668F9" w:rsidP="00943F67">
      <w:pPr>
        <w:pStyle w:val="Titre3"/>
        <w:keepNext w:val="0"/>
        <w:keepLines w:val="0"/>
        <w:ind w:left="1134" w:hanging="850"/>
        <w:contextualSpacing w:val="0"/>
        <w:jc w:val="both"/>
        <w:rPr>
          <w:rFonts w:ascii="Times New Roman" w:hAnsi="Times New Roman" w:cs="Times New Roman"/>
          <w:sz w:val="24"/>
          <w:szCs w:val="24"/>
        </w:rPr>
      </w:pPr>
      <w:bookmarkStart w:id="182" w:name="_Toc518468103"/>
      <w:r>
        <w:rPr>
          <w:rFonts w:ascii="Times New Roman" w:hAnsi="Times New Roman" w:cs="Times New Roman"/>
          <w:sz w:val="24"/>
          <w:szCs w:val="24"/>
        </w:rPr>
        <w:t>IX</w:t>
      </w:r>
      <w:r w:rsidR="008E2D55" w:rsidRPr="00BC7A6E">
        <w:rPr>
          <w:rFonts w:ascii="Times New Roman" w:hAnsi="Times New Roman" w:cs="Times New Roman"/>
          <w:sz w:val="24"/>
          <w:szCs w:val="24"/>
        </w:rPr>
        <w:t xml:space="preserve">.1. </w:t>
      </w:r>
      <w:r w:rsidR="00BC7A6E" w:rsidRPr="00BC7A6E">
        <w:rPr>
          <w:rFonts w:ascii="Times New Roman" w:hAnsi="Times New Roman" w:cs="Times New Roman"/>
          <w:sz w:val="24"/>
          <w:szCs w:val="24"/>
        </w:rPr>
        <w:t>De la définition de l’e</w:t>
      </w:r>
      <w:r w:rsidR="00BC7A6E">
        <w:rPr>
          <w:rFonts w:ascii="Times New Roman" w:hAnsi="Times New Roman" w:cs="Times New Roman"/>
          <w:sz w:val="24"/>
          <w:szCs w:val="24"/>
        </w:rPr>
        <w:t>ntreprise du portefeuille de l’E</w:t>
      </w:r>
      <w:r w:rsidR="00BC7A6E" w:rsidRPr="00BC7A6E">
        <w:rPr>
          <w:rFonts w:ascii="Times New Roman" w:hAnsi="Times New Roman" w:cs="Times New Roman"/>
          <w:sz w:val="24"/>
          <w:szCs w:val="24"/>
        </w:rPr>
        <w:t>tat</w:t>
      </w:r>
      <w:bookmarkEnd w:id="182"/>
    </w:p>
    <w:p w14:paraId="317669F3" w14:textId="77777777" w:rsidR="00F000B0" w:rsidRPr="00AA5351" w:rsidRDefault="00F000B0" w:rsidP="00F000B0">
      <w:pPr>
        <w:ind w:left="284"/>
        <w:jc w:val="both"/>
        <w:rPr>
          <w:rFonts w:ascii="Times New Roman" w:hAnsi="Times New Roman"/>
          <w:sz w:val="24"/>
          <w:szCs w:val="24"/>
        </w:rPr>
      </w:pPr>
      <w:r w:rsidRPr="00AA5351">
        <w:rPr>
          <w:rFonts w:ascii="Times New Roman" w:hAnsi="Times New Roman"/>
          <w:sz w:val="24"/>
          <w:szCs w:val="24"/>
        </w:rPr>
        <w:t>La Loi n° 08/010 du 07 juillet 2008 fixant les règles relatives à l’organisation et à la gestion du portefeuille de l’Etat, précise en son article 2 qu’une entreprise publique est « toute entreprise du portefeuille de l’Etat dans laquelle l’Etat ou toute autre personne morale de droit public détient la totalité ou la majorité absolue du capital social »</w:t>
      </w:r>
      <w:r>
        <w:rPr>
          <w:rFonts w:ascii="Times New Roman" w:hAnsi="Times New Roman"/>
          <w:sz w:val="24"/>
          <w:szCs w:val="24"/>
        </w:rPr>
        <w:t xml:space="preserve">. </w:t>
      </w:r>
    </w:p>
    <w:p w14:paraId="26CB5B2E" w14:textId="77777777" w:rsidR="00F000B0" w:rsidRDefault="00F000B0" w:rsidP="00F000B0">
      <w:pPr>
        <w:ind w:left="284"/>
        <w:jc w:val="both"/>
        <w:rPr>
          <w:rFonts w:ascii="Times New Roman" w:hAnsi="Times New Roman"/>
          <w:sz w:val="24"/>
          <w:szCs w:val="24"/>
        </w:rPr>
      </w:pPr>
      <w:r w:rsidRPr="00AA5351">
        <w:rPr>
          <w:rFonts w:ascii="Times New Roman" w:hAnsi="Times New Roman"/>
          <w:sz w:val="24"/>
          <w:szCs w:val="24"/>
        </w:rPr>
        <w:t>Le même article définit une entreprise du portefeuille de l’Etat comme « toute société dans laquelle l’Etat ou toute autre personne morale de droit public détient la totalité du capital social ou une participation ».</w:t>
      </w:r>
    </w:p>
    <w:p w14:paraId="6275CDA0" w14:textId="77777777" w:rsidR="00F000B0" w:rsidRPr="001D0011" w:rsidRDefault="00F000B0" w:rsidP="00F000B0">
      <w:pPr>
        <w:ind w:left="284"/>
        <w:jc w:val="both"/>
        <w:rPr>
          <w:rFonts w:ascii="Times New Roman" w:hAnsi="Times New Roman"/>
          <w:sz w:val="24"/>
          <w:szCs w:val="24"/>
        </w:rPr>
      </w:pPr>
      <w:r w:rsidRPr="001D0011">
        <w:rPr>
          <w:rFonts w:ascii="Times New Roman" w:hAnsi="Times New Roman"/>
          <w:sz w:val="24"/>
          <w:szCs w:val="24"/>
        </w:rPr>
        <w:t xml:space="preserve">Enfin, ce même article  en son alinéa c.1 définit l’Etat comme  </w:t>
      </w:r>
      <w:r w:rsidRPr="00B072C9">
        <w:rPr>
          <w:rFonts w:ascii="Times New Roman" w:hAnsi="Times New Roman"/>
          <w:sz w:val="24"/>
          <w:szCs w:val="24"/>
        </w:rPr>
        <w:t>« </w:t>
      </w:r>
      <w:r w:rsidRPr="00B072C9">
        <w:rPr>
          <w:rFonts w:ascii="Times New Roman" w:hAnsi="Times New Roman"/>
          <w:color w:val="000000"/>
          <w:sz w:val="24"/>
          <w:szCs w:val="24"/>
        </w:rPr>
        <w:t>Etat-agent économique, dans sa forme globale comprenant le pouvoir central, la province et l’entité territoriale décentralisée, détenteur des titres, actions ou parts sociales.</w:t>
      </w:r>
      <w:r w:rsidRPr="00B072C9">
        <w:rPr>
          <w:rFonts w:ascii="Times New Roman" w:hAnsi="Times New Roman"/>
          <w:sz w:val="24"/>
          <w:szCs w:val="24"/>
        </w:rPr>
        <w:t> ».</w:t>
      </w:r>
    </w:p>
    <w:p w14:paraId="5C5E4BC4" w14:textId="77777777" w:rsidR="00F000B0" w:rsidRPr="00AA5351" w:rsidRDefault="00F000B0" w:rsidP="00F000B0">
      <w:pPr>
        <w:ind w:left="284"/>
        <w:jc w:val="both"/>
        <w:rPr>
          <w:rFonts w:ascii="Times New Roman" w:hAnsi="Times New Roman"/>
          <w:sz w:val="24"/>
          <w:szCs w:val="24"/>
        </w:rPr>
      </w:pPr>
      <w:r w:rsidRPr="00AA5351">
        <w:rPr>
          <w:rFonts w:ascii="Times New Roman" w:hAnsi="Times New Roman"/>
          <w:sz w:val="24"/>
          <w:szCs w:val="24"/>
        </w:rPr>
        <w:t>Ces dispositions sont en phase avec la Norme ITIE en son exigence 2.6 a) qui définit l’entreprise d’Etat comme étant « une entreprise qui est détenue exclusivement ou majoritairement par le Gouvernement</w:t>
      </w:r>
      <w:r>
        <w:rPr>
          <w:rFonts w:ascii="Times New Roman" w:hAnsi="Times New Roman"/>
          <w:sz w:val="24"/>
          <w:szCs w:val="24"/>
        </w:rPr>
        <w:t>, et qui est engagée dans des activités extractives pour le compte du gouvernement</w:t>
      </w:r>
      <w:r w:rsidRPr="00AA5351">
        <w:rPr>
          <w:rFonts w:ascii="Times New Roman" w:hAnsi="Times New Roman"/>
          <w:sz w:val="24"/>
          <w:szCs w:val="24"/>
        </w:rPr>
        <w:t>»</w:t>
      </w:r>
      <w:r>
        <w:rPr>
          <w:rFonts w:ascii="Times New Roman" w:hAnsi="Times New Roman"/>
          <w:sz w:val="24"/>
          <w:szCs w:val="24"/>
        </w:rPr>
        <w:t xml:space="preserve">. </w:t>
      </w:r>
      <w:r w:rsidRPr="00AA5351">
        <w:rPr>
          <w:rFonts w:ascii="Times New Roman" w:hAnsi="Times New Roman"/>
          <w:sz w:val="24"/>
          <w:szCs w:val="24"/>
        </w:rPr>
        <w:t xml:space="preserve">  </w:t>
      </w:r>
    </w:p>
    <w:p w14:paraId="288D7379" w14:textId="77777777" w:rsidR="00F000B0" w:rsidRPr="00AA5351" w:rsidRDefault="00F000B0" w:rsidP="00F000B0">
      <w:pPr>
        <w:ind w:left="284"/>
        <w:jc w:val="both"/>
        <w:rPr>
          <w:rFonts w:ascii="Times New Roman" w:hAnsi="Times New Roman"/>
          <w:sz w:val="24"/>
          <w:szCs w:val="24"/>
        </w:rPr>
      </w:pPr>
      <w:r w:rsidRPr="00AA5351">
        <w:rPr>
          <w:rFonts w:ascii="Times New Roman" w:hAnsi="Times New Roman"/>
          <w:sz w:val="24"/>
          <w:szCs w:val="24"/>
        </w:rPr>
        <w:t xml:space="preserve"> Sur ces bases, neuf EPE extractives ont été retenues dans le périmètre ITIE 2016.  </w:t>
      </w:r>
    </w:p>
    <w:p w14:paraId="5593B78E" w14:textId="75470817" w:rsidR="00F000B0" w:rsidRPr="00AA5351" w:rsidRDefault="00F000B0" w:rsidP="00F000B0">
      <w:pPr>
        <w:ind w:left="284"/>
        <w:jc w:val="both"/>
        <w:rPr>
          <w:rFonts w:ascii="Times New Roman" w:hAnsi="Times New Roman"/>
          <w:sz w:val="24"/>
          <w:szCs w:val="24"/>
        </w:rPr>
      </w:pPr>
      <w:r w:rsidRPr="00AA5351">
        <w:rPr>
          <w:rFonts w:ascii="Times New Roman" w:hAnsi="Times New Roman"/>
          <w:sz w:val="24"/>
          <w:szCs w:val="24"/>
        </w:rPr>
        <w:t xml:space="preserve"> Il s’agit de GECAMINES, SODIMICO, SCMK-Mn, COMINIERE, SAKIMA, SOKIMO, MIBA et SACIM pour le secteur minier et de SONAH</w:t>
      </w:r>
      <w:r w:rsidR="00381D22">
        <w:rPr>
          <w:rFonts w:ascii="Times New Roman" w:hAnsi="Times New Roman"/>
          <w:sz w:val="24"/>
          <w:szCs w:val="24"/>
        </w:rPr>
        <w:t>Y</w:t>
      </w:r>
      <w:r w:rsidRPr="00AA5351">
        <w:rPr>
          <w:rFonts w:ascii="Times New Roman" w:hAnsi="Times New Roman"/>
          <w:sz w:val="24"/>
          <w:szCs w:val="24"/>
        </w:rPr>
        <w:t>DROC pour le secteur pétrolier.</w:t>
      </w:r>
    </w:p>
    <w:p w14:paraId="1A7B523D" w14:textId="6ACBF7A0" w:rsidR="00C47879" w:rsidRDefault="002F7F99" w:rsidP="002F7F99">
      <w:pPr>
        <w:pStyle w:val="Paragraphedeliste"/>
        <w:ind w:left="284"/>
        <w:jc w:val="both"/>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1666432" behindDoc="0" locked="0" layoutInCell="1" allowOverlap="1" wp14:anchorId="2DE7B242" wp14:editId="125CCDB7">
                <wp:simplePos x="0" y="0"/>
                <wp:positionH relativeFrom="column">
                  <wp:posOffset>153558</wp:posOffset>
                </wp:positionH>
                <wp:positionV relativeFrom="paragraph">
                  <wp:posOffset>109780</wp:posOffset>
                </wp:positionV>
                <wp:extent cx="5950323" cy="2707341"/>
                <wp:effectExtent l="0" t="0" r="12700" b="17145"/>
                <wp:wrapNone/>
                <wp:docPr id="18" name="Zone de texte 18"/>
                <wp:cNvGraphicFramePr/>
                <a:graphic xmlns:a="http://schemas.openxmlformats.org/drawingml/2006/main">
                  <a:graphicData uri="http://schemas.microsoft.com/office/word/2010/wordprocessingShape">
                    <wps:wsp>
                      <wps:cNvSpPr txBox="1"/>
                      <wps:spPr>
                        <a:xfrm>
                          <a:off x="0" y="0"/>
                          <a:ext cx="5950323" cy="2707341"/>
                        </a:xfrm>
                        <a:prstGeom prst="rect">
                          <a:avLst/>
                        </a:prstGeom>
                        <a:solidFill>
                          <a:schemeClr val="accent4">
                            <a:lumMod val="20000"/>
                            <a:lumOff val="80000"/>
                          </a:schemeClr>
                        </a:solidFill>
                        <a:ln w="6350">
                          <a:solidFill>
                            <a:schemeClr val="accent4">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4008E86A" w14:textId="77777777" w:rsidR="00E357DF" w:rsidRPr="002F7F99" w:rsidRDefault="00E357DF" w:rsidP="002F7F99">
                            <w:pPr>
                              <w:pStyle w:val="Paragraphedeliste"/>
                              <w:ind w:left="0"/>
                              <w:jc w:val="both"/>
                              <w:rPr>
                                <w:rFonts w:ascii="Times New Roman" w:hAnsi="Times New Roman" w:cs="Times New Roman"/>
                                <w:sz w:val="24"/>
                                <w:szCs w:val="24"/>
                              </w:rPr>
                            </w:pPr>
                            <w:r w:rsidRPr="002F7F99">
                              <w:rPr>
                                <w:rFonts w:ascii="Times New Roman" w:hAnsi="Times New Roman" w:cs="Times New Roman"/>
                                <w:b/>
                                <w:sz w:val="24"/>
                                <w:szCs w:val="24"/>
                              </w:rPr>
                              <w:t>Note</w:t>
                            </w:r>
                            <w:r w:rsidRPr="002F7F99">
                              <w:rPr>
                                <w:rFonts w:ascii="Times New Roman" w:hAnsi="Times New Roman" w:cs="Times New Roman"/>
                                <w:sz w:val="24"/>
                                <w:szCs w:val="24"/>
                              </w:rPr>
                              <w:t xml:space="preserve"> : </w:t>
                            </w:r>
                          </w:p>
                          <w:p w14:paraId="2D90A7A1" w14:textId="25864EBE" w:rsidR="00E357DF" w:rsidRPr="002F7F99" w:rsidRDefault="00E357DF" w:rsidP="002F7F99">
                            <w:pPr>
                              <w:pStyle w:val="Paragraphedeliste"/>
                              <w:ind w:left="0"/>
                              <w:jc w:val="both"/>
                              <w:rPr>
                                <w:rFonts w:ascii="Times New Roman" w:hAnsi="Times New Roman" w:cs="Times New Roman"/>
                                <w:sz w:val="24"/>
                                <w:szCs w:val="24"/>
                              </w:rPr>
                            </w:pPr>
                            <w:r>
                              <w:rPr>
                                <w:rFonts w:ascii="Times New Roman" w:hAnsi="Times New Roman" w:cs="Times New Roman"/>
                                <w:sz w:val="24"/>
                                <w:szCs w:val="24"/>
                              </w:rPr>
                              <w:t>L</w:t>
                            </w:r>
                            <w:r w:rsidRPr="002F7F99">
                              <w:rPr>
                                <w:rFonts w:ascii="Times New Roman" w:hAnsi="Times New Roman" w:cs="Times New Roman"/>
                                <w:sz w:val="24"/>
                                <w:szCs w:val="24"/>
                              </w:rPr>
                              <w:t xml:space="preserve">’entreprise SIMCO est détenue par la GECAMINES (99%) et SCMK-Mn(1%), deux EPE devenues des personnes morales de droits privés à la suite des Loi n° 08/007 du 07 juillet 2008 portant dispositions générales relatives à la transformation des entreprises publiques et Loi n° 08/010 du 07 juillet 2008 fixant les règles relatives à l’organisation et à la gestion du portefeuille de l’Etat. A l’analyse de ces lois et de la situation des participations transmise par le Ministère du Portefeuille, il s’avère que SIMCO ne peut être considérée comme une EPE. </w:t>
                            </w:r>
                          </w:p>
                          <w:p w14:paraId="217BA448" w14:textId="77777777" w:rsidR="00E357DF" w:rsidRPr="002F7F99" w:rsidRDefault="00E357DF" w:rsidP="002F7F99">
                            <w:pPr>
                              <w:pStyle w:val="Paragraphedeliste"/>
                              <w:ind w:left="0"/>
                              <w:jc w:val="both"/>
                              <w:rPr>
                                <w:rFonts w:ascii="Times New Roman" w:hAnsi="Times New Roman" w:cs="Times New Roman"/>
                                <w:sz w:val="24"/>
                                <w:szCs w:val="24"/>
                              </w:rPr>
                            </w:pPr>
                            <w:r w:rsidRPr="002F7F99">
                              <w:rPr>
                                <w:rFonts w:ascii="Times New Roman" w:hAnsi="Times New Roman" w:cs="Times New Roman"/>
                                <w:sz w:val="24"/>
                                <w:szCs w:val="24"/>
                              </w:rPr>
                              <w:t>En effet, SIMCO n’est ni directement détenue par l’Etat ou par une personne morale de droit public et encore moins une propriété exclusive ou majoritaire de ces derniers  pour rencontrer la définition d’une EPE  précisée par l’article 2</w:t>
                            </w:r>
                            <w:r w:rsidRPr="002F7F99">
                              <w:t xml:space="preserve"> de la Loi n°08</w:t>
                            </w:r>
                            <w:r w:rsidRPr="002F7F99">
                              <w:rPr>
                                <w:rFonts w:ascii="Times New Roman" w:hAnsi="Times New Roman" w:cs="Times New Roman"/>
                              </w:rPr>
                              <w:t>/010 du 07 juillet 2008. En conséquence, dans le cadre du Rapport ITIE-RDC 2016, SIMCO n’a pas été considérée comme une EPE. Toutefois, en raison de ses participations dans les entreprises extractives (KCC et SICOMINES), elle a été retenue dans le périmètre de conciliation ITIE-RDC 2016.</w:t>
                            </w:r>
                            <w:r w:rsidRPr="002F7F99">
                              <w:rPr>
                                <w:rFonts w:ascii="Times New Roman" w:hAnsi="Times New Roman" w:cs="Times New Roman"/>
                                <w:sz w:val="24"/>
                                <w:szCs w:val="24"/>
                              </w:rPr>
                              <w:t xml:space="preserve"> </w:t>
                            </w:r>
                          </w:p>
                          <w:p w14:paraId="7AED61B5" w14:textId="77777777" w:rsidR="00E357DF" w:rsidRDefault="00E357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7B242" id="Zone de texte 18" o:spid="_x0000_s1036" type="#_x0000_t202" style="position:absolute;left:0;text-align:left;margin-left:12.1pt;margin-top:8.65pt;width:468.55pt;height:21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" fillcolor="#fff2cc [663]" strokecolor="#fff2cc [663]" strokeweight=".5pt">
                <v:textbox>
                  <w:txbxContent>
                    <w:p w14:paraId="4008E86A" w14:textId="77777777" w:rsidR="00E357DF" w:rsidRPr="002F7F99" w:rsidRDefault="00E357DF" w:rsidP="002F7F99">
                      <w:pPr>
                        <w:pStyle w:val="Paragraphedeliste"/>
                        <w:ind w:left="0"/>
                        <w:jc w:val="both"/>
                        <w:rPr>
                          <w:rFonts w:ascii="Times New Roman" w:hAnsi="Times New Roman" w:cs="Times New Roman"/>
                          <w:sz w:val="24"/>
                          <w:szCs w:val="24"/>
                        </w:rPr>
                      </w:pPr>
                      <w:r w:rsidRPr="002F7F99">
                        <w:rPr>
                          <w:rFonts w:ascii="Times New Roman" w:hAnsi="Times New Roman" w:cs="Times New Roman"/>
                          <w:b/>
                          <w:sz w:val="24"/>
                          <w:szCs w:val="24"/>
                        </w:rPr>
                        <w:t>Note</w:t>
                      </w:r>
                      <w:r w:rsidRPr="002F7F99">
                        <w:rPr>
                          <w:rFonts w:ascii="Times New Roman" w:hAnsi="Times New Roman" w:cs="Times New Roman"/>
                          <w:sz w:val="24"/>
                          <w:szCs w:val="24"/>
                        </w:rPr>
                        <w:t xml:space="preserve"> : </w:t>
                      </w:r>
                    </w:p>
                    <w:p w14:paraId="2D90A7A1" w14:textId="25864EBE" w:rsidR="00E357DF" w:rsidRPr="002F7F99" w:rsidRDefault="00E357DF" w:rsidP="002F7F99">
                      <w:pPr>
                        <w:pStyle w:val="Paragraphedeliste"/>
                        <w:ind w:left="0"/>
                        <w:jc w:val="both"/>
                        <w:rPr>
                          <w:rFonts w:ascii="Times New Roman" w:hAnsi="Times New Roman" w:cs="Times New Roman"/>
                          <w:sz w:val="24"/>
                          <w:szCs w:val="24"/>
                        </w:rPr>
                      </w:pPr>
                      <w:r>
                        <w:rPr>
                          <w:rFonts w:ascii="Times New Roman" w:hAnsi="Times New Roman" w:cs="Times New Roman"/>
                          <w:sz w:val="24"/>
                          <w:szCs w:val="24"/>
                        </w:rPr>
                        <w:t>L</w:t>
                      </w:r>
                      <w:r w:rsidRPr="002F7F99">
                        <w:rPr>
                          <w:rFonts w:ascii="Times New Roman" w:hAnsi="Times New Roman" w:cs="Times New Roman"/>
                          <w:sz w:val="24"/>
                          <w:szCs w:val="24"/>
                        </w:rPr>
                        <w:t xml:space="preserve">’entreprise SIMCO est détenue par la GECAMINES (99%) et SCMK-Mn(1%), deux EPE devenues des personnes morales de droits privés à la suite des Loi n° 08/007 du 07 juillet 2008 portant dispositions générales relatives à la transformation des entreprises publiques et Loi n° 08/010 du 07 juillet 2008 fixant les règles relatives à l’organisation et à la gestion du portefeuille de l’Etat. A l’analyse de ces lois et de la situation des participations transmise par le Ministère du Portefeuille, il s’avère que SIMCO ne peut être considérée comme une EPE. </w:t>
                      </w:r>
                    </w:p>
                    <w:p w14:paraId="217BA448" w14:textId="77777777" w:rsidR="00E357DF" w:rsidRPr="002F7F99" w:rsidRDefault="00E357DF" w:rsidP="002F7F99">
                      <w:pPr>
                        <w:pStyle w:val="Paragraphedeliste"/>
                        <w:ind w:left="0"/>
                        <w:jc w:val="both"/>
                        <w:rPr>
                          <w:rFonts w:ascii="Times New Roman" w:hAnsi="Times New Roman" w:cs="Times New Roman"/>
                          <w:sz w:val="24"/>
                          <w:szCs w:val="24"/>
                        </w:rPr>
                      </w:pPr>
                      <w:r w:rsidRPr="002F7F99">
                        <w:rPr>
                          <w:rFonts w:ascii="Times New Roman" w:hAnsi="Times New Roman" w:cs="Times New Roman"/>
                          <w:sz w:val="24"/>
                          <w:szCs w:val="24"/>
                        </w:rPr>
                        <w:t>En effet, SIMCO n’est ni directement détenue par l’Etat ou par une personne morale de droit public et encore moins une propriété exclusive ou majoritaire de ces derniers  pour rencontrer la définition d’une EPE  précisée par l’article 2</w:t>
                      </w:r>
                      <w:r w:rsidRPr="002F7F99">
                        <w:t xml:space="preserve"> de la Loi n°08</w:t>
                      </w:r>
                      <w:r w:rsidRPr="002F7F99">
                        <w:rPr>
                          <w:rFonts w:ascii="Times New Roman" w:hAnsi="Times New Roman" w:cs="Times New Roman"/>
                        </w:rPr>
                        <w:t>/010 du 07 juillet 2008. En conséquence, dans le cadre du Rapport ITIE-RDC 2016, SIMCO n’a pas été considérée comme une EPE. Toutefois, en raison de ses participations dans les entreprises extractives (KCC et SICOMINES), elle a été retenue dans le périmètre de conciliation ITIE-RDC 2016.</w:t>
                      </w:r>
                      <w:r w:rsidRPr="002F7F99">
                        <w:rPr>
                          <w:rFonts w:ascii="Times New Roman" w:hAnsi="Times New Roman" w:cs="Times New Roman"/>
                          <w:sz w:val="24"/>
                          <w:szCs w:val="24"/>
                        </w:rPr>
                        <w:t xml:space="preserve"> </w:t>
                      </w:r>
                    </w:p>
                    <w:p w14:paraId="7AED61B5" w14:textId="77777777" w:rsidR="00E357DF" w:rsidRDefault="00E357DF"/>
                  </w:txbxContent>
                </v:textbox>
              </v:shape>
            </w:pict>
          </mc:Fallback>
        </mc:AlternateContent>
      </w:r>
    </w:p>
    <w:p w14:paraId="21AC6B2C" w14:textId="4EB9FABB" w:rsidR="002A7B79" w:rsidRDefault="002A7B79">
      <w:pPr>
        <w:rPr>
          <w:rFonts w:ascii="Times New Roman" w:eastAsiaTheme="minorHAnsi" w:hAnsi="Times New Roman"/>
          <w:sz w:val="24"/>
          <w:szCs w:val="24"/>
        </w:rPr>
      </w:pPr>
      <w:r>
        <w:rPr>
          <w:rFonts w:ascii="Times New Roman" w:hAnsi="Times New Roman"/>
          <w:sz w:val="24"/>
          <w:szCs w:val="24"/>
        </w:rPr>
        <w:br w:type="page"/>
      </w:r>
    </w:p>
    <w:p w14:paraId="6E9839E5" w14:textId="631BD02C" w:rsidR="00F000B0" w:rsidRPr="00BC7A6E" w:rsidRDefault="000668F9" w:rsidP="00943F67">
      <w:pPr>
        <w:pStyle w:val="Titre3"/>
        <w:keepNext w:val="0"/>
        <w:keepLines w:val="0"/>
        <w:ind w:left="1134" w:hanging="850"/>
        <w:contextualSpacing w:val="0"/>
        <w:jc w:val="both"/>
        <w:rPr>
          <w:rFonts w:ascii="Times New Roman" w:hAnsi="Times New Roman" w:cs="Times New Roman"/>
          <w:sz w:val="24"/>
          <w:szCs w:val="24"/>
        </w:rPr>
      </w:pPr>
      <w:bookmarkStart w:id="183" w:name="_Toc518468104"/>
      <w:r>
        <w:rPr>
          <w:rFonts w:ascii="Times New Roman" w:hAnsi="Times New Roman" w:cs="Times New Roman"/>
          <w:sz w:val="24"/>
          <w:szCs w:val="24"/>
        </w:rPr>
        <w:lastRenderedPageBreak/>
        <w:t>IX</w:t>
      </w:r>
      <w:r w:rsidR="00943F67" w:rsidRPr="00BC7A6E">
        <w:rPr>
          <w:rFonts w:ascii="Times New Roman" w:hAnsi="Times New Roman" w:cs="Times New Roman"/>
          <w:sz w:val="24"/>
          <w:szCs w:val="24"/>
        </w:rPr>
        <w:t xml:space="preserve">.2. </w:t>
      </w:r>
      <w:r w:rsidR="00BC7A6E" w:rsidRPr="00BC7A6E">
        <w:rPr>
          <w:rFonts w:ascii="Times New Roman" w:hAnsi="Times New Roman" w:cs="Times New Roman"/>
          <w:sz w:val="24"/>
          <w:szCs w:val="24"/>
        </w:rPr>
        <w:t>Du cadre légal et règlementaire</w:t>
      </w:r>
      <w:r w:rsidR="00BC7A6E">
        <w:rPr>
          <w:rFonts w:ascii="Times New Roman" w:hAnsi="Times New Roman" w:cs="Times New Roman"/>
          <w:sz w:val="24"/>
          <w:szCs w:val="24"/>
        </w:rPr>
        <w:t xml:space="preserve"> de la participation de l’E</w:t>
      </w:r>
      <w:r w:rsidR="00BC7A6E" w:rsidRPr="00BC7A6E">
        <w:rPr>
          <w:rFonts w:ascii="Times New Roman" w:hAnsi="Times New Roman" w:cs="Times New Roman"/>
          <w:sz w:val="24"/>
          <w:szCs w:val="24"/>
        </w:rPr>
        <w:t>tat</w:t>
      </w:r>
      <w:bookmarkEnd w:id="183"/>
    </w:p>
    <w:p w14:paraId="60F1E7E5" w14:textId="77777777" w:rsidR="00F000B0" w:rsidRPr="00AA5351" w:rsidRDefault="00F000B0" w:rsidP="00F000B0">
      <w:pPr>
        <w:spacing w:after="120"/>
        <w:ind w:left="426"/>
        <w:jc w:val="both"/>
        <w:rPr>
          <w:rFonts w:ascii="Times New Roman" w:hAnsi="Times New Roman"/>
          <w:sz w:val="24"/>
          <w:szCs w:val="24"/>
        </w:rPr>
      </w:pPr>
      <w:r w:rsidRPr="00AA5351">
        <w:rPr>
          <w:rFonts w:ascii="Times New Roman" w:hAnsi="Times New Roman"/>
          <w:sz w:val="24"/>
          <w:szCs w:val="24"/>
        </w:rPr>
        <w:t xml:space="preserve">La participation de l’Etat dans les Entreprises du portefeuille de l’Etat (EPE) et dans les entreprises extractives privées est organisée par les Lois et Règlements ci-après :  </w:t>
      </w:r>
    </w:p>
    <w:p w14:paraId="3B5A3700" w14:textId="77777777" w:rsidR="00F000B0" w:rsidRPr="00AA5351" w:rsidRDefault="00F000B0" w:rsidP="000738D3">
      <w:pPr>
        <w:pStyle w:val="Paragraphedeliste"/>
        <w:numPr>
          <w:ilvl w:val="0"/>
          <w:numId w:val="45"/>
        </w:numPr>
        <w:spacing w:before="120" w:after="60"/>
        <w:ind w:left="1134"/>
        <w:contextualSpacing w:val="0"/>
        <w:jc w:val="both"/>
        <w:rPr>
          <w:rFonts w:ascii="Times New Roman" w:hAnsi="Times New Roman" w:cs="Times New Roman"/>
          <w:sz w:val="24"/>
          <w:szCs w:val="24"/>
        </w:rPr>
      </w:pPr>
      <w:r w:rsidRPr="00AA5351">
        <w:rPr>
          <w:rFonts w:ascii="Times New Roman" w:hAnsi="Times New Roman" w:cs="Times New Roman"/>
          <w:sz w:val="24"/>
          <w:szCs w:val="24"/>
        </w:rPr>
        <w:t>Loi n° 08/007 du 07 juillet 2008 portant dispositions générales relatives à la transformation des entreprises publiques ;</w:t>
      </w:r>
    </w:p>
    <w:p w14:paraId="0EFCC9AE" w14:textId="77777777" w:rsidR="00F000B0" w:rsidRPr="00AA5351" w:rsidRDefault="00F000B0" w:rsidP="000738D3">
      <w:pPr>
        <w:pStyle w:val="Paragraphedeliste"/>
        <w:numPr>
          <w:ilvl w:val="0"/>
          <w:numId w:val="45"/>
        </w:numPr>
        <w:spacing w:before="60" w:after="60"/>
        <w:ind w:left="1134"/>
        <w:contextualSpacing w:val="0"/>
        <w:jc w:val="both"/>
        <w:rPr>
          <w:rFonts w:ascii="Times New Roman" w:hAnsi="Times New Roman" w:cs="Times New Roman"/>
          <w:sz w:val="24"/>
          <w:szCs w:val="24"/>
        </w:rPr>
      </w:pPr>
      <w:r w:rsidRPr="00AA5351">
        <w:rPr>
          <w:rFonts w:ascii="Times New Roman" w:hAnsi="Times New Roman" w:cs="Times New Roman"/>
          <w:sz w:val="24"/>
          <w:szCs w:val="24"/>
        </w:rPr>
        <w:t>Loi n° 08/008 du 07 juillet 2008 portant dispositions générales relatives au désengagement de l’Etat des entreprises du portefeuille ;</w:t>
      </w:r>
    </w:p>
    <w:p w14:paraId="12D1C10D" w14:textId="77777777" w:rsidR="00F000B0" w:rsidRPr="00AA5351" w:rsidRDefault="00F000B0" w:rsidP="000738D3">
      <w:pPr>
        <w:pStyle w:val="Paragraphedeliste"/>
        <w:numPr>
          <w:ilvl w:val="0"/>
          <w:numId w:val="45"/>
        </w:numPr>
        <w:spacing w:before="60" w:after="60"/>
        <w:ind w:left="1134"/>
        <w:contextualSpacing w:val="0"/>
        <w:jc w:val="both"/>
        <w:rPr>
          <w:rFonts w:ascii="Times New Roman" w:hAnsi="Times New Roman" w:cs="Times New Roman"/>
          <w:sz w:val="24"/>
          <w:szCs w:val="24"/>
        </w:rPr>
      </w:pPr>
      <w:r w:rsidRPr="00AA5351">
        <w:rPr>
          <w:rFonts w:ascii="Times New Roman" w:hAnsi="Times New Roman" w:cs="Times New Roman"/>
          <w:sz w:val="24"/>
          <w:szCs w:val="24"/>
        </w:rPr>
        <w:t>Loi n° 08/009 du 07 juillet 2008 portant dispositions générales applicables aux établissements publics ;</w:t>
      </w:r>
    </w:p>
    <w:p w14:paraId="13E7C2FA" w14:textId="77777777" w:rsidR="00F000B0" w:rsidRPr="00AA5351" w:rsidRDefault="00F000B0" w:rsidP="000738D3">
      <w:pPr>
        <w:pStyle w:val="Paragraphedeliste"/>
        <w:numPr>
          <w:ilvl w:val="0"/>
          <w:numId w:val="45"/>
        </w:numPr>
        <w:spacing w:before="60" w:after="60"/>
        <w:ind w:left="1134"/>
        <w:contextualSpacing w:val="0"/>
        <w:jc w:val="both"/>
        <w:rPr>
          <w:rFonts w:ascii="Times New Roman" w:hAnsi="Times New Roman" w:cs="Times New Roman"/>
          <w:sz w:val="24"/>
          <w:szCs w:val="24"/>
        </w:rPr>
      </w:pPr>
      <w:r w:rsidRPr="00AA5351">
        <w:rPr>
          <w:rFonts w:ascii="Times New Roman" w:hAnsi="Times New Roman" w:cs="Times New Roman"/>
          <w:sz w:val="24"/>
          <w:szCs w:val="24"/>
        </w:rPr>
        <w:t>Loi n° 08/010 du 07 juillet 2008 fixant les règles relatives à l’organisation et à la gestion du portefeuille de l’Etat ;</w:t>
      </w:r>
    </w:p>
    <w:p w14:paraId="3D2FAD96" w14:textId="77777777" w:rsidR="00F000B0" w:rsidRPr="00AA5351" w:rsidRDefault="00F000B0" w:rsidP="000738D3">
      <w:pPr>
        <w:pStyle w:val="Paragraphedeliste"/>
        <w:numPr>
          <w:ilvl w:val="0"/>
          <w:numId w:val="45"/>
        </w:numPr>
        <w:spacing w:before="60" w:after="60"/>
        <w:ind w:left="1134"/>
        <w:contextualSpacing w:val="0"/>
        <w:jc w:val="both"/>
        <w:rPr>
          <w:rFonts w:ascii="Times New Roman" w:hAnsi="Times New Roman" w:cs="Times New Roman"/>
          <w:sz w:val="24"/>
          <w:szCs w:val="24"/>
        </w:rPr>
      </w:pPr>
      <w:r w:rsidRPr="00AA5351">
        <w:rPr>
          <w:rFonts w:ascii="Times New Roman" w:hAnsi="Times New Roman" w:cs="Times New Roman"/>
          <w:sz w:val="24"/>
          <w:szCs w:val="24"/>
        </w:rPr>
        <w:t xml:space="preserve"> Loi 15/012 du 1er aout 2015 portant régime général des Hydrocarbure</w:t>
      </w:r>
      <w:r>
        <w:rPr>
          <w:rFonts w:ascii="Times New Roman" w:hAnsi="Times New Roman" w:cs="Times New Roman"/>
          <w:sz w:val="24"/>
          <w:szCs w:val="24"/>
        </w:rPr>
        <w:t>s</w:t>
      </w:r>
      <w:r w:rsidRPr="00AA5351">
        <w:rPr>
          <w:rFonts w:ascii="Times New Roman" w:hAnsi="Times New Roman" w:cs="Times New Roman"/>
          <w:sz w:val="24"/>
          <w:szCs w:val="24"/>
        </w:rPr>
        <w:t xml:space="preserve">  qui  prévoit en ses articles 16 et  17 la participation de la société nationale des hydrocarbures  minimum 20%  au minimum en cas d’association dans les activités d’hydrocarbures en amont. Les parts de la société nationale ne sont pas cessibles ;</w:t>
      </w:r>
    </w:p>
    <w:p w14:paraId="6923393E" w14:textId="77777777" w:rsidR="00F000B0" w:rsidRPr="00AA5351" w:rsidRDefault="00F000B0" w:rsidP="000738D3">
      <w:pPr>
        <w:pStyle w:val="Paragraphedeliste"/>
        <w:numPr>
          <w:ilvl w:val="0"/>
          <w:numId w:val="45"/>
        </w:numPr>
        <w:spacing w:before="60" w:after="60"/>
        <w:ind w:left="1134"/>
        <w:contextualSpacing w:val="0"/>
        <w:jc w:val="both"/>
        <w:rPr>
          <w:rFonts w:ascii="Times New Roman" w:hAnsi="Times New Roman" w:cs="Times New Roman"/>
          <w:sz w:val="24"/>
          <w:szCs w:val="24"/>
        </w:rPr>
      </w:pPr>
      <w:r w:rsidRPr="00AA5351">
        <w:rPr>
          <w:rFonts w:ascii="Times New Roman" w:hAnsi="Times New Roman" w:cs="Times New Roman"/>
          <w:sz w:val="24"/>
          <w:szCs w:val="24"/>
        </w:rPr>
        <w:t xml:space="preserve"> Loi 18/001 du 09/03/2018 modifiant et complétant la Loi n°007/2002 du 11 juillet 2002 portant Code Minier qui relève de 5 à 10%  la part  de l’Etat dans les entreprises privées minières à l’occasion de la transformation d’un permis de recherche en permis d’exploitation ;</w:t>
      </w:r>
    </w:p>
    <w:p w14:paraId="0757F2FE" w14:textId="77777777" w:rsidR="00F000B0" w:rsidRPr="00AA5351" w:rsidRDefault="00F000B0" w:rsidP="000738D3">
      <w:pPr>
        <w:pStyle w:val="Paragraphedeliste"/>
        <w:numPr>
          <w:ilvl w:val="0"/>
          <w:numId w:val="45"/>
        </w:numPr>
        <w:spacing w:before="60" w:after="60"/>
        <w:ind w:left="1134"/>
        <w:contextualSpacing w:val="0"/>
        <w:jc w:val="both"/>
        <w:rPr>
          <w:rFonts w:ascii="Times New Roman" w:hAnsi="Times New Roman" w:cs="Times New Roman"/>
          <w:sz w:val="24"/>
          <w:szCs w:val="24"/>
        </w:rPr>
      </w:pPr>
      <w:r w:rsidRPr="00AA5351">
        <w:rPr>
          <w:rFonts w:ascii="Times New Roman" w:hAnsi="Times New Roman" w:cs="Times New Roman"/>
          <w:sz w:val="24"/>
          <w:szCs w:val="24"/>
        </w:rPr>
        <w:t>Décret n° 13/003 du 15 janvier 2013 relatif aux conditions et modalités de cession des parts sociales ou actions de l'Etat aux personnes physiques ou morales de nationalité congolaise et/ou aux salariés ;</w:t>
      </w:r>
    </w:p>
    <w:p w14:paraId="5411AA3A" w14:textId="77777777" w:rsidR="00F000B0" w:rsidRPr="00AA5351" w:rsidRDefault="00F000B0" w:rsidP="000738D3">
      <w:pPr>
        <w:pStyle w:val="Paragraphedeliste"/>
        <w:numPr>
          <w:ilvl w:val="0"/>
          <w:numId w:val="45"/>
        </w:numPr>
        <w:spacing w:before="60" w:after="60"/>
        <w:ind w:left="1134"/>
        <w:contextualSpacing w:val="0"/>
        <w:jc w:val="both"/>
        <w:rPr>
          <w:rFonts w:ascii="Times New Roman" w:hAnsi="Times New Roman" w:cs="Times New Roman"/>
          <w:sz w:val="24"/>
          <w:szCs w:val="24"/>
        </w:rPr>
      </w:pPr>
      <w:r w:rsidRPr="00AA5351">
        <w:rPr>
          <w:rFonts w:ascii="Times New Roman" w:hAnsi="Times New Roman" w:cs="Times New Roman"/>
          <w:sz w:val="24"/>
          <w:szCs w:val="24"/>
        </w:rPr>
        <w:t xml:space="preserve">Décret n° 13/002 du 15 janvier 2013 portant organisation de la représentation de l'Etat-actionnaire unique au sein de l'Assemblée Générale d'une entreprise publique transformée en société commerciale. </w:t>
      </w:r>
    </w:p>
    <w:p w14:paraId="44BC5680" w14:textId="77777777" w:rsidR="00F000B0" w:rsidRPr="00AA5351" w:rsidRDefault="00F000B0" w:rsidP="00F000B0">
      <w:pPr>
        <w:pStyle w:val="Paragraphedeliste"/>
        <w:spacing w:before="60" w:after="60" w:line="240" w:lineRule="auto"/>
        <w:ind w:left="426"/>
        <w:contextualSpacing w:val="0"/>
        <w:jc w:val="both"/>
        <w:rPr>
          <w:rFonts w:ascii="Times New Roman" w:hAnsi="Times New Roman" w:cs="Times New Roman"/>
          <w:sz w:val="24"/>
          <w:szCs w:val="24"/>
        </w:rPr>
      </w:pPr>
      <w:r w:rsidRPr="00AA5351">
        <w:rPr>
          <w:rFonts w:ascii="Times New Roman" w:hAnsi="Times New Roman" w:cs="Times New Roman"/>
          <w:sz w:val="24"/>
          <w:szCs w:val="24"/>
        </w:rPr>
        <w:t>A ces instruments il faut ajouter également le Statut, le Règlement Intérieur propre à chaque EPE ainsi que les Instructions de la tutelle assumée par le Ministère de Portefeuille.</w:t>
      </w:r>
    </w:p>
    <w:p w14:paraId="084F47C4" w14:textId="77777777" w:rsidR="00F000B0" w:rsidRPr="00AA5351" w:rsidRDefault="00F000B0" w:rsidP="00F000B0">
      <w:pPr>
        <w:pStyle w:val="Paragraphedeliste"/>
        <w:spacing w:before="60" w:after="60" w:line="240" w:lineRule="auto"/>
        <w:ind w:left="714"/>
        <w:contextualSpacing w:val="0"/>
        <w:jc w:val="both"/>
        <w:rPr>
          <w:rFonts w:ascii="Times New Roman" w:hAnsi="Times New Roman" w:cs="Times New Roman"/>
          <w:sz w:val="24"/>
          <w:szCs w:val="24"/>
        </w:rPr>
      </w:pPr>
    </w:p>
    <w:p w14:paraId="6480E6D1" w14:textId="5EC1BDCE" w:rsidR="00F000B0" w:rsidRPr="00BC7A6E" w:rsidRDefault="000668F9" w:rsidP="00943F67">
      <w:pPr>
        <w:pStyle w:val="Titre3"/>
        <w:keepNext w:val="0"/>
        <w:keepLines w:val="0"/>
        <w:ind w:left="1134" w:hanging="850"/>
        <w:contextualSpacing w:val="0"/>
        <w:jc w:val="both"/>
        <w:rPr>
          <w:rFonts w:ascii="Times New Roman" w:hAnsi="Times New Roman" w:cs="Times New Roman"/>
          <w:sz w:val="24"/>
          <w:szCs w:val="24"/>
        </w:rPr>
      </w:pPr>
      <w:bookmarkStart w:id="184" w:name="_Toc518468105"/>
      <w:r>
        <w:rPr>
          <w:rFonts w:ascii="Times New Roman" w:hAnsi="Times New Roman" w:cs="Times New Roman"/>
          <w:sz w:val="24"/>
          <w:szCs w:val="24"/>
        </w:rPr>
        <w:t>IX</w:t>
      </w:r>
      <w:r w:rsidR="00943F67" w:rsidRPr="00BC7A6E">
        <w:rPr>
          <w:rFonts w:ascii="Times New Roman" w:hAnsi="Times New Roman" w:cs="Times New Roman"/>
          <w:sz w:val="24"/>
          <w:szCs w:val="24"/>
        </w:rPr>
        <w:t xml:space="preserve">.3. </w:t>
      </w:r>
      <w:r w:rsidR="00BC7A6E" w:rsidRPr="00BC7A6E">
        <w:rPr>
          <w:rFonts w:ascii="Times New Roman" w:hAnsi="Times New Roman" w:cs="Times New Roman"/>
          <w:sz w:val="24"/>
          <w:szCs w:val="24"/>
        </w:rPr>
        <w:t xml:space="preserve">Du régime fiscal  et du statut des </w:t>
      </w:r>
      <w:r w:rsidR="00BC7A6E">
        <w:rPr>
          <w:rFonts w:ascii="Times New Roman" w:hAnsi="Times New Roman" w:cs="Times New Roman"/>
          <w:sz w:val="24"/>
          <w:szCs w:val="24"/>
        </w:rPr>
        <w:t>EPE</w:t>
      </w:r>
      <w:r w:rsidR="00BC7A6E" w:rsidRPr="00BC7A6E">
        <w:rPr>
          <w:rFonts w:ascii="Times New Roman" w:hAnsi="Times New Roman" w:cs="Times New Roman"/>
          <w:sz w:val="24"/>
          <w:szCs w:val="24"/>
        </w:rPr>
        <w:t xml:space="preserve">  extractives</w:t>
      </w:r>
      <w:bookmarkEnd w:id="184"/>
    </w:p>
    <w:p w14:paraId="4023DE1B" w14:textId="77777777" w:rsidR="00F000B0" w:rsidRPr="00AA5351" w:rsidRDefault="00F000B0" w:rsidP="00F000B0">
      <w:pPr>
        <w:spacing w:after="120"/>
        <w:ind w:left="284"/>
        <w:jc w:val="both"/>
        <w:rPr>
          <w:rFonts w:ascii="Times New Roman" w:hAnsi="Times New Roman"/>
          <w:sz w:val="24"/>
          <w:szCs w:val="24"/>
        </w:rPr>
      </w:pPr>
      <w:r w:rsidRPr="00AA5351">
        <w:rPr>
          <w:rFonts w:ascii="Times New Roman" w:hAnsi="Times New Roman"/>
          <w:sz w:val="24"/>
          <w:szCs w:val="24"/>
        </w:rPr>
        <w:t>En vertu de la Loi n° 08/007 du 7 juillet 2008 portant dispositions générales relatives à la transformation des entreprises publiques et de la Loi n° 08/008 du 07 juillet 2008 portant dispositions générales relatives au désengagement de l’Etat des entreprises du portefeuille, les EPE extractives se sont transformées en sociétés commerciales</w:t>
      </w:r>
      <w:r>
        <w:rPr>
          <w:rStyle w:val="Appelnotedebasdep"/>
          <w:rFonts w:ascii="Times New Roman" w:hAnsi="Times New Roman"/>
          <w:sz w:val="24"/>
          <w:szCs w:val="24"/>
        </w:rPr>
        <w:footnoteReference w:id="26"/>
      </w:r>
      <w:r w:rsidRPr="00AA5351">
        <w:rPr>
          <w:rFonts w:ascii="Times New Roman" w:hAnsi="Times New Roman"/>
          <w:sz w:val="24"/>
          <w:szCs w:val="24"/>
        </w:rPr>
        <w:t xml:space="preserve">. En principe, leur mode de gestion est de type commercial quoique </w:t>
      </w:r>
      <w:r w:rsidR="002B425B">
        <w:rPr>
          <w:rFonts w:ascii="Times New Roman" w:hAnsi="Times New Roman"/>
          <w:sz w:val="24"/>
          <w:szCs w:val="24"/>
        </w:rPr>
        <w:t>six</w:t>
      </w:r>
      <w:r w:rsidR="002B425B">
        <w:rPr>
          <w:rStyle w:val="Appelnotedebasdep"/>
          <w:rFonts w:ascii="Times New Roman" w:hAnsi="Times New Roman"/>
          <w:sz w:val="24"/>
          <w:szCs w:val="24"/>
        </w:rPr>
        <w:footnoteReference w:id="27"/>
      </w:r>
      <w:r w:rsidRPr="00AA5351">
        <w:rPr>
          <w:rFonts w:ascii="Times New Roman" w:hAnsi="Times New Roman"/>
          <w:sz w:val="24"/>
          <w:szCs w:val="24"/>
        </w:rPr>
        <w:t xml:space="preserve"> d’entre elles soi</w:t>
      </w:r>
      <w:r w:rsidR="002B425B">
        <w:rPr>
          <w:rFonts w:ascii="Times New Roman" w:hAnsi="Times New Roman"/>
          <w:sz w:val="24"/>
          <w:szCs w:val="24"/>
        </w:rPr>
        <w:t>en</w:t>
      </w:r>
      <w:r w:rsidRPr="00AA5351">
        <w:rPr>
          <w:rFonts w:ascii="Times New Roman" w:hAnsi="Times New Roman"/>
          <w:sz w:val="24"/>
          <w:szCs w:val="24"/>
        </w:rPr>
        <w:t>t exclusivement détenues par l’Etat.  Ainsi, devenues  personnes morales  de droit privé, elles sont soumises  à la règlementation commerciale et au régime fiscal de droit commun</w:t>
      </w:r>
      <w:r w:rsidR="009B4E2B">
        <w:rPr>
          <w:rFonts w:ascii="Times New Roman" w:hAnsi="Times New Roman"/>
          <w:sz w:val="24"/>
          <w:szCs w:val="24"/>
        </w:rPr>
        <w:t xml:space="preserve">, à l’exception de </w:t>
      </w:r>
      <w:r w:rsidR="009B4E2B" w:rsidRPr="00AA5351">
        <w:rPr>
          <w:rFonts w:ascii="Times New Roman" w:hAnsi="Times New Roman"/>
          <w:sz w:val="24"/>
          <w:szCs w:val="24"/>
        </w:rPr>
        <w:t>SAKIMA</w:t>
      </w:r>
      <w:r w:rsidR="009B4E2B">
        <w:rPr>
          <w:rFonts w:ascii="Times New Roman" w:hAnsi="Times New Roman"/>
          <w:sz w:val="24"/>
          <w:szCs w:val="24"/>
        </w:rPr>
        <w:t xml:space="preserve"> qui est régie par un </w:t>
      </w:r>
      <w:r w:rsidRPr="00AA5351">
        <w:rPr>
          <w:rFonts w:ascii="Times New Roman" w:hAnsi="Times New Roman"/>
          <w:sz w:val="24"/>
          <w:szCs w:val="24"/>
        </w:rPr>
        <w:t>régime fiscal d’exception</w:t>
      </w:r>
      <w:r w:rsidR="009B4E2B">
        <w:rPr>
          <w:rFonts w:ascii="Times New Roman" w:hAnsi="Times New Roman"/>
          <w:sz w:val="24"/>
          <w:szCs w:val="24"/>
        </w:rPr>
        <w:t xml:space="preserve"> prévu par la convention applicable au Groupe BANRO du 13 février 1997</w:t>
      </w:r>
      <w:r w:rsidRPr="00AA5351">
        <w:rPr>
          <w:rFonts w:ascii="Times New Roman" w:hAnsi="Times New Roman"/>
          <w:sz w:val="24"/>
          <w:szCs w:val="24"/>
        </w:rPr>
        <w:t xml:space="preserve">. </w:t>
      </w:r>
    </w:p>
    <w:p w14:paraId="3B0C8727" w14:textId="77777777" w:rsidR="00F000B0" w:rsidRPr="00AA5351" w:rsidRDefault="00F000B0" w:rsidP="00F000B0">
      <w:pPr>
        <w:spacing w:after="120"/>
        <w:ind w:left="284"/>
        <w:jc w:val="both"/>
        <w:rPr>
          <w:rFonts w:ascii="Times New Roman" w:hAnsi="Times New Roman"/>
          <w:sz w:val="24"/>
          <w:szCs w:val="24"/>
        </w:rPr>
      </w:pPr>
      <w:r w:rsidRPr="00AA5351">
        <w:rPr>
          <w:rFonts w:ascii="Times New Roman" w:hAnsi="Times New Roman"/>
          <w:sz w:val="24"/>
          <w:szCs w:val="24"/>
        </w:rPr>
        <w:lastRenderedPageBreak/>
        <w:t xml:space="preserve"> De l’analyse des Statuts reçus des EPE, il apparait que  toutes les neuf ont été transformées en société commerciale. </w:t>
      </w:r>
      <w:r w:rsidR="00573673">
        <w:rPr>
          <w:rFonts w:ascii="Times New Roman" w:hAnsi="Times New Roman"/>
          <w:sz w:val="24"/>
          <w:szCs w:val="24"/>
        </w:rPr>
        <w:t>Seule SACIM est une Sarl, les autres sont des sociétés par actions.</w:t>
      </w:r>
    </w:p>
    <w:p w14:paraId="6AA9B8BC" w14:textId="77777777" w:rsidR="00F000B0" w:rsidRPr="00AA5351" w:rsidRDefault="00F000B0" w:rsidP="00F000B0">
      <w:pPr>
        <w:ind w:left="284"/>
        <w:jc w:val="both"/>
        <w:rPr>
          <w:rFonts w:ascii="Times New Roman" w:hAnsi="Times New Roman"/>
          <w:sz w:val="24"/>
          <w:szCs w:val="24"/>
        </w:rPr>
      </w:pPr>
      <w:r w:rsidRPr="00AA5351">
        <w:rPr>
          <w:rFonts w:ascii="Times New Roman" w:hAnsi="Times New Roman"/>
          <w:sz w:val="24"/>
          <w:szCs w:val="24"/>
        </w:rPr>
        <w:t xml:space="preserve">Le régime fiscal de chaque EPE, le rôle, le statut, les activités de chaque EPE sont plus clarifiés dans la deuxième partie. Les Statuts reçus des EPE  sont disponibles sur le site de l’ITIE </w:t>
      </w:r>
      <w:r>
        <w:rPr>
          <w:rFonts w:ascii="Times New Roman" w:hAnsi="Times New Roman"/>
          <w:sz w:val="24"/>
          <w:szCs w:val="24"/>
        </w:rPr>
        <w:t>–</w:t>
      </w:r>
      <w:r w:rsidRPr="00AA5351">
        <w:rPr>
          <w:rFonts w:ascii="Times New Roman" w:hAnsi="Times New Roman"/>
          <w:sz w:val="24"/>
          <w:szCs w:val="24"/>
        </w:rPr>
        <w:t>RDC</w:t>
      </w:r>
      <w:r>
        <w:rPr>
          <w:rFonts w:ascii="Times New Roman" w:hAnsi="Times New Roman"/>
          <w:sz w:val="24"/>
          <w:szCs w:val="24"/>
        </w:rPr>
        <w:t xml:space="preserve">. </w:t>
      </w:r>
      <w:r>
        <w:rPr>
          <w:rStyle w:val="Appelnotedebasdep"/>
          <w:rFonts w:ascii="Times New Roman" w:hAnsi="Times New Roman"/>
          <w:sz w:val="24"/>
          <w:szCs w:val="24"/>
        </w:rPr>
        <w:footnoteReference w:id="28"/>
      </w:r>
      <w:r w:rsidRPr="00AA5351">
        <w:rPr>
          <w:rFonts w:ascii="Times New Roman" w:hAnsi="Times New Roman"/>
          <w:sz w:val="24"/>
          <w:szCs w:val="24"/>
        </w:rPr>
        <w:t xml:space="preserve"> </w:t>
      </w:r>
    </w:p>
    <w:p w14:paraId="0C20EEC6" w14:textId="698EB50D" w:rsidR="00F000B0" w:rsidRPr="00BC7A6E" w:rsidRDefault="000668F9" w:rsidP="00943F67">
      <w:pPr>
        <w:pStyle w:val="Titre3"/>
        <w:keepNext w:val="0"/>
        <w:keepLines w:val="0"/>
        <w:ind w:left="1134" w:hanging="850"/>
        <w:contextualSpacing w:val="0"/>
        <w:jc w:val="both"/>
        <w:rPr>
          <w:rFonts w:ascii="Times New Roman" w:hAnsi="Times New Roman" w:cs="Times New Roman"/>
          <w:sz w:val="24"/>
          <w:szCs w:val="24"/>
        </w:rPr>
      </w:pPr>
      <w:bookmarkStart w:id="185" w:name="_Toc518468106"/>
      <w:r>
        <w:rPr>
          <w:rFonts w:ascii="Times New Roman" w:hAnsi="Times New Roman" w:cs="Times New Roman"/>
          <w:sz w:val="24"/>
          <w:szCs w:val="24"/>
        </w:rPr>
        <w:t>IX</w:t>
      </w:r>
      <w:r w:rsidR="00943F67" w:rsidRPr="00BC7A6E">
        <w:rPr>
          <w:rFonts w:ascii="Times New Roman" w:hAnsi="Times New Roman" w:cs="Times New Roman"/>
          <w:sz w:val="24"/>
          <w:szCs w:val="24"/>
        </w:rPr>
        <w:t xml:space="preserve">.4. </w:t>
      </w:r>
      <w:r w:rsidR="00A54885">
        <w:rPr>
          <w:rFonts w:ascii="Times New Roman" w:hAnsi="Times New Roman" w:cs="Times New Roman"/>
          <w:sz w:val="24"/>
          <w:szCs w:val="24"/>
        </w:rPr>
        <w:t>Des relations  financiè</w:t>
      </w:r>
      <w:r w:rsidR="00A54885" w:rsidRPr="00BC7A6E">
        <w:rPr>
          <w:rFonts w:ascii="Times New Roman" w:hAnsi="Times New Roman" w:cs="Times New Roman"/>
          <w:sz w:val="24"/>
          <w:szCs w:val="24"/>
        </w:rPr>
        <w:t>res entre l’</w:t>
      </w:r>
      <w:r w:rsidR="00A54885">
        <w:rPr>
          <w:rFonts w:ascii="Times New Roman" w:hAnsi="Times New Roman" w:cs="Times New Roman"/>
          <w:sz w:val="24"/>
          <w:szCs w:val="24"/>
        </w:rPr>
        <w:t>EPE et l’E</w:t>
      </w:r>
      <w:r w:rsidR="00A54885" w:rsidRPr="00BC7A6E">
        <w:rPr>
          <w:rFonts w:ascii="Times New Roman" w:hAnsi="Times New Roman" w:cs="Times New Roman"/>
          <w:sz w:val="24"/>
          <w:szCs w:val="24"/>
        </w:rPr>
        <w:t>tat</w:t>
      </w:r>
      <w:bookmarkEnd w:id="185"/>
    </w:p>
    <w:p w14:paraId="6674D9AD" w14:textId="77777777" w:rsidR="00F000B0" w:rsidRPr="00AA5351" w:rsidRDefault="00F000B0" w:rsidP="00F000B0">
      <w:pPr>
        <w:ind w:left="284"/>
        <w:jc w:val="both"/>
        <w:rPr>
          <w:rFonts w:ascii="Times New Roman" w:hAnsi="Times New Roman"/>
          <w:sz w:val="24"/>
          <w:szCs w:val="24"/>
        </w:rPr>
      </w:pPr>
      <w:r w:rsidRPr="00AA5351">
        <w:rPr>
          <w:rFonts w:ascii="Times New Roman" w:hAnsi="Times New Roman"/>
          <w:sz w:val="24"/>
          <w:szCs w:val="24"/>
        </w:rPr>
        <w:t>La description des règles  régissant la relation financière entre le Gouvernement et les EPE  est contenue dans un document</w:t>
      </w:r>
      <w:r>
        <w:rPr>
          <w:rStyle w:val="Appelnotedebasdep"/>
          <w:rFonts w:ascii="Times New Roman" w:hAnsi="Times New Roman"/>
          <w:sz w:val="24"/>
          <w:szCs w:val="24"/>
        </w:rPr>
        <w:footnoteReference w:id="29"/>
      </w:r>
      <w:r w:rsidRPr="00AA5351">
        <w:rPr>
          <w:rFonts w:ascii="Times New Roman" w:hAnsi="Times New Roman"/>
          <w:sz w:val="24"/>
          <w:szCs w:val="24"/>
        </w:rPr>
        <w:t xml:space="preserve">  reçu du Ministère du Portefeuille. </w:t>
      </w:r>
    </w:p>
    <w:p w14:paraId="2BCFA115" w14:textId="77777777" w:rsidR="00F000B0" w:rsidRDefault="00F000B0" w:rsidP="00F000B0">
      <w:pPr>
        <w:ind w:left="284"/>
        <w:jc w:val="both"/>
        <w:rPr>
          <w:rFonts w:ascii="Times New Roman" w:hAnsi="Times New Roman"/>
          <w:sz w:val="24"/>
          <w:szCs w:val="24"/>
        </w:rPr>
      </w:pPr>
      <w:r w:rsidRPr="00AA5351">
        <w:rPr>
          <w:rFonts w:ascii="Times New Roman" w:hAnsi="Times New Roman"/>
          <w:sz w:val="24"/>
          <w:szCs w:val="24"/>
        </w:rPr>
        <w:t>Ce document qui se focalise davantage sur les dividendes issus des participations de l’Etat, décrit la relation en termes  des différents flux financiers sous forme  des sommes à payer   à l’Etat au titre d’impôts, taxes  et droits divers que les EPE, en tant que contribuables ou redevables, vers</w:t>
      </w:r>
      <w:r>
        <w:rPr>
          <w:rFonts w:ascii="Times New Roman" w:hAnsi="Times New Roman"/>
          <w:sz w:val="24"/>
          <w:szCs w:val="24"/>
        </w:rPr>
        <w:t xml:space="preserve">ent </w:t>
      </w:r>
      <w:r w:rsidRPr="00AA5351">
        <w:rPr>
          <w:rFonts w:ascii="Times New Roman" w:hAnsi="Times New Roman"/>
          <w:sz w:val="24"/>
          <w:szCs w:val="24"/>
        </w:rPr>
        <w:t xml:space="preserve">aux Régies financières  en vertu  de la législation fiscale, douanière et para fiscale. </w:t>
      </w:r>
    </w:p>
    <w:p w14:paraId="5763774C" w14:textId="77777777" w:rsidR="00F000B0" w:rsidRPr="00AA5351" w:rsidRDefault="00F000B0" w:rsidP="00F000B0">
      <w:pPr>
        <w:ind w:left="284"/>
        <w:jc w:val="both"/>
        <w:rPr>
          <w:rFonts w:ascii="Times New Roman" w:hAnsi="Times New Roman"/>
          <w:sz w:val="24"/>
          <w:szCs w:val="24"/>
        </w:rPr>
      </w:pPr>
      <w:r w:rsidRPr="00AA5351">
        <w:rPr>
          <w:rFonts w:ascii="Times New Roman" w:hAnsi="Times New Roman"/>
          <w:sz w:val="24"/>
          <w:szCs w:val="24"/>
        </w:rPr>
        <w:t xml:space="preserve">Pour rappel, au sens de l’Article 7 de la Loi n° 08/010 du 07 juillet 2008 fixant les règles relatives à l’organisation et à la gestion du Portefeuille de l’Etat, les  revenus des participations de l’Etat dans les industries extractives ou « Recettes des participations » comprennent : </w:t>
      </w:r>
    </w:p>
    <w:p w14:paraId="1DE48231" w14:textId="77777777" w:rsidR="00F000B0" w:rsidRPr="00AA5351" w:rsidRDefault="00F000B0" w:rsidP="000738D3">
      <w:pPr>
        <w:pStyle w:val="Paragraphedeliste"/>
        <w:numPr>
          <w:ilvl w:val="0"/>
          <w:numId w:val="46"/>
        </w:numPr>
        <w:spacing w:after="120" w:line="259" w:lineRule="auto"/>
        <w:jc w:val="both"/>
        <w:rPr>
          <w:rFonts w:ascii="Times New Roman" w:hAnsi="Times New Roman" w:cs="Times New Roman"/>
          <w:sz w:val="24"/>
          <w:szCs w:val="24"/>
        </w:rPr>
      </w:pPr>
      <w:r w:rsidRPr="00AA5351">
        <w:rPr>
          <w:rFonts w:ascii="Times New Roman" w:hAnsi="Times New Roman" w:cs="Times New Roman"/>
          <w:sz w:val="24"/>
          <w:szCs w:val="24"/>
        </w:rPr>
        <w:t>Les dividendes décrétés ;</w:t>
      </w:r>
    </w:p>
    <w:p w14:paraId="626354A3" w14:textId="77777777" w:rsidR="00F000B0" w:rsidRPr="00AA5351" w:rsidRDefault="00F000B0" w:rsidP="000738D3">
      <w:pPr>
        <w:pStyle w:val="Paragraphedeliste"/>
        <w:numPr>
          <w:ilvl w:val="0"/>
          <w:numId w:val="46"/>
        </w:numPr>
        <w:spacing w:after="120" w:line="259" w:lineRule="auto"/>
        <w:jc w:val="both"/>
        <w:rPr>
          <w:rFonts w:ascii="Times New Roman" w:hAnsi="Times New Roman" w:cs="Times New Roman"/>
          <w:sz w:val="24"/>
          <w:szCs w:val="24"/>
        </w:rPr>
      </w:pPr>
      <w:r w:rsidRPr="00AA5351">
        <w:rPr>
          <w:rFonts w:ascii="Times New Roman" w:hAnsi="Times New Roman" w:cs="Times New Roman"/>
          <w:sz w:val="24"/>
          <w:szCs w:val="24"/>
        </w:rPr>
        <w:t>Les remboursements des capitaux investis ;</w:t>
      </w:r>
    </w:p>
    <w:p w14:paraId="17B2CBF5" w14:textId="77777777" w:rsidR="00F000B0" w:rsidRPr="00AA5351" w:rsidRDefault="00F000B0" w:rsidP="000738D3">
      <w:pPr>
        <w:pStyle w:val="Paragraphedeliste"/>
        <w:numPr>
          <w:ilvl w:val="0"/>
          <w:numId w:val="46"/>
        </w:numPr>
        <w:spacing w:after="120" w:line="259" w:lineRule="auto"/>
        <w:jc w:val="both"/>
        <w:rPr>
          <w:rFonts w:ascii="Times New Roman" w:hAnsi="Times New Roman" w:cs="Times New Roman"/>
          <w:sz w:val="24"/>
          <w:szCs w:val="24"/>
        </w:rPr>
      </w:pPr>
      <w:r w:rsidRPr="00AA5351">
        <w:rPr>
          <w:rFonts w:ascii="Times New Roman" w:hAnsi="Times New Roman" w:cs="Times New Roman"/>
          <w:sz w:val="24"/>
          <w:szCs w:val="24"/>
        </w:rPr>
        <w:t>Le produit de la cession des titres</w:t>
      </w:r>
      <w:r>
        <w:rPr>
          <w:rFonts w:ascii="Times New Roman" w:hAnsi="Times New Roman" w:cs="Times New Roman"/>
          <w:sz w:val="24"/>
          <w:szCs w:val="24"/>
        </w:rPr>
        <w:t>, des royalties/pas de port</w:t>
      </w:r>
      <w:r w:rsidRPr="00AA5351">
        <w:rPr>
          <w:rFonts w:ascii="Times New Roman" w:hAnsi="Times New Roman" w:cs="Times New Roman"/>
          <w:sz w:val="24"/>
          <w:szCs w:val="24"/>
        </w:rPr>
        <w:t xml:space="preserve"> ;</w:t>
      </w:r>
    </w:p>
    <w:p w14:paraId="41472835" w14:textId="77777777" w:rsidR="00F000B0" w:rsidRPr="00AA5351" w:rsidRDefault="00F000B0" w:rsidP="000738D3">
      <w:pPr>
        <w:pStyle w:val="Paragraphedeliste"/>
        <w:numPr>
          <w:ilvl w:val="0"/>
          <w:numId w:val="46"/>
        </w:numPr>
        <w:spacing w:after="120" w:line="259" w:lineRule="auto"/>
        <w:jc w:val="both"/>
        <w:rPr>
          <w:rFonts w:ascii="Times New Roman" w:hAnsi="Times New Roman" w:cs="Times New Roman"/>
          <w:sz w:val="24"/>
          <w:szCs w:val="24"/>
        </w:rPr>
      </w:pPr>
      <w:r w:rsidRPr="00AA5351">
        <w:rPr>
          <w:rFonts w:ascii="Times New Roman" w:hAnsi="Times New Roman" w:cs="Times New Roman"/>
          <w:sz w:val="24"/>
          <w:szCs w:val="24"/>
        </w:rPr>
        <w:t>Le produit de liquidation d’une entreprise du Portefeuille de l’Etat.</w:t>
      </w:r>
    </w:p>
    <w:p w14:paraId="61DE478D" w14:textId="77777777" w:rsidR="00F000B0" w:rsidRPr="00AA5351" w:rsidRDefault="00F000B0" w:rsidP="00F000B0">
      <w:pPr>
        <w:ind w:left="284"/>
        <w:jc w:val="both"/>
        <w:rPr>
          <w:rFonts w:ascii="Times New Roman" w:hAnsi="Times New Roman"/>
          <w:sz w:val="24"/>
          <w:szCs w:val="24"/>
        </w:rPr>
      </w:pPr>
      <w:r w:rsidRPr="00AA5351">
        <w:rPr>
          <w:rFonts w:ascii="Times New Roman" w:hAnsi="Times New Roman"/>
          <w:sz w:val="24"/>
          <w:szCs w:val="24"/>
        </w:rPr>
        <w:t xml:space="preserve">De la compréhension des textes légaux applicables à la participation de l’Etat, l’explication des règles courantes régissant la relation financière entre les EPE et le Gouvernement, du reste comprises dans ces textes, peut se situer à trois niveaux. </w:t>
      </w:r>
    </w:p>
    <w:p w14:paraId="276BE54F" w14:textId="41BFA50E" w:rsidR="00F000B0" w:rsidRPr="00B072C9" w:rsidRDefault="00F000B0" w:rsidP="00F000B0">
      <w:pPr>
        <w:ind w:left="284"/>
        <w:jc w:val="both"/>
        <w:rPr>
          <w:rFonts w:ascii="Times New Roman" w:hAnsi="Times New Roman"/>
          <w:sz w:val="24"/>
        </w:rPr>
      </w:pPr>
      <w:r w:rsidRPr="00AA5351">
        <w:rPr>
          <w:rFonts w:ascii="Times New Roman" w:hAnsi="Times New Roman"/>
          <w:sz w:val="24"/>
          <w:szCs w:val="24"/>
        </w:rPr>
        <w:t xml:space="preserve">Le premier niveau est celui du paiement des impôts, taxes fiscales, non fiscales et parafiscales ainsi que les autres droits dus à l’Etat. Ici les règles </w:t>
      </w:r>
      <w:r w:rsidRPr="00B072C9">
        <w:rPr>
          <w:rFonts w:ascii="Times New Roman" w:hAnsi="Times New Roman"/>
          <w:sz w:val="24"/>
          <w:szCs w:val="24"/>
          <w:lang w:val="fr-CA"/>
        </w:rPr>
        <w:t>qui régissent les relations financières</w:t>
      </w:r>
      <w:r w:rsidRPr="00F7160F">
        <w:rPr>
          <w:rFonts w:ascii="Times New Roman" w:hAnsi="Times New Roman"/>
          <w:sz w:val="24"/>
          <w:szCs w:val="24"/>
        </w:rPr>
        <w:t xml:space="preserve"> entre</w:t>
      </w:r>
      <w:r>
        <w:rPr>
          <w:rFonts w:ascii="Times New Roman" w:hAnsi="Times New Roman"/>
          <w:sz w:val="24"/>
          <w:szCs w:val="24"/>
        </w:rPr>
        <w:t xml:space="preserve"> l’</w:t>
      </w:r>
      <w:r w:rsidRPr="00AA5351">
        <w:rPr>
          <w:rFonts w:ascii="Times New Roman" w:hAnsi="Times New Roman"/>
          <w:sz w:val="24"/>
          <w:szCs w:val="24"/>
        </w:rPr>
        <w:t>Etat et les EPE sont celles déterminées par la législation fiscale, douanière et para fiscale qui s’appliquent à tous les contribuables y compris les EPE. Ainsi, les EPE se comportent comme tout autre contribuable en accomplissant leurs obligations par le paiement, dans les délais des droits dus à l’Etat.  L</w:t>
      </w:r>
      <w:r w:rsidR="00744749">
        <w:rPr>
          <w:rFonts w:ascii="Times New Roman" w:hAnsi="Times New Roman"/>
          <w:sz w:val="24"/>
          <w:szCs w:val="24"/>
        </w:rPr>
        <w:t xml:space="preserve">’EPE ne bénéficie d’aucun </w:t>
      </w:r>
      <w:r w:rsidRPr="00AA5351">
        <w:rPr>
          <w:rFonts w:ascii="Times New Roman" w:hAnsi="Times New Roman"/>
          <w:sz w:val="24"/>
          <w:szCs w:val="24"/>
        </w:rPr>
        <w:t>traitement de faveur</w:t>
      </w:r>
      <w:r w:rsidR="00E95A58">
        <w:rPr>
          <w:rFonts w:ascii="Times New Roman" w:hAnsi="Times New Roman"/>
          <w:sz w:val="24"/>
          <w:szCs w:val="24"/>
        </w:rPr>
        <w:t>, sauf</w:t>
      </w:r>
      <w:r w:rsidRPr="00AA5351">
        <w:rPr>
          <w:rFonts w:ascii="Times New Roman" w:hAnsi="Times New Roman"/>
          <w:sz w:val="24"/>
          <w:szCs w:val="24"/>
        </w:rPr>
        <w:t xml:space="preserve"> dans les cas où elle </w:t>
      </w:r>
      <w:r w:rsidR="00744749">
        <w:rPr>
          <w:rFonts w:ascii="Times New Roman" w:hAnsi="Times New Roman"/>
          <w:sz w:val="24"/>
          <w:szCs w:val="24"/>
        </w:rPr>
        <w:t>jouit</w:t>
      </w:r>
      <w:r w:rsidRPr="00AA5351">
        <w:rPr>
          <w:rFonts w:ascii="Times New Roman" w:hAnsi="Times New Roman"/>
          <w:sz w:val="24"/>
          <w:szCs w:val="24"/>
        </w:rPr>
        <w:t xml:space="preserve"> des privilèges fiscaux en vertu des lois ou d’une dérogation expresse accordée par les autorités fiscales compétentes</w:t>
      </w:r>
      <w:r w:rsidR="00602C99">
        <w:rPr>
          <w:rStyle w:val="Appelnotedebasdep"/>
          <w:rFonts w:ascii="Times New Roman" w:hAnsi="Times New Roman"/>
          <w:sz w:val="24"/>
          <w:szCs w:val="24"/>
        </w:rPr>
        <w:footnoteReference w:id="30"/>
      </w:r>
      <w:r w:rsidRPr="00AA5351">
        <w:rPr>
          <w:rFonts w:ascii="Times New Roman" w:hAnsi="Times New Roman"/>
          <w:sz w:val="24"/>
          <w:szCs w:val="24"/>
        </w:rPr>
        <w:t>.</w:t>
      </w:r>
    </w:p>
    <w:p w14:paraId="7148CF8E" w14:textId="77777777" w:rsidR="00F000B0" w:rsidRPr="00AA5351" w:rsidRDefault="00F000B0" w:rsidP="00F000B0">
      <w:pPr>
        <w:ind w:left="284"/>
        <w:jc w:val="both"/>
        <w:rPr>
          <w:rFonts w:ascii="Times New Roman" w:hAnsi="Times New Roman"/>
          <w:sz w:val="24"/>
          <w:szCs w:val="24"/>
        </w:rPr>
      </w:pPr>
      <w:r w:rsidRPr="00AA5351">
        <w:rPr>
          <w:rFonts w:ascii="Times New Roman" w:hAnsi="Times New Roman"/>
          <w:sz w:val="24"/>
          <w:szCs w:val="24"/>
        </w:rPr>
        <w:t xml:space="preserve">Rentre aussi dans ce niveau, le paiement de dividende dû à l’Etat qui est calculé sur le </w:t>
      </w:r>
      <w:r w:rsidR="00602C99">
        <w:rPr>
          <w:rFonts w:ascii="Times New Roman" w:hAnsi="Times New Roman"/>
          <w:sz w:val="24"/>
          <w:szCs w:val="24"/>
        </w:rPr>
        <w:t xml:space="preserve">résultat </w:t>
      </w:r>
      <w:r w:rsidR="006113BB">
        <w:rPr>
          <w:rFonts w:ascii="Times New Roman" w:hAnsi="Times New Roman"/>
          <w:sz w:val="24"/>
          <w:szCs w:val="24"/>
        </w:rPr>
        <w:t>de l’exercice</w:t>
      </w:r>
      <w:r w:rsidRPr="00AA5351">
        <w:rPr>
          <w:rFonts w:ascii="Times New Roman" w:hAnsi="Times New Roman"/>
          <w:sz w:val="24"/>
          <w:szCs w:val="24"/>
        </w:rPr>
        <w:t xml:space="preserve">.  </w:t>
      </w:r>
    </w:p>
    <w:p w14:paraId="114F5BD9" w14:textId="702BD815" w:rsidR="00F000B0" w:rsidRPr="00AA5351" w:rsidRDefault="00F000B0" w:rsidP="00F000B0">
      <w:pPr>
        <w:ind w:left="284"/>
        <w:jc w:val="both"/>
        <w:rPr>
          <w:rFonts w:ascii="Times New Roman" w:hAnsi="Times New Roman"/>
          <w:sz w:val="24"/>
          <w:szCs w:val="24"/>
        </w:rPr>
      </w:pPr>
      <w:r w:rsidRPr="00AA5351">
        <w:rPr>
          <w:rFonts w:ascii="Times New Roman" w:hAnsi="Times New Roman"/>
          <w:sz w:val="24"/>
          <w:szCs w:val="24"/>
        </w:rPr>
        <w:t>Le deuxième niveau est le cas spécifique des cessions des titres (miniers /pétroliers) ou des parts du capital (parts sociales/actions).</w:t>
      </w:r>
      <w:r>
        <w:rPr>
          <w:rFonts w:ascii="Times New Roman" w:hAnsi="Times New Roman"/>
          <w:sz w:val="24"/>
          <w:szCs w:val="24"/>
        </w:rPr>
        <w:t xml:space="preserve"> </w:t>
      </w:r>
      <w:r w:rsidRPr="00AA5351">
        <w:rPr>
          <w:rFonts w:ascii="Times New Roman" w:hAnsi="Times New Roman"/>
          <w:sz w:val="24"/>
          <w:szCs w:val="24"/>
        </w:rPr>
        <w:t>Les règles applicables sont déterminées par la Loi n°08/008 du 7 juillet 2008 portant dispositions générales sur le désengagement de l’Etat des EPE et le D</w:t>
      </w:r>
      <w:r>
        <w:rPr>
          <w:rFonts w:ascii="Times New Roman" w:hAnsi="Times New Roman"/>
          <w:sz w:val="24"/>
          <w:szCs w:val="24"/>
        </w:rPr>
        <w:t>é</w:t>
      </w:r>
      <w:r w:rsidRPr="00AA5351">
        <w:rPr>
          <w:rFonts w:ascii="Times New Roman" w:hAnsi="Times New Roman"/>
          <w:sz w:val="24"/>
          <w:szCs w:val="24"/>
        </w:rPr>
        <w:t xml:space="preserve">cret </w:t>
      </w:r>
      <w:r w:rsidRPr="00AA5351">
        <w:rPr>
          <w:rFonts w:ascii="Times New Roman" w:hAnsi="Times New Roman"/>
          <w:sz w:val="24"/>
          <w:szCs w:val="24"/>
        </w:rPr>
        <w:lastRenderedPageBreak/>
        <w:t>n° 13/003 du 15 janvier 2013 relatif aux conditions et modalités de cession des parts sociales ou actions de l'Etat aux personnes physiques ou morales de nationalité congolaise et/ou aux salariés</w:t>
      </w:r>
    </w:p>
    <w:p w14:paraId="2C833E9E" w14:textId="77777777" w:rsidR="00F000B0" w:rsidRPr="00AA5351" w:rsidRDefault="00F000B0" w:rsidP="00F000B0">
      <w:pPr>
        <w:ind w:left="284"/>
        <w:jc w:val="both"/>
        <w:rPr>
          <w:rFonts w:ascii="Times New Roman" w:hAnsi="Times New Roman"/>
          <w:sz w:val="24"/>
          <w:szCs w:val="24"/>
        </w:rPr>
      </w:pPr>
      <w:r w:rsidRPr="007E6B6B">
        <w:rPr>
          <w:rFonts w:ascii="Times New Roman" w:hAnsi="Times New Roman"/>
          <w:sz w:val="24"/>
        </w:rPr>
        <w:t>Au sens de ces deux textes, la cession à titre onéreux de la propriété de tout ou partie des actifs ou de tout ou partie du capital</w:t>
      </w:r>
      <w:r w:rsidRPr="00B13114">
        <w:rPr>
          <w:rFonts w:ascii="Times New Roman" w:hAnsi="Times New Roman"/>
          <w:sz w:val="24"/>
        </w:rPr>
        <w:t xml:space="preserve"> de l’EPE constitue un désengagement de l’Etat de cette dernière. L’EPE étant une propriété commune de la collectivité nationale, toute cession </w:t>
      </w:r>
      <w:r w:rsidRPr="00AA5351">
        <w:rPr>
          <w:rFonts w:ascii="Times New Roman" w:hAnsi="Times New Roman"/>
          <w:sz w:val="24"/>
        </w:rPr>
        <w:t>d’actifs ou du capital est conditionnée par  l’observance d’une procédure qui prévoit  l’octroi par voie d’appel d’offres. L’avis de cession doit être publié au journal officiel et dans trois organes de presse. Chaque année, le Ministre du portefeuille doit faire rapport au Gouvernement sur les opérations de désengagement entreprises durant l’année. Il en indique également les retombées financières.</w:t>
      </w:r>
    </w:p>
    <w:p w14:paraId="42060260" w14:textId="47383B3C" w:rsidR="00F000B0" w:rsidRPr="00AA5351" w:rsidRDefault="00F000B0" w:rsidP="00F000B0">
      <w:pPr>
        <w:ind w:left="284"/>
        <w:jc w:val="both"/>
        <w:rPr>
          <w:rFonts w:ascii="Times New Roman" w:hAnsi="Times New Roman"/>
          <w:sz w:val="24"/>
          <w:szCs w:val="24"/>
        </w:rPr>
      </w:pPr>
      <w:r w:rsidRPr="00AA5351">
        <w:rPr>
          <w:rFonts w:ascii="Times New Roman" w:hAnsi="Times New Roman"/>
          <w:sz w:val="24"/>
          <w:szCs w:val="24"/>
        </w:rPr>
        <w:t xml:space="preserve">Conformément aux articles 24 et 25 Loi n°08/008 du 7 juillet 2008, la cession des actions, des parts sociales ou d’actifs se fait contre paiement préalable et intégrale du prix. Les recettes provenant du désengagement sont versées dans un compte spécial du Trésor. </w:t>
      </w:r>
    </w:p>
    <w:p w14:paraId="7B95E195" w14:textId="77777777" w:rsidR="00F000B0" w:rsidRPr="00AA5351" w:rsidRDefault="00F000B0" w:rsidP="00F000B0">
      <w:pPr>
        <w:shd w:val="clear" w:color="auto" w:fill="FFFFFF"/>
        <w:ind w:left="284"/>
        <w:jc w:val="both"/>
        <w:rPr>
          <w:rFonts w:ascii="Times New Roman" w:eastAsia="Times New Roman" w:hAnsi="Times New Roman"/>
          <w:b/>
          <w:bCs/>
          <w:i/>
          <w:iCs/>
          <w:color w:val="333333"/>
          <w:sz w:val="24"/>
          <w:szCs w:val="24"/>
          <w:lang w:eastAsia="fr-FR"/>
        </w:rPr>
      </w:pPr>
      <w:r w:rsidRPr="00AA5351">
        <w:rPr>
          <w:rFonts w:ascii="Times New Roman" w:hAnsi="Times New Roman"/>
          <w:sz w:val="24"/>
          <w:szCs w:val="24"/>
        </w:rPr>
        <w:t xml:space="preserve"> Le troisième niveau concernent  les règles régissant la repartions des recettes issues  des partenariats. </w:t>
      </w:r>
      <w:r w:rsidRPr="00AA5351">
        <w:rPr>
          <w:rFonts w:ascii="Times New Roman" w:hAnsi="Times New Roman"/>
          <w:color w:val="333333"/>
          <w:sz w:val="24"/>
          <w:szCs w:val="24"/>
        </w:rPr>
        <w:t xml:space="preserve"> </w:t>
      </w:r>
      <w:r w:rsidRPr="00AA5351">
        <w:rPr>
          <w:rFonts w:ascii="Times New Roman" w:hAnsi="Times New Roman"/>
          <w:sz w:val="24"/>
          <w:szCs w:val="24"/>
        </w:rPr>
        <w:t>L'Article 39 de la Loi des Finances n°15/021 du 31 décembre 2015 pour l'exercice 2016, prévoit que les 50 % des pas de porte et royalties dont bénéficient les entreprises du portefeuille de l’Etat du secteur minier, en vertu de contrats et conventions, soient portés sur les recettes non fiscales et perçus conformément à la procédure prévue en la matière</w:t>
      </w:r>
      <w:r w:rsidRPr="00AA5351">
        <w:rPr>
          <w:rFonts w:ascii="Times New Roman" w:eastAsia="Times New Roman" w:hAnsi="Times New Roman"/>
          <w:b/>
          <w:bCs/>
          <w:i/>
          <w:iCs/>
          <w:color w:val="333333"/>
          <w:sz w:val="24"/>
          <w:szCs w:val="24"/>
          <w:lang w:eastAsia="fr-FR"/>
        </w:rPr>
        <w:t>.</w:t>
      </w:r>
    </w:p>
    <w:p w14:paraId="3FFC009F" w14:textId="77777777" w:rsidR="00F000B0" w:rsidRPr="00AA5351" w:rsidRDefault="00F000B0" w:rsidP="00F000B0">
      <w:pPr>
        <w:shd w:val="clear" w:color="auto" w:fill="FFFFFF"/>
        <w:ind w:left="284"/>
        <w:rPr>
          <w:rFonts w:ascii="Times New Roman" w:eastAsia="Times New Roman" w:hAnsi="Times New Roman"/>
          <w:color w:val="333333"/>
          <w:sz w:val="24"/>
          <w:szCs w:val="24"/>
          <w:lang w:eastAsia="fr-FR"/>
        </w:rPr>
      </w:pPr>
      <w:r w:rsidRPr="00AA5351">
        <w:rPr>
          <w:rFonts w:ascii="Times New Roman" w:hAnsi="Times New Roman"/>
          <w:sz w:val="24"/>
          <w:szCs w:val="24"/>
        </w:rPr>
        <w:t>Pour plus d’informations consulter</w:t>
      </w:r>
      <w:r>
        <w:rPr>
          <w:rFonts w:ascii="Times New Roman" w:hAnsi="Times New Roman"/>
          <w:sz w:val="24"/>
          <w:szCs w:val="24"/>
        </w:rPr>
        <w:t xml:space="preserve"> La page suivante :</w:t>
      </w:r>
      <w:r w:rsidRPr="00AA5351">
        <w:rPr>
          <w:rFonts w:ascii="Times New Roman" w:hAnsi="Times New Roman"/>
          <w:color w:val="333333"/>
          <w:sz w:val="24"/>
          <w:szCs w:val="24"/>
          <w:shd w:val="clear" w:color="auto" w:fill="FFFFFF"/>
        </w:rPr>
        <w:t xml:space="preserve"> </w:t>
      </w:r>
      <w:hyperlink r:id="rId54" w:history="1">
        <w:r w:rsidRPr="00AA5351">
          <w:rPr>
            <w:rStyle w:val="Lienhypertexte"/>
            <w:rFonts w:ascii="Times New Roman" w:hAnsi="Times New Roman"/>
            <w:sz w:val="24"/>
            <w:szCs w:val="24"/>
          </w:rPr>
          <w:t>http://www.leganet.cd/Legislation/Dfiscal/Finances/Loi%2015.021.31.12.html</w:t>
        </w:r>
      </w:hyperlink>
    </w:p>
    <w:p w14:paraId="41B0B864" w14:textId="77777777" w:rsidR="00F000B0" w:rsidRPr="00AA5351" w:rsidRDefault="00F000B0" w:rsidP="00F000B0">
      <w:pPr>
        <w:ind w:left="284"/>
        <w:jc w:val="both"/>
        <w:rPr>
          <w:rFonts w:ascii="Times New Roman" w:hAnsi="Times New Roman"/>
          <w:sz w:val="24"/>
          <w:szCs w:val="24"/>
        </w:rPr>
      </w:pPr>
      <w:r w:rsidRPr="00AA5351">
        <w:rPr>
          <w:rFonts w:ascii="Times New Roman" w:hAnsi="Times New Roman"/>
          <w:sz w:val="24"/>
          <w:szCs w:val="24"/>
        </w:rPr>
        <w:t xml:space="preserve"> En clair, 50% des recettes des pas de porte et des royalties perçus  par les EPE reviennent à l’Etat et les 50% autres reviennent à l’EPE. Les autres recettes contractuelles reviennent en totalité aux EPE. </w:t>
      </w:r>
    </w:p>
    <w:p w14:paraId="339EABFF" w14:textId="77777777" w:rsidR="00F000B0" w:rsidRPr="00AA5351" w:rsidRDefault="00F000B0" w:rsidP="00F000B0">
      <w:pPr>
        <w:ind w:left="284"/>
        <w:jc w:val="both"/>
        <w:rPr>
          <w:rFonts w:ascii="Times New Roman" w:hAnsi="Times New Roman"/>
          <w:sz w:val="24"/>
          <w:szCs w:val="24"/>
        </w:rPr>
      </w:pPr>
      <w:r w:rsidRPr="00AA5351">
        <w:rPr>
          <w:rFonts w:ascii="Times New Roman" w:hAnsi="Times New Roman"/>
          <w:sz w:val="24"/>
          <w:szCs w:val="24"/>
        </w:rPr>
        <w:t>Pour ce qui est des pratiques, les cas ci-après  peuvent être épinglés  pour décrire la relation financière être le Gouvernement et les EPE:</w:t>
      </w:r>
    </w:p>
    <w:p w14:paraId="69391D0B" w14:textId="77777777" w:rsidR="00F000B0" w:rsidRPr="00AA5351" w:rsidRDefault="00F000B0" w:rsidP="000738D3">
      <w:pPr>
        <w:pStyle w:val="Paragraphedeliste"/>
        <w:numPr>
          <w:ilvl w:val="0"/>
          <w:numId w:val="44"/>
        </w:numPr>
        <w:spacing w:after="160" w:line="259" w:lineRule="auto"/>
        <w:jc w:val="both"/>
        <w:rPr>
          <w:rFonts w:ascii="Times New Roman" w:hAnsi="Times New Roman" w:cs="Times New Roman"/>
          <w:b/>
          <w:sz w:val="24"/>
          <w:szCs w:val="24"/>
        </w:rPr>
      </w:pPr>
      <w:r w:rsidRPr="00AA5351">
        <w:rPr>
          <w:rFonts w:ascii="Times New Roman" w:hAnsi="Times New Roman" w:cs="Times New Roman"/>
          <w:b/>
          <w:sz w:val="24"/>
          <w:szCs w:val="24"/>
        </w:rPr>
        <w:t>Les dividendes,</w:t>
      </w:r>
    </w:p>
    <w:p w14:paraId="4F1C0CCE" w14:textId="77777777" w:rsidR="00F000B0" w:rsidRPr="00AA5351" w:rsidRDefault="00F000B0" w:rsidP="00F000B0">
      <w:pPr>
        <w:ind w:left="709"/>
        <w:jc w:val="both"/>
        <w:rPr>
          <w:rFonts w:ascii="Times New Roman" w:hAnsi="Times New Roman"/>
          <w:sz w:val="24"/>
          <w:szCs w:val="24"/>
        </w:rPr>
      </w:pPr>
      <w:r w:rsidRPr="00AA5351">
        <w:rPr>
          <w:rFonts w:ascii="Times New Roman" w:hAnsi="Times New Roman"/>
          <w:sz w:val="24"/>
          <w:szCs w:val="24"/>
        </w:rPr>
        <w:t>Le principe voudrait qu’ils soient  calculés sur des résultats bénéficiaires.  Cependant, le document reçu du Ministère indique qu’ils sont calculés non pas sur le résultat mais sont perçus au titre d’avances calculées sur le chiffre d’affaires de l’EPE.</w:t>
      </w:r>
    </w:p>
    <w:p w14:paraId="02242490" w14:textId="77777777" w:rsidR="00F000B0" w:rsidRPr="00AA5351" w:rsidRDefault="00F000B0" w:rsidP="00F000B0">
      <w:pPr>
        <w:ind w:left="709"/>
        <w:jc w:val="both"/>
        <w:rPr>
          <w:rFonts w:ascii="Times New Roman" w:hAnsi="Times New Roman"/>
          <w:sz w:val="24"/>
          <w:szCs w:val="24"/>
        </w:rPr>
      </w:pPr>
      <w:r w:rsidRPr="00AA5351">
        <w:rPr>
          <w:rFonts w:ascii="Times New Roman" w:hAnsi="Times New Roman"/>
          <w:sz w:val="24"/>
          <w:szCs w:val="24"/>
        </w:rPr>
        <w:t xml:space="preserve">L’analyse </w:t>
      </w:r>
      <w:r>
        <w:rPr>
          <w:rFonts w:ascii="Times New Roman" w:hAnsi="Times New Roman"/>
          <w:sz w:val="24"/>
          <w:szCs w:val="24"/>
        </w:rPr>
        <w:t>d</w:t>
      </w:r>
      <w:r w:rsidRPr="00AA5351">
        <w:rPr>
          <w:rFonts w:ascii="Times New Roman" w:hAnsi="Times New Roman"/>
          <w:sz w:val="24"/>
          <w:szCs w:val="24"/>
        </w:rPr>
        <w:t>es documents</w:t>
      </w:r>
      <w:r>
        <w:rPr>
          <w:rStyle w:val="Appelnotedebasdep"/>
          <w:rFonts w:ascii="Times New Roman" w:hAnsi="Times New Roman"/>
          <w:sz w:val="24"/>
          <w:szCs w:val="24"/>
        </w:rPr>
        <w:footnoteReference w:id="31"/>
      </w:r>
      <w:r w:rsidRPr="00AA5351">
        <w:rPr>
          <w:rFonts w:ascii="Times New Roman" w:hAnsi="Times New Roman"/>
          <w:sz w:val="24"/>
          <w:szCs w:val="24"/>
        </w:rPr>
        <w:t xml:space="preserve"> reçus des EPE permet aussi de comprendre que les dividendes sont payés sous l’appellation « contribution au budget de l’Etat » flux retenu dans le Référentiel ITIE.</w:t>
      </w:r>
    </w:p>
    <w:p w14:paraId="3F9B671A" w14:textId="77777777" w:rsidR="00F000B0" w:rsidRDefault="00F000B0" w:rsidP="00F000B0">
      <w:pPr>
        <w:ind w:left="709"/>
        <w:jc w:val="both"/>
        <w:rPr>
          <w:rFonts w:ascii="Times New Roman" w:hAnsi="Times New Roman"/>
          <w:sz w:val="24"/>
          <w:szCs w:val="24"/>
        </w:rPr>
      </w:pPr>
      <w:r w:rsidRPr="00AA5351">
        <w:rPr>
          <w:rFonts w:ascii="Times New Roman" w:hAnsi="Times New Roman"/>
          <w:sz w:val="24"/>
          <w:szCs w:val="24"/>
        </w:rPr>
        <w:t xml:space="preserve">En </w:t>
      </w:r>
      <w:r w:rsidR="00CB25B6">
        <w:rPr>
          <w:rFonts w:ascii="Times New Roman" w:hAnsi="Times New Roman"/>
          <w:sz w:val="24"/>
          <w:szCs w:val="24"/>
        </w:rPr>
        <w:t xml:space="preserve">principe, </w:t>
      </w:r>
      <w:r w:rsidR="00CB25B6" w:rsidRPr="00AA5351">
        <w:rPr>
          <w:rFonts w:ascii="Times New Roman" w:hAnsi="Times New Roman"/>
          <w:sz w:val="24"/>
          <w:szCs w:val="24"/>
        </w:rPr>
        <w:t xml:space="preserve">le Gouvernement </w:t>
      </w:r>
      <w:r w:rsidR="00CB25B6">
        <w:rPr>
          <w:rFonts w:ascii="Times New Roman" w:hAnsi="Times New Roman"/>
          <w:sz w:val="24"/>
          <w:szCs w:val="24"/>
        </w:rPr>
        <w:t>devrait percevoir</w:t>
      </w:r>
      <w:r w:rsidR="00CB25B6" w:rsidRPr="00AA5351">
        <w:rPr>
          <w:rFonts w:ascii="Times New Roman" w:hAnsi="Times New Roman"/>
          <w:sz w:val="24"/>
          <w:szCs w:val="24"/>
        </w:rPr>
        <w:t xml:space="preserve"> </w:t>
      </w:r>
      <w:r w:rsidR="00CB25B6">
        <w:rPr>
          <w:rFonts w:ascii="Times New Roman" w:hAnsi="Times New Roman"/>
          <w:sz w:val="24"/>
          <w:szCs w:val="24"/>
        </w:rPr>
        <w:t xml:space="preserve">des dividendes calculés sur les résultats </w:t>
      </w:r>
      <w:r w:rsidR="007304BC">
        <w:rPr>
          <w:rFonts w:ascii="Times New Roman" w:hAnsi="Times New Roman"/>
          <w:sz w:val="24"/>
          <w:szCs w:val="24"/>
        </w:rPr>
        <w:t>bénéficiaires, m</w:t>
      </w:r>
      <w:r w:rsidR="00CF4D8F">
        <w:rPr>
          <w:rFonts w:ascii="Times New Roman" w:hAnsi="Times New Roman"/>
          <w:sz w:val="24"/>
          <w:szCs w:val="24"/>
        </w:rPr>
        <w:t xml:space="preserve">ais </w:t>
      </w:r>
      <w:r w:rsidR="007304BC">
        <w:rPr>
          <w:rFonts w:ascii="Times New Roman" w:hAnsi="Times New Roman"/>
          <w:sz w:val="24"/>
          <w:szCs w:val="24"/>
        </w:rPr>
        <w:t>du fait</w:t>
      </w:r>
      <w:r w:rsidR="00CF4D8F">
        <w:rPr>
          <w:rFonts w:ascii="Times New Roman" w:hAnsi="Times New Roman"/>
          <w:sz w:val="24"/>
          <w:szCs w:val="24"/>
        </w:rPr>
        <w:t xml:space="preserve"> </w:t>
      </w:r>
      <w:r w:rsidR="007304BC">
        <w:rPr>
          <w:rFonts w:ascii="Times New Roman" w:hAnsi="Times New Roman"/>
          <w:sz w:val="24"/>
          <w:szCs w:val="24"/>
        </w:rPr>
        <w:t>des résultats déficitaires quasi permanents</w:t>
      </w:r>
      <w:r w:rsidR="00CF4D8F">
        <w:rPr>
          <w:rFonts w:ascii="Times New Roman" w:hAnsi="Times New Roman"/>
          <w:sz w:val="24"/>
          <w:szCs w:val="24"/>
        </w:rPr>
        <w:t xml:space="preserve"> des EPE, </w:t>
      </w:r>
      <w:r w:rsidR="00F706CA">
        <w:rPr>
          <w:rFonts w:ascii="Times New Roman" w:hAnsi="Times New Roman"/>
          <w:sz w:val="24"/>
          <w:szCs w:val="24"/>
        </w:rPr>
        <w:t xml:space="preserve">comme palliatif, le Gouvernement a prévu </w:t>
      </w:r>
      <w:r w:rsidR="007304BC">
        <w:rPr>
          <w:rFonts w:ascii="Times New Roman" w:hAnsi="Times New Roman"/>
          <w:sz w:val="24"/>
          <w:szCs w:val="24"/>
        </w:rPr>
        <w:t>un prélèvement d’autorité appelé « contribution au budget de l’Etat ». Ce prélèvement est calculé sur la surface financière de</w:t>
      </w:r>
      <w:r w:rsidR="00BB3DD1">
        <w:rPr>
          <w:rFonts w:ascii="Times New Roman" w:hAnsi="Times New Roman"/>
          <w:sz w:val="24"/>
          <w:szCs w:val="24"/>
        </w:rPr>
        <w:t xml:space="preserve"> l’</w:t>
      </w:r>
      <w:r w:rsidR="007304BC">
        <w:rPr>
          <w:rFonts w:ascii="Times New Roman" w:hAnsi="Times New Roman"/>
          <w:sz w:val="24"/>
          <w:szCs w:val="24"/>
        </w:rPr>
        <w:t xml:space="preserve">EPE </w:t>
      </w:r>
      <w:r w:rsidR="00BB3DD1">
        <w:rPr>
          <w:rFonts w:ascii="Times New Roman" w:hAnsi="Times New Roman"/>
          <w:sz w:val="24"/>
          <w:szCs w:val="24"/>
        </w:rPr>
        <w:t>en veillant à la sauvegarde de</w:t>
      </w:r>
      <w:r w:rsidR="007304BC">
        <w:rPr>
          <w:rFonts w:ascii="Times New Roman" w:hAnsi="Times New Roman"/>
          <w:sz w:val="24"/>
          <w:szCs w:val="24"/>
        </w:rPr>
        <w:t xml:space="preserve"> son exploitation.</w:t>
      </w:r>
      <w:r w:rsidR="00CF4D8F">
        <w:rPr>
          <w:rFonts w:ascii="Times New Roman" w:hAnsi="Times New Roman"/>
          <w:sz w:val="24"/>
          <w:szCs w:val="24"/>
        </w:rPr>
        <w:t xml:space="preserve"> </w:t>
      </w:r>
      <w:r w:rsidR="00CB25B6">
        <w:rPr>
          <w:rFonts w:ascii="Times New Roman" w:hAnsi="Times New Roman"/>
          <w:sz w:val="24"/>
          <w:szCs w:val="24"/>
        </w:rPr>
        <w:t xml:space="preserve"> </w:t>
      </w:r>
    </w:p>
    <w:p w14:paraId="5D0DA134" w14:textId="77777777" w:rsidR="00381D22" w:rsidRPr="00AA5351" w:rsidRDefault="00381D22" w:rsidP="00F000B0">
      <w:pPr>
        <w:ind w:left="709"/>
        <w:jc w:val="both"/>
        <w:rPr>
          <w:rFonts w:ascii="Times New Roman" w:hAnsi="Times New Roman"/>
          <w:sz w:val="24"/>
          <w:szCs w:val="24"/>
        </w:rPr>
      </w:pPr>
    </w:p>
    <w:p w14:paraId="47CF3287" w14:textId="77777777" w:rsidR="00F000B0" w:rsidRPr="00AA5351" w:rsidRDefault="00F000B0" w:rsidP="000738D3">
      <w:pPr>
        <w:pStyle w:val="Paragraphedeliste"/>
        <w:numPr>
          <w:ilvl w:val="0"/>
          <w:numId w:val="44"/>
        </w:numPr>
        <w:spacing w:after="160" w:line="259" w:lineRule="auto"/>
        <w:jc w:val="both"/>
        <w:rPr>
          <w:rFonts w:ascii="Times New Roman" w:hAnsi="Times New Roman" w:cs="Times New Roman"/>
          <w:b/>
          <w:sz w:val="24"/>
          <w:szCs w:val="24"/>
        </w:rPr>
      </w:pPr>
      <w:r w:rsidRPr="00AA5351">
        <w:rPr>
          <w:rFonts w:ascii="Times New Roman" w:hAnsi="Times New Roman" w:cs="Times New Roman"/>
          <w:b/>
          <w:sz w:val="24"/>
          <w:szCs w:val="24"/>
        </w:rPr>
        <w:lastRenderedPageBreak/>
        <w:t>Les cessions d’actifs</w:t>
      </w:r>
    </w:p>
    <w:p w14:paraId="72D24CF7" w14:textId="0DF63DAE" w:rsidR="00F000B0" w:rsidRPr="00216312" w:rsidRDefault="00F000B0" w:rsidP="00F000B0">
      <w:pPr>
        <w:ind w:left="709"/>
        <w:jc w:val="both"/>
        <w:rPr>
          <w:rFonts w:ascii="Times New Roman" w:hAnsi="Times New Roman"/>
          <w:sz w:val="24"/>
          <w:szCs w:val="24"/>
        </w:rPr>
      </w:pPr>
      <w:r w:rsidRPr="00AA5351">
        <w:rPr>
          <w:rFonts w:ascii="Times New Roman" w:hAnsi="Times New Roman"/>
          <w:sz w:val="24"/>
          <w:szCs w:val="24"/>
        </w:rPr>
        <w:t>La GECAMINES a déclaré en 2016, avoir perçu 110 millions de dollars au titre de la cession de ses parts dans METALKOL</w:t>
      </w:r>
      <w:r w:rsidR="00BB3DD1">
        <w:rPr>
          <w:rStyle w:val="Appelnotedebasdep"/>
          <w:rFonts w:ascii="Times New Roman" w:hAnsi="Times New Roman"/>
          <w:sz w:val="24"/>
          <w:szCs w:val="24"/>
        </w:rPr>
        <w:footnoteReference w:id="32"/>
      </w:r>
      <w:r w:rsidRPr="00AA5351">
        <w:rPr>
          <w:rFonts w:ascii="Times New Roman" w:hAnsi="Times New Roman"/>
          <w:sz w:val="24"/>
          <w:szCs w:val="24"/>
        </w:rPr>
        <w:t>.</w:t>
      </w:r>
      <w:r w:rsidR="00381D22">
        <w:rPr>
          <w:rFonts w:ascii="Times New Roman" w:hAnsi="Times New Roman"/>
          <w:sz w:val="24"/>
          <w:szCs w:val="24"/>
        </w:rPr>
        <w:t xml:space="preserve"> Les états financiers</w:t>
      </w:r>
      <w:r w:rsidR="00C04F4A">
        <w:rPr>
          <w:rFonts w:ascii="Times New Roman" w:hAnsi="Times New Roman"/>
          <w:sz w:val="24"/>
          <w:szCs w:val="24"/>
        </w:rPr>
        <w:t xml:space="preserve"> (p.51)</w:t>
      </w:r>
      <w:r w:rsidR="00381D22">
        <w:rPr>
          <w:rFonts w:ascii="Times New Roman" w:hAnsi="Times New Roman"/>
          <w:sz w:val="24"/>
          <w:szCs w:val="24"/>
        </w:rPr>
        <w:t xml:space="preserve"> renseignent un </w:t>
      </w:r>
      <w:r w:rsidR="00C04F4A">
        <w:rPr>
          <w:rFonts w:ascii="Times New Roman" w:hAnsi="Times New Roman"/>
          <w:sz w:val="24"/>
          <w:szCs w:val="24"/>
        </w:rPr>
        <w:t>montant</w:t>
      </w:r>
      <w:r w:rsidR="00381D22">
        <w:rPr>
          <w:rFonts w:ascii="Times New Roman" w:hAnsi="Times New Roman"/>
          <w:sz w:val="24"/>
          <w:szCs w:val="24"/>
        </w:rPr>
        <w:t xml:space="preserve"> de 170 M</w:t>
      </w:r>
      <w:r w:rsidR="00D256CC">
        <w:rPr>
          <w:rFonts w:ascii="Times New Roman" w:hAnsi="Times New Roman"/>
          <w:sz w:val="24"/>
          <w:szCs w:val="24"/>
        </w:rPr>
        <w:t xml:space="preserve"> USD</w:t>
      </w:r>
      <w:r w:rsidR="00C04F4A">
        <w:rPr>
          <w:rFonts w:ascii="Times New Roman" w:hAnsi="Times New Roman"/>
          <w:sz w:val="24"/>
          <w:szCs w:val="24"/>
        </w:rPr>
        <w:t xml:space="preserve">. </w:t>
      </w:r>
      <w:r w:rsidRPr="00AA5351">
        <w:rPr>
          <w:rFonts w:ascii="Times New Roman" w:hAnsi="Times New Roman"/>
          <w:sz w:val="24"/>
          <w:szCs w:val="24"/>
        </w:rPr>
        <w:t xml:space="preserve">La société n’a pas indiqué avoir </w:t>
      </w:r>
      <w:r w:rsidR="00BB3DD1">
        <w:rPr>
          <w:rFonts w:ascii="Times New Roman" w:hAnsi="Times New Roman"/>
          <w:sz w:val="24"/>
          <w:szCs w:val="24"/>
        </w:rPr>
        <w:t xml:space="preserve">cédé cet actif à l’issue d’un </w:t>
      </w:r>
      <w:r w:rsidRPr="00AA5351">
        <w:rPr>
          <w:rFonts w:ascii="Times New Roman" w:hAnsi="Times New Roman"/>
          <w:sz w:val="24"/>
          <w:szCs w:val="24"/>
        </w:rPr>
        <w:t>appel d’offres.  Le Ministère du portefeuille</w:t>
      </w:r>
      <w:r w:rsidR="00FD0B4F">
        <w:rPr>
          <w:rFonts w:ascii="Times New Roman" w:hAnsi="Times New Roman"/>
          <w:sz w:val="24"/>
          <w:szCs w:val="24"/>
        </w:rPr>
        <w:t>,</w:t>
      </w:r>
      <w:r w:rsidRPr="00AA5351">
        <w:rPr>
          <w:rFonts w:ascii="Times New Roman" w:hAnsi="Times New Roman"/>
          <w:sz w:val="24"/>
          <w:szCs w:val="24"/>
        </w:rPr>
        <w:t xml:space="preserve"> </w:t>
      </w:r>
      <w:r w:rsidR="00FD0B4F">
        <w:rPr>
          <w:rFonts w:ascii="Times New Roman" w:hAnsi="Times New Roman"/>
          <w:sz w:val="24"/>
          <w:szCs w:val="24"/>
        </w:rPr>
        <w:t>également</w:t>
      </w:r>
      <w:r w:rsidR="00BB3DD1">
        <w:rPr>
          <w:rFonts w:ascii="Times New Roman" w:hAnsi="Times New Roman"/>
          <w:sz w:val="24"/>
          <w:szCs w:val="24"/>
        </w:rPr>
        <w:t>,</w:t>
      </w:r>
      <w:r w:rsidRPr="00AA5351">
        <w:rPr>
          <w:rFonts w:ascii="Times New Roman" w:hAnsi="Times New Roman"/>
          <w:sz w:val="24"/>
          <w:szCs w:val="24"/>
        </w:rPr>
        <w:t xml:space="preserve"> n’a pas renseigné avoir publié un avis de cession encore moins présenté le rapport du désengagement au Gouvernement.  Ainsi déclaré comme </w:t>
      </w:r>
      <w:r w:rsidR="00C04F4A">
        <w:rPr>
          <w:rFonts w:ascii="Times New Roman" w:hAnsi="Times New Roman"/>
          <w:sz w:val="24"/>
          <w:szCs w:val="24"/>
        </w:rPr>
        <w:t>recette propre par la société, la quote</w:t>
      </w:r>
      <w:r w:rsidR="00D256CC">
        <w:rPr>
          <w:rFonts w:ascii="Times New Roman" w:hAnsi="Times New Roman"/>
          <w:sz w:val="24"/>
          <w:szCs w:val="24"/>
        </w:rPr>
        <w:t>-</w:t>
      </w:r>
      <w:r w:rsidR="00C04F4A">
        <w:rPr>
          <w:rFonts w:ascii="Times New Roman" w:hAnsi="Times New Roman"/>
          <w:sz w:val="24"/>
          <w:szCs w:val="24"/>
        </w:rPr>
        <w:t xml:space="preserve">part  revenant à l’Etat </w:t>
      </w:r>
      <w:r w:rsidRPr="00AA5351">
        <w:rPr>
          <w:rFonts w:ascii="Times New Roman" w:hAnsi="Times New Roman"/>
          <w:sz w:val="24"/>
          <w:szCs w:val="24"/>
        </w:rPr>
        <w:t>n’a donc pas été versé</w:t>
      </w:r>
      <w:r w:rsidR="00C04F4A">
        <w:rPr>
          <w:rFonts w:ascii="Times New Roman" w:hAnsi="Times New Roman"/>
          <w:sz w:val="24"/>
          <w:szCs w:val="24"/>
        </w:rPr>
        <w:t>e</w:t>
      </w:r>
      <w:r w:rsidRPr="00AA5351">
        <w:rPr>
          <w:rFonts w:ascii="Times New Roman" w:hAnsi="Times New Roman"/>
          <w:sz w:val="24"/>
          <w:szCs w:val="24"/>
        </w:rPr>
        <w:t xml:space="preserve"> au Trésor public  comme l’exigent  </w:t>
      </w:r>
      <w:r>
        <w:rPr>
          <w:rFonts w:ascii="Times New Roman" w:hAnsi="Times New Roman"/>
          <w:sz w:val="24"/>
          <w:szCs w:val="24"/>
        </w:rPr>
        <w:t xml:space="preserve">la </w:t>
      </w:r>
      <w:r w:rsidRPr="00AA5351">
        <w:rPr>
          <w:rFonts w:ascii="Times New Roman" w:hAnsi="Times New Roman"/>
          <w:sz w:val="24"/>
          <w:szCs w:val="24"/>
        </w:rPr>
        <w:t>Loi n°08/008 du 7 juillet 2008 portant  dispositions générales sur le désengagement de l’Etat des EPE.</w:t>
      </w:r>
      <w:r w:rsidR="00C04F4A">
        <w:rPr>
          <w:rFonts w:ascii="Times New Roman" w:hAnsi="Times New Roman"/>
          <w:sz w:val="24"/>
          <w:szCs w:val="24"/>
        </w:rPr>
        <w:t xml:space="preserve"> Il est bon de rappeler que le produit de la cession d’actifs est une recette du Portefeuille de l’Etat.</w:t>
      </w:r>
    </w:p>
    <w:p w14:paraId="08DF9D77" w14:textId="77777777" w:rsidR="00F000B0" w:rsidRPr="00AA5351" w:rsidRDefault="00F000B0" w:rsidP="000738D3">
      <w:pPr>
        <w:pStyle w:val="Paragraphedeliste"/>
        <w:numPr>
          <w:ilvl w:val="0"/>
          <w:numId w:val="44"/>
        </w:numPr>
        <w:spacing w:after="160" w:line="259" w:lineRule="auto"/>
        <w:jc w:val="both"/>
        <w:rPr>
          <w:rFonts w:ascii="Times New Roman" w:hAnsi="Times New Roman" w:cs="Times New Roman"/>
          <w:b/>
          <w:sz w:val="24"/>
          <w:szCs w:val="24"/>
        </w:rPr>
      </w:pPr>
      <w:r w:rsidRPr="00AA5351">
        <w:rPr>
          <w:rFonts w:ascii="Times New Roman" w:hAnsi="Times New Roman" w:cs="Times New Roman"/>
          <w:b/>
          <w:sz w:val="24"/>
          <w:szCs w:val="24"/>
        </w:rPr>
        <w:t>Les recettes issues des partenariats</w:t>
      </w:r>
    </w:p>
    <w:p w14:paraId="05A889EB" w14:textId="77777777" w:rsidR="00F000B0" w:rsidRPr="00AA5351" w:rsidRDefault="00F000B0" w:rsidP="00F000B0">
      <w:pPr>
        <w:ind w:left="709"/>
        <w:jc w:val="both"/>
        <w:rPr>
          <w:rFonts w:ascii="Times New Roman" w:hAnsi="Times New Roman"/>
          <w:sz w:val="24"/>
          <w:szCs w:val="24"/>
        </w:rPr>
      </w:pPr>
      <w:r w:rsidRPr="00AA5351">
        <w:rPr>
          <w:rFonts w:ascii="Times New Roman" w:hAnsi="Times New Roman"/>
          <w:sz w:val="24"/>
          <w:szCs w:val="24"/>
        </w:rPr>
        <w:t xml:space="preserve">Pour ce qui est du partage des recettes des pas de porte et des royalties, en pratique, la Loi  des Finances précitée n’est pas rigoureusement respectée. </w:t>
      </w:r>
    </w:p>
    <w:p w14:paraId="2DBFABE1" w14:textId="2FDC6A2E" w:rsidR="00923952" w:rsidRDefault="00F000B0" w:rsidP="007F0DC0">
      <w:pPr>
        <w:spacing w:line="276" w:lineRule="auto"/>
        <w:ind w:left="709"/>
        <w:jc w:val="both"/>
        <w:rPr>
          <w:rFonts w:ascii="Times New Roman" w:hAnsi="Times New Roman"/>
          <w:sz w:val="24"/>
          <w:szCs w:val="24"/>
        </w:rPr>
      </w:pPr>
      <w:r w:rsidRPr="00AA5351">
        <w:rPr>
          <w:rFonts w:ascii="Times New Roman" w:hAnsi="Times New Roman"/>
          <w:sz w:val="24"/>
          <w:szCs w:val="24"/>
        </w:rPr>
        <w:t>Comme  illustration, les états financiers</w:t>
      </w:r>
      <w:r w:rsidR="00FD0B4F">
        <w:rPr>
          <w:rFonts w:ascii="Times New Roman" w:hAnsi="Times New Roman"/>
          <w:sz w:val="24"/>
          <w:szCs w:val="24"/>
        </w:rPr>
        <w:t> </w:t>
      </w:r>
      <w:r>
        <w:rPr>
          <w:rFonts w:ascii="Times New Roman" w:hAnsi="Times New Roman"/>
          <w:sz w:val="24"/>
          <w:szCs w:val="24"/>
        </w:rPr>
        <w:t xml:space="preserve">de la GECAMINES  de l’exercice 2016 à la page </w:t>
      </w:r>
      <w:proofErr w:type="spellStart"/>
      <w:r w:rsidRPr="00AA5351">
        <w:rPr>
          <w:rFonts w:ascii="Times New Roman" w:hAnsi="Times New Roman"/>
          <w:sz w:val="24"/>
          <w:szCs w:val="24"/>
        </w:rPr>
        <w:t>page</w:t>
      </w:r>
      <w:proofErr w:type="spellEnd"/>
      <w:r w:rsidRPr="00AA5351">
        <w:rPr>
          <w:rFonts w:ascii="Times New Roman" w:hAnsi="Times New Roman"/>
          <w:sz w:val="24"/>
          <w:szCs w:val="24"/>
        </w:rPr>
        <w:t xml:space="preserve"> 28  renseignent une avance sur royalties de 61,1 millions de dollars américains reçue </w:t>
      </w:r>
      <w:r>
        <w:rPr>
          <w:rFonts w:ascii="Times New Roman" w:hAnsi="Times New Roman"/>
          <w:sz w:val="24"/>
          <w:szCs w:val="24"/>
        </w:rPr>
        <w:t xml:space="preserve">par cette dernière  </w:t>
      </w:r>
      <w:r w:rsidRPr="00AA5351">
        <w:rPr>
          <w:rFonts w:ascii="Times New Roman" w:hAnsi="Times New Roman"/>
          <w:sz w:val="24"/>
          <w:szCs w:val="24"/>
        </w:rPr>
        <w:t>en 2016. L’entreprise n’indique nulle part avoir transféré au Trésor Public la part l</w:t>
      </w:r>
      <w:r w:rsidR="00373401">
        <w:rPr>
          <w:rFonts w:ascii="Times New Roman" w:hAnsi="Times New Roman"/>
          <w:sz w:val="24"/>
          <w:szCs w:val="24"/>
        </w:rPr>
        <w:t xml:space="preserve">ui revenant soit  30,55 M USD. </w:t>
      </w:r>
      <w:r w:rsidRPr="00AA5351">
        <w:rPr>
          <w:rFonts w:ascii="Times New Roman" w:hAnsi="Times New Roman"/>
          <w:sz w:val="24"/>
          <w:szCs w:val="24"/>
        </w:rPr>
        <w:t xml:space="preserve">L’entreprise déclare avoir  reçu  en 2016 un montant de 19,2 </w:t>
      </w:r>
      <w:r w:rsidR="00373401">
        <w:rPr>
          <w:rFonts w:ascii="Times New Roman" w:hAnsi="Times New Roman"/>
          <w:sz w:val="24"/>
          <w:szCs w:val="24"/>
        </w:rPr>
        <w:t xml:space="preserve">MUSD au titre de pas de porte. </w:t>
      </w:r>
      <w:r w:rsidRPr="00AA5351">
        <w:rPr>
          <w:rFonts w:ascii="Times New Roman" w:hAnsi="Times New Roman"/>
          <w:sz w:val="24"/>
          <w:szCs w:val="24"/>
        </w:rPr>
        <w:t xml:space="preserve">Ses </w:t>
      </w:r>
      <w:r>
        <w:rPr>
          <w:rFonts w:ascii="Times New Roman" w:hAnsi="Times New Roman"/>
          <w:sz w:val="24"/>
          <w:szCs w:val="24"/>
        </w:rPr>
        <w:t xml:space="preserve">mêmes </w:t>
      </w:r>
      <w:r w:rsidRPr="00AA5351">
        <w:rPr>
          <w:rFonts w:ascii="Times New Roman" w:hAnsi="Times New Roman"/>
          <w:sz w:val="24"/>
          <w:szCs w:val="24"/>
        </w:rPr>
        <w:t xml:space="preserve">états financiers renseignent   </w:t>
      </w:r>
      <w:r>
        <w:rPr>
          <w:rFonts w:ascii="Times New Roman" w:hAnsi="Times New Roman"/>
          <w:sz w:val="24"/>
          <w:szCs w:val="24"/>
        </w:rPr>
        <w:t xml:space="preserve">également </w:t>
      </w:r>
      <w:r w:rsidRPr="00AA5351">
        <w:rPr>
          <w:rFonts w:ascii="Times New Roman" w:hAnsi="Times New Roman"/>
          <w:sz w:val="24"/>
          <w:szCs w:val="24"/>
        </w:rPr>
        <w:t>aux pages 24  et 29 un pas de porte  de 4,8 M U</w:t>
      </w:r>
      <w:r>
        <w:rPr>
          <w:rFonts w:ascii="Times New Roman" w:hAnsi="Times New Roman"/>
          <w:sz w:val="24"/>
          <w:szCs w:val="24"/>
        </w:rPr>
        <w:t>SD</w:t>
      </w:r>
      <w:r w:rsidRPr="00AA5351">
        <w:rPr>
          <w:rFonts w:ascii="Times New Roman" w:hAnsi="Times New Roman"/>
          <w:sz w:val="24"/>
          <w:szCs w:val="24"/>
        </w:rPr>
        <w:t xml:space="preserve"> à recevoir en 2016 ainsi qu’un autre pas de porte de 125 millions $U</w:t>
      </w:r>
      <w:r w:rsidR="00D256CC" w:rsidRPr="00AA5351">
        <w:rPr>
          <w:rFonts w:ascii="Times New Roman" w:hAnsi="Times New Roman"/>
          <w:sz w:val="24"/>
          <w:szCs w:val="24"/>
        </w:rPr>
        <w:t>SD</w:t>
      </w:r>
      <w:r w:rsidRPr="00AA5351">
        <w:rPr>
          <w:rFonts w:ascii="Times New Roman" w:hAnsi="Times New Roman"/>
          <w:sz w:val="24"/>
          <w:szCs w:val="24"/>
        </w:rPr>
        <w:t xml:space="preserve">   versé   directement au trésor public, montant qui  n’a pas été déclaré à l’ITIE –RDC 2016. Les parts revenant à chaque partie ne sont pas précisées.</w:t>
      </w:r>
    </w:p>
    <w:p w14:paraId="6260999C" w14:textId="3AC1320F" w:rsidR="00923952" w:rsidRDefault="00923952">
      <w:pPr>
        <w:rPr>
          <w:rFonts w:ascii="Times New Roman" w:hAnsi="Times New Roman"/>
          <w:sz w:val="24"/>
          <w:szCs w:val="24"/>
        </w:rPr>
      </w:pPr>
      <w:r>
        <w:rPr>
          <w:noProof/>
          <w:lang w:eastAsia="fr-FR"/>
        </w:rPr>
        <mc:AlternateContent>
          <mc:Choice Requires="wps">
            <w:drawing>
              <wp:anchor distT="0" distB="0" distL="114300" distR="114300" simplePos="0" relativeHeight="251682816" behindDoc="0" locked="0" layoutInCell="1" allowOverlap="1" wp14:anchorId="20AA4431" wp14:editId="38C34C8A">
                <wp:simplePos x="0" y="0"/>
                <wp:positionH relativeFrom="margin">
                  <wp:align>right</wp:align>
                </wp:positionH>
                <wp:positionV relativeFrom="paragraph">
                  <wp:posOffset>60828</wp:posOffset>
                </wp:positionV>
                <wp:extent cx="5892288" cy="1277471"/>
                <wp:effectExtent l="0" t="0" r="13335" b="18415"/>
                <wp:wrapNone/>
                <wp:docPr id="21" name="Zone de texte 21"/>
                <wp:cNvGraphicFramePr/>
                <a:graphic xmlns:a="http://schemas.openxmlformats.org/drawingml/2006/main">
                  <a:graphicData uri="http://schemas.microsoft.com/office/word/2010/wordprocessingShape">
                    <wps:wsp>
                      <wps:cNvSpPr txBox="1"/>
                      <wps:spPr>
                        <a:xfrm>
                          <a:off x="0" y="0"/>
                          <a:ext cx="5892288" cy="1277471"/>
                        </a:xfrm>
                        <a:prstGeom prst="rect">
                          <a:avLst/>
                        </a:prstGeom>
                        <a:solidFill>
                          <a:schemeClr val="accent1">
                            <a:lumMod val="20000"/>
                            <a:lumOff val="80000"/>
                          </a:schemeClr>
                        </a:solidFill>
                        <a:ln w="6350">
                          <a:solidFill>
                            <a:schemeClr val="accent1">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2EF1E996" w14:textId="5BB662CB" w:rsidR="00E357DF" w:rsidRPr="00753E9A" w:rsidRDefault="00E357DF" w:rsidP="00923952">
                            <w:pPr>
                              <w:rPr>
                                <w:rFonts w:ascii="Times New Roman" w:hAnsi="Times New Roman"/>
                                <w:b/>
                                <w:color w:val="1F3864" w:themeColor="accent5" w:themeShade="80"/>
                                <w:sz w:val="24"/>
                                <w:szCs w:val="24"/>
                                <w:u w:val="single"/>
                              </w:rPr>
                            </w:pPr>
                            <w:r>
                              <w:rPr>
                                <w:rFonts w:ascii="Times New Roman" w:hAnsi="Times New Roman"/>
                                <w:b/>
                                <w:color w:val="1F3864" w:themeColor="accent5" w:themeShade="80"/>
                                <w:sz w:val="24"/>
                                <w:szCs w:val="24"/>
                                <w:u w:val="single"/>
                              </w:rPr>
                              <w:t>Recommandation</w:t>
                            </w:r>
                            <w:r w:rsidRPr="00D256CC">
                              <w:rPr>
                                <w:rFonts w:ascii="Times New Roman" w:hAnsi="Times New Roman"/>
                                <w:b/>
                                <w:color w:val="1F3864" w:themeColor="accent5" w:themeShade="80"/>
                                <w:sz w:val="24"/>
                                <w:szCs w:val="24"/>
                              </w:rPr>
                              <w:t xml:space="preserve"> </w:t>
                            </w:r>
                            <w:r>
                              <w:rPr>
                                <w:rFonts w:ascii="Times New Roman" w:hAnsi="Times New Roman"/>
                                <w:b/>
                                <w:color w:val="44546A" w:themeColor="text2"/>
                                <w:sz w:val="24"/>
                                <w:szCs w:val="24"/>
                              </w:rPr>
                              <w:t xml:space="preserve">: </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p>
                          <w:p w14:paraId="119AF942" w14:textId="77777777" w:rsidR="00E357DF" w:rsidRPr="00EF425B" w:rsidRDefault="00E357DF" w:rsidP="00923952">
                            <w:pPr>
                              <w:rPr>
                                <w:rFonts w:ascii="Times New Roman" w:hAnsi="Times New Roman"/>
                                <w:b/>
                                <w:color w:val="262626" w:themeColor="text1" w:themeTint="D9"/>
                                <w:sz w:val="24"/>
                                <w:szCs w:val="24"/>
                              </w:rPr>
                            </w:pPr>
                            <w:r w:rsidRPr="00EF425B">
                              <w:rPr>
                                <w:rFonts w:ascii="Times New Roman" w:hAnsi="Times New Roman"/>
                                <w:b/>
                                <w:color w:val="262626" w:themeColor="text1" w:themeTint="D9"/>
                                <w:sz w:val="24"/>
                                <w:szCs w:val="24"/>
                              </w:rPr>
                              <w:t>Au Gouvernement  et à la GECAMINES de :</w:t>
                            </w:r>
                          </w:p>
                          <w:p w14:paraId="015923AF" w14:textId="77777777" w:rsidR="00E357DF" w:rsidRPr="00753E9A" w:rsidRDefault="00E357DF" w:rsidP="00923952">
                            <w:pPr>
                              <w:jc w:val="both"/>
                              <w:rPr>
                                <w:rFonts w:ascii="Times New Roman" w:hAnsi="Times New Roman"/>
                              </w:rPr>
                            </w:pPr>
                            <w:r w:rsidRPr="00753E9A">
                              <w:rPr>
                                <w:rFonts w:ascii="Times New Roman" w:hAnsi="Times New Roman"/>
                              </w:rPr>
                              <w:t>Veiller au respect et à l’application stricte</w:t>
                            </w:r>
                            <w:r>
                              <w:rPr>
                                <w:rFonts w:ascii="Times New Roman" w:hAnsi="Times New Roman"/>
                                <w:shd w:val="clear" w:color="auto" w:fill="E7E6E6" w:themeFill="background2"/>
                              </w:rPr>
                              <w:t xml:space="preserve"> </w:t>
                            </w:r>
                            <w:r w:rsidRPr="00753E9A">
                              <w:rPr>
                                <w:rFonts w:ascii="Times New Roman" w:hAnsi="Times New Roman"/>
                              </w:rPr>
                              <w:t>des dispositions  de la loi des Finance</w:t>
                            </w:r>
                            <w:r>
                              <w:rPr>
                                <w:rFonts w:ascii="Times New Roman" w:hAnsi="Times New Roman"/>
                              </w:rPr>
                              <w:t xml:space="preserve">s n°15/021 du 31 décembre 2015 </w:t>
                            </w:r>
                            <w:r w:rsidRPr="00753E9A">
                              <w:rPr>
                                <w:rFonts w:ascii="Times New Roman" w:hAnsi="Times New Roman"/>
                              </w:rPr>
                              <w:t>relatives au partage des recettes de royalties et pas</w:t>
                            </w:r>
                            <w:r>
                              <w:rPr>
                                <w:rFonts w:ascii="Times New Roman" w:hAnsi="Times New Roman"/>
                              </w:rPr>
                              <w:t>-de-</w:t>
                            </w:r>
                            <w:r w:rsidRPr="00753E9A">
                              <w:rPr>
                                <w:rFonts w:ascii="Times New Roman" w:hAnsi="Times New Roman"/>
                              </w:rPr>
                              <w:t xml:space="preserve">porte entre les EPE et le Gouvernement. </w:t>
                            </w:r>
                          </w:p>
                          <w:p w14:paraId="53BAA7B8" w14:textId="77777777" w:rsidR="00E357DF" w:rsidRDefault="00E357DF" w:rsidP="00923952">
                            <w:pPr>
                              <w:pStyle w:val="Paragraphedeliste"/>
                              <w:ind w:left="284"/>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A4431" id="Zone de texte 21" o:spid="_x0000_s1037" type="#_x0000_t202" style="position:absolute;margin-left:412.75pt;margin-top:4.8pt;width:463.95pt;height:100.6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" fillcolor="#deeaf6 [660]" strokecolor="#deeaf6 [660]" strokeweight=".5pt">
                <v:textbox>
                  <w:txbxContent>
                    <w:p w14:paraId="2EF1E996" w14:textId="5BB662CB" w:rsidR="00E357DF" w:rsidRPr="00753E9A" w:rsidRDefault="00E357DF" w:rsidP="00923952">
                      <w:pPr>
                        <w:rPr>
                          <w:rFonts w:ascii="Times New Roman" w:hAnsi="Times New Roman"/>
                          <w:b/>
                          <w:color w:val="1F3864" w:themeColor="accent5" w:themeShade="80"/>
                          <w:sz w:val="24"/>
                          <w:szCs w:val="24"/>
                          <w:u w:val="single"/>
                        </w:rPr>
                      </w:pPr>
                      <w:r>
                        <w:rPr>
                          <w:rFonts w:ascii="Times New Roman" w:hAnsi="Times New Roman"/>
                          <w:b/>
                          <w:color w:val="1F3864" w:themeColor="accent5" w:themeShade="80"/>
                          <w:sz w:val="24"/>
                          <w:szCs w:val="24"/>
                          <w:u w:val="single"/>
                        </w:rPr>
                        <w:t>Recommandation</w:t>
                      </w:r>
                      <w:r w:rsidRPr="00D256CC">
                        <w:rPr>
                          <w:rFonts w:ascii="Times New Roman" w:hAnsi="Times New Roman"/>
                          <w:b/>
                          <w:color w:val="1F3864" w:themeColor="accent5" w:themeShade="80"/>
                          <w:sz w:val="24"/>
                          <w:szCs w:val="24"/>
                        </w:rPr>
                        <w:t xml:space="preserve"> </w:t>
                      </w:r>
                      <w:r>
                        <w:rPr>
                          <w:rFonts w:ascii="Times New Roman" w:hAnsi="Times New Roman"/>
                          <w:b/>
                          <w:color w:val="44546A" w:themeColor="text2"/>
                          <w:sz w:val="24"/>
                          <w:szCs w:val="24"/>
                        </w:rPr>
                        <w:t xml:space="preserve">: </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p>
                    <w:p w14:paraId="119AF942" w14:textId="77777777" w:rsidR="00E357DF" w:rsidRPr="00EF425B" w:rsidRDefault="00E357DF" w:rsidP="00923952">
                      <w:pPr>
                        <w:rPr>
                          <w:rFonts w:ascii="Times New Roman" w:hAnsi="Times New Roman"/>
                          <w:b/>
                          <w:color w:val="262626" w:themeColor="text1" w:themeTint="D9"/>
                          <w:sz w:val="24"/>
                          <w:szCs w:val="24"/>
                        </w:rPr>
                      </w:pPr>
                      <w:r w:rsidRPr="00EF425B">
                        <w:rPr>
                          <w:rFonts w:ascii="Times New Roman" w:hAnsi="Times New Roman"/>
                          <w:b/>
                          <w:color w:val="262626" w:themeColor="text1" w:themeTint="D9"/>
                          <w:sz w:val="24"/>
                          <w:szCs w:val="24"/>
                        </w:rPr>
                        <w:t>Au Gouvernement  et à la GECAMINES de :</w:t>
                      </w:r>
                    </w:p>
                    <w:p w14:paraId="015923AF" w14:textId="77777777" w:rsidR="00E357DF" w:rsidRPr="00753E9A" w:rsidRDefault="00E357DF" w:rsidP="00923952">
                      <w:pPr>
                        <w:jc w:val="both"/>
                        <w:rPr>
                          <w:rFonts w:ascii="Times New Roman" w:hAnsi="Times New Roman"/>
                        </w:rPr>
                      </w:pPr>
                      <w:r w:rsidRPr="00753E9A">
                        <w:rPr>
                          <w:rFonts w:ascii="Times New Roman" w:hAnsi="Times New Roman"/>
                        </w:rPr>
                        <w:t>Veiller au respect et à l’application stricte</w:t>
                      </w:r>
                      <w:r>
                        <w:rPr>
                          <w:rFonts w:ascii="Times New Roman" w:hAnsi="Times New Roman"/>
                          <w:shd w:val="clear" w:color="auto" w:fill="E7E6E6" w:themeFill="background2"/>
                        </w:rPr>
                        <w:t xml:space="preserve"> </w:t>
                      </w:r>
                      <w:r w:rsidRPr="00753E9A">
                        <w:rPr>
                          <w:rFonts w:ascii="Times New Roman" w:hAnsi="Times New Roman"/>
                        </w:rPr>
                        <w:t>des dispositions  de la loi des Finance</w:t>
                      </w:r>
                      <w:r>
                        <w:rPr>
                          <w:rFonts w:ascii="Times New Roman" w:hAnsi="Times New Roman"/>
                        </w:rPr>
                        <w:t xml:space="preserve">s n°15/021 du 31 décembre 2015 </w:t>
                      </w:r>
                      <w:r w:rsidRPr="00753E9A">
                        <w:rPr>
                          <w:rFonts w:ascii="Times New Roman" w:hAnsi="Times New Roman"/>
                        </w:rPr>
                        <w:t>relatives au partage des recettes de royalties et pas</w:t>
                      </w:r>
                      <w:r>
                        <w:rPr>
                          <w:rFonts w:ascii="Times New Roman" w:hAnsi="Times New Roman"/>
                        </w:rPr>
                        <w:t>-de-</w:t>
                      </w:r>
                      <w:r w:rsidRPr="00753E9A">
                        <w:rPr>
                          <w:rFonts w:ascii="Times New Roman" w:hAnsi="Times New Roman"/>
                        </w:rPr>
                        <w:t xml:space="preserve">porte entre les EPE et le Gouvernement. </w:t>
                      </w:r>
                    </w:p>
                    <w:p w14:paraId="53BAA7B8" w14:textId="77777777" w:rsidR="00E357DF" w:rsidRDefault="00E357DF" w:rsidP="00923952">
                      <w:pPr>
                        <w:pStyle w:val="Paragraphedeliste"/>
                        <w:ind w:left="284"/>
                      </w:pPr>
                    </w:p>
                  </w:txbxContent>
                </v:textbox>
                <w10:wrap anchorx="margin"/>
              </v:shape>
            </w:pict>
          </mc:Fallback>
        </mc:AlternateContent>
      </w:r>
      <w:r>
        <w:rPr>
          <w:rFonts w:ascii="Times New Roman" w:hAnsi="Times New Roman"/>
          <w:sz w:val="24"/>
          <w:szCs w:val="24"/>
        </w:rPr>
        <w:br w:type="page"/>
      </w:r>
    </w:p>
    <w:p w14:paraId="79E6974C" w14:textId="1561D4F0" w:rsidR="00F000B0" w:rsidRPr="00BC7A6E" w:rsidRDefault="000668F9" w:rsidP="00943F67">
      <w:pPr>
        <w:pStyle w:val="Titre3"/>
        <w:keepNext w:val="0"/>
        <w:keepLines w:val="0"/>
        <w:ind w:left="1134" w:hanging="850"/>
        <w:contextualSpacing w:val="0"/>
        <w:jc w:val="both"/>
        <w:rPr>
          <w:rFonts w:ascii="Times New Roman" w:hAnsi="Times New Roman" w:cs="Times New Roman"/>
          <w:sz w:val="24"/>
          <w:szCs w:val="24"/>
        </w:rPr>
      </w:pPr>
      <w:bookmarkStart w:id="186" w:name="_Toc518468107"/>
      <w:r>
        <w:rPr>
          <w:rFonts w:ascii="Times New Roman" w:hAnsi="Times New Roman" w:cs="Times New Roman"/>
          <w:sz w:val="24"/>
          <w:szCs w:val="24"/>
        </w:rPr>
        <w:lastRenderedPageBreak/>
        <w:t>IX</w:t>
      </w:r>
      <w:r w:rsidR="00BC7A6E" w:rsidRPr="00BC7A6E">
        <w:rPr>
          <w:rFonts w:ascii="Times New Roman" w:hAnsi="Times New Roman" w:cs="Times New Roman"/>
          <w:sz w:val="24"/>
          <w:szCs w:val="24"/>
        </w:rPr>
        <w:t>.5. De  la participat</w:t>
      </w:r>
      <w:r w:rsidR="00BC7A6E">
        <w:rPr>
          <w:rFonts w:ascii="Times New Roman" w:hAnsi="Times New Roman" w:cs="Times New Roman"/>
          <w:sz w:val="24"/>
          <w:szCs w:val="24"/>
        </w:rPr>
        <w:t>ion directe et indirecte  de l’E</w:t>
      </w:r>
      <w:r w:rsidR="00BC7A6E" w:rsidRPr="00BC7A6E">
        <w:rPr>
          <w:rFonts w:ascii="Times New Roman" w:hAnsi="Times New Roman" w:cs="Times New Roman"/>
          <w:sz w:val="24"/>
          <w:szCs w:val="24"/>
        </w:rPr>
        <w:t xml:space="preserve">tat en </w:t>
      </w:r>
      <w:r w:rsidR="00F000B0" w:rsidRPr="00BC7A6E">
        <w:rPr>
          <w:rFonts w:ascii="Times New Roman" w:hAnsi="Times New Roman" w:cs="Times New Roman"/>
          <w:sz w:val="24"/>
          <w:szCs w:val="24"/>
        </w:rPr>
        <w:t>2016</w:t>
      </w:r>
      <w:bookmarkEnd w:id="186"/>
    </w:p>
    <w:p w14:paraId="1E4742DC" w14:textId="77777777" w:rsidR="00F000B0" w:rsidRPr="00AA5351" w:rsidRDefault="00F000B0" w:rsidP="000738D3">
      <w:pPr>
        <w:pStyle w:val="Paragraphedeliste"/>
        <w:numPr>
          <w:ilvl w:val="0"/>
          <w:numId w:val="41"/>
        </w:numPr>
        <w:spacing w:after="160" w:line="259" w:lineRule="auto"/>
        <w:jc w:val="both"/>
        <w:rPr>
          <w:rFonts w:ascii="Times New Roman" w:hAnsi="Times New Roman" w:cs="Times New Roman"/>
          <w:color w:val="00B0F0"/>
          <w:sz w:val="24"/>
          <w:szCs w:val="24"/>
        </w:rPr>
      </w:pPr>
      <w:r w:rsidRPr="00AA5351">
        <w:rPr>
          <w:rFonts w:ascii="Times New Roman" w:hAnsi="Times New Roman" w:cs="Times New Roman"/>
          <w:color w:val="00B0F0"/>
          <w:sz w:val="24"/>
          <w:szCs w:val="24"/>
        </w:rPr>
        <w:t>Participation directe de l’Etat</w:t>
      </w:r>
    </w:p>
    <w:p w14:paraId="2EDCBC54" w14:textId="77777777" w:rsidR="00F000B0" w:rsidRPr="00B354ED" w:rsidRDefault="00F000B0" w:rsidP="00F000B0">
      <w:pPr>
        <w:spacing w:after="0"/>
        <w:ind w:left="567"/>
        <w:jc w:val="both"/>
        <w:rPr>
          <w:rFonts w:ascii="Times New Roman" w:hAnsi="Times New Roman"/>
          <w:b/>
          <w:sz w:val="24"/>
          <w:szCs w:val="24"/>
          <w:u w:val="single"/>
        </w:rPr>
      </w:pPr>
      <w:r w:rsidRPr="00B354ED">
        <w:rPr>
          <w:rFonts w:ascii="Times New Roman" w:hAnsi="Times New Roman"/>
          <w:b/>
          <w:sz w:val="24"/>
          <w:szCs w:val="24"/>
          <w:u w:val="single"/>
        </w:rPr>
        <w:t>Secteur pétrolier</w:t>
      </w:r>
    </w:p>
    <w:p w14:paraId="6531A427" w14:textId="77777777" w:rsidR="00F000B0" w:rsidRPr="00AA5351" w:rsidRDefault="00F000B0" w:rsidP="00F000B0">
      <w:pPr>
        <w:spacing w:after="0"/>
        <w:jc w:val="both"/>
        <w:rPr>
          <w:rFonts w:ascii="Times New Roman" w:hAnsi="Times New Roman"/>
          <w:sz w:val="24"/>
          <w:szCs w:val="24"/>
        </w:rPr>
      </w:pPr>
    </w:p>
    <w:p w14:paraId="3C734A81" w14:textId="77777777" w:rsidR="00F000B0" w:rsidRPr="00AA5351" w:rsidRDefault="00F000B0" w:rsidP="00F000B0">
      <w:pPr>
        <w:ind w:left="567"/>
        <w:jc w:val="both"/>
        <w:rPr>
          <w:rFonts w:ascii="Times New Roman" w:hAnsi="Times New Roman"/>
          <w:sz w:val="24"/>
          <w:szCs w:val="24"/>
        </w:rPr>
      </w:pPr>
      <w:r w:rsidRPr="00AA5351">
        <w:rPr>
          <w:rFonts w:ascii="Times New Roman" w:hAnsi="Times New Roman"/>
          <w:sz w:val="24"/>
          <w:szCs w:val="24"/>
        </w:rPr>
        <w:t>Selon  les données du Ministère du Portefeuille et celles de la SONAH</w:t>
      </w:r>
      <w:r>
        <w:rPr>
          <w:rFonts w:ascii="Times New Roman" w:hAnsi="Times New Roman"/>
          <w:sz w:val="24"/>
          <w:szCs w:val="24"/>
        </w:rPr>
        <w:t>Y</w:t>
      </w:r>
      <w:r w:rsidRPr="00AA5351">
        <w:rPr>
          <w:rFonts w:ascii="Times New Roman" w:hAnsi="Times New Roman"/>
          <w:sz w:val="24"/>
          <w:szCs w:val="24"/>
        </w:rPr>
        <w:t>DROC, la situation de la participation  directe de l’Etat en 2016 se présente comme suit :</w:t>
      </w:r>
    </w:p>
    <w:p w14:paraId="2DFE04A4" w14:textId="77777777" w:rsidR="00F000B0" w:rsidRPr="00AA5351" w:rsidRDefault="00F000B0" w:rsidP="00F000B0">
      <w:pPr>
        <w:spacing w:after="0"/>
        <w:jc w:val="both"/>
        <w:rPr>
          <w:rFonts w:ascii="Times New Roman" w:hAnsi="Times New Roman"/>
          <w:sz w:val="24"/>
          <w:szCs w:val="24"/>
        </w:rPr>
      </w:pPr>
    </w:p>
    <w:tbl>
      <w:tblPr>
        <w:tblStyle w:val="TableauGrille1Clair-Accentuation11"/>
        <w:tblW w:w="8784" w:type="dxa"/>
        <w:tblInd w:w="534" w:type="dxa"/>
        <w:tblLayout w:type="fixed"/>
        <w:tblLook w:val="04A0" w:firstRow="1" w:lastRow="0" w:firstColumn="1" w:lastColumn="0" w:noHBand="0" w:noVBand="1"/>
      </w:tblPr>
      <w:tblGrid>
        <w:gridCol w:w="562"/>
        <w:gridCol w:w="2240"/>
        <w:gridCol w:w="1729"/>
        <w:gridCol w:w="567"/>
        <w:gridCol w:w="1974"/>
        <w:gridCol w:w="1712"/>
      </w:tblGrid>
      <w:tr w:rsidR="00F000B0" w:rsidRPr="00B354ED" w14:paraId="0013578E" w14:textId="77777777" w:rsidTr="00943F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504CFE3" w14:textId="77777777" w:rsidR="00F000B0" w:rsidRPr="00B354ED" w:rsidRDefault="00F000B0" w:rsidP="00F000B0">
            <w:pPr>
              <w:jc w:val="both"/>
              <w:rPr>
                <w:rFonts w:ascii="Times New Roman" w:hAnsi="Times New Roman"/>
                <w:sz w:val="20"/>
                <w:szCs w:val="20"/>
              </w:rPr>
            </w:pPr>
            <w:r w:rsidRPr="00B354ED">
              <w:rPr>
                <w:rFonts w:ascii="Times New Roman" w:hAnsi="Times New Roman"/>
                <w:sz w:val="20"/>
                <w:szCs w:val="20"/>
              </w:rPr>
              <w:t>N°</w:t>
            </w:r>
          </w:p>
        </w:tc>
        <w:tc>
          <w:tcPr>
            <w:tcW w:w="2240" w:type="dxa"/>
          </w:tcPr>
          <w:p w14:paraId="24A7F5CF" w14:textId="77777777" w:rsidR="00F000B0" w:rsidRPr="00B354ED"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Nom de l’entreprise</w:t>
            </w:r>
          </w:p>
        </w:tc>
        <w:tc>
          <w:tcPr>
            <w:tcW w:w="1729" w:type="dxa"/>
          </w:tcPr>
          <w:p w14:paraId="5A8DBE78" w14:textId="77777777" w:rsidR="00F000B0" w:rsidRPr="00B354ED" w:rsidRDefault="00F000B0" w:rsidP="00F000B0">
            <w:pP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Participation de l’Etat (en %)</w:t>
            </w:r>
          </w:p>
        </w:tc>
        <w:tc>
          <w:tcPr>
            <w:tcW w:w="567" w:type="dxa"/>
          </w:tcPr>
          <w:p w14:paraId="0AD0EB3F" w14:textId="77777777" w:rsidR="00F000B0" w:rsidRPr="00B354ED"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N°</w:t>
            </w:r>
          </w:p>
        </w:tc>
        <w:tc>
          <w:tcPr>
            <w:tcW w:w="1974" w:type="dxa"/>
          </w:tcPr>
          <w:p w14:paraId="0BDD87B6" w14:textId="77777777" w:rsidR="00F000B0" w:rsidRPr="00B354ED"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Nom de l’Entreprise</w:t>
            </w:r>
          </w:p>
        </w:tc>
        <w:tc>
          <w:tcPr>
            <w:tcW w:w="1712" w:type="dxa"/>
          </w:tcPr>
          <w:p w14:paraId="4CAC10F5" w14:textId="77777777" w:rsidR="00F000B0" w:rsidRPr="00B354ED"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Participation de l’Etat (en %)</w:t>
            </w:r>
          </w:p>
        </w:tc>
      </w:tr>
      <w:tr w:rsidR="00F000B0" w:rsidRPr="00AA5351" w14:paraId="5D645495" w14:textId="77777777" w:rsidTr="00943F67">
        <w:tc>
          <w:tcPr>
            <w:cnfStyle w:val="001000000000" w:firstRow="0" w:lastRow="0" w:firstColumn="1" w:lastColumn="0" w:oddVBand="0" w:evenVBand="0" w:oddHBand="0" w:evenHBand="0" w:firstRowFirstColumn="0" w:firstRowLastColumn="0" w:lastRowFirstColumn="0" w:lastRowLastColumn="0"/>
            <w:tcW w:w="562" w:type="dxa"/>
          </w:tcPr>
          <w:p w14:paraId="0112A02E" w14:textId="77777777" w:rsidR="00F000B0" w:rsidRPr="00AA5351" w:rsidRDefault="00F000B0" w:rsidP="00F000B0">
            <w:pPr>
              <w:jc w:val="both"/>
              <w:rPr>
                <w:rFonts w:ascii="Times New Roman" w:hAnsi="Times New Roman"/>
                <w:sz w:val="24"/>
                <w:szCs w:val="24"/>
              </w:rPr>
            </w:pPr>
            <w:r w:rsidRPr="00AA5351">
              <w:rPr>
                <w:rFonts w:ascii="Times New Roman" w:hAnsi="Times New Roman"/>
                <w:sz w:val="24"/>
                <w:szCs w:val="24"/>
              </w:rPr>
              <w:t>1</w:t>
            </w:r>
          </w:p>
        </w:tc>
        <w:tc>
          <w:tcPr>
            <w:tcW w:w="2240" w:type="dxa"/>
          </w:tcPr>
          <w:p w14:paraId="4297C407" w14:textId="77777777" w:rsidR="00F000B0" w:rsidRPr="00AA5351"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5351">
              <w:rPr>
                <w:rFonts w:ascii="Times New Roman" w:hAnsi="Times New Roman"/>
                <w:sz w:val="24"/>
                <w:szCs w:val="24"/>
              </w:rPr>
              <w:t>SONAHYDROC</w:t>
            </w:r>
          </w:p>
        </w:tc>
        <w:tc>
          <w:tcPr>
            <w:tcW w:w="1729" w:type="dxa"/>
          </w:tcPr>
          <w:p w14:paraId="53481454" w14:textId="77777777" w:rsidR="00F000B0" w:rsidRPr="00AA5351"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5351">
              <w:rPr>
                <w:rFonts w:ascii="Times New Roman" w:hAnsi="Times New Roman"/>
                <w:sz w:val="24"/>
                <w:szCs w:val="24"/>
              </w:rPr>
              <w:t>100</w:t>
            </w:r>
          </w:p>
        </w:tc>
        <w:tc>
          <w:tcPr>
            <w:tcW w:w="567" w:type="dxa"/>
          </w:tcPr>
          <w:p w14:paraId="0F40CA3D"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B354ED">
              <w:rPr>
                <w:rFonts w:ascii="Times New Roman" w:hAnsi="Times New Roman"/>
                <w:b/>
                <w:sz w:val="24"/>
                <w:szCs w:val="24"/>
              </w:rPr>
              <w:t>5</w:t>
            </w:r>
          </w:p>
        </w:tc>
        <w:tc>
          <w:tcPr>
            <w:tcW w:w="1974" w:type="dxa"/>
          </w:tcPr>
          <w:p w14:paraId="439B32F8" w14:textId="77777777" w:rsidR="00F000B0" w:rsidRPr="00AA5351"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5351">
              <w:rPr>
                <w:rFonts w:ascii="Times New Roman" w:hAnsi="Times New Roman"/>
                <w:sz w:val="24"/>
                <w:szCs w:val="24"/>
              </w:rPr>
              <w:t>FOXWELP</w:t>
            </w:r>
          </w:p>
        </w:tc>
        <w:tc>
          <w:tcPr>
            <w:tcW w:w="1712" w:type="dxa"/>
          </w:tcPr>
          <w:p w14:paraId="33FF1F66" w14:textId="77777777" w:rsidR="00F000B0" w:rsidRPr="00AA5351"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5351">
              <w:rPr>
                <w:rFonts w:ascii="Times New Roman" w:hAnsi="Times New Roman"/>
                <w:sz w:val="24"/>
                <w:szCs w:val="24"/>
              </w:rPr>
              <w:t>15</w:t>
            </w:r>
          </w:p>
        </w:tc>
      </w:tr>
      <w:tr w:rsidR="00F000B0" w:rsidRPr="00AA5351" w14:paraId="703DB9A3" w14:textId="77777777" w:rsidTr="00943F67">
        <w:tc>
          <w:tcPr>
            <w:cnfStyle w:val="001000000000" w:firstRow="0" w:lastRow="0" w:firstColumn="1" w:lastColumn="0" w:oddVBand="0" w:evenVBand="0" w:oddHBand="0" w:evenHBand="0" w:firstRowFirstColumn="0" w:firstRowLastColumn="0" w:lastRowFirstColumn="0" w:lastRowLastColumn="0"/>
            <w:tcW w:w="562" w:type="dxa"/>
          </w:tcPr>
          <w:p w14:paraId="6D0DD1BC" w14:textId="77777777" w:rsidR="00F000B0" w:rsidRPr="00AA5351" w:rsidRDefault="00F000B0" w:rsidP="00F000B0">
            <w:pPr>
              <w:jc w:val="both"/>
              <w:rPr>
                <w:rFonts w:ascii="Times New Roman" w:hAnsi="Times New Roman"/>
                <w:sz w:val="24"/>
                <w:szCs w:val="24"/>
              </w:rPr>
            </w:pPr>
            <w:r w:rsidRPr="00AA5351">
              <w:rPr>
                <w:rFonts w:ascii="Times New Roman" w:hAnsi="Times New Roman"/>
                <w:sz w:val="24"/>
                <w:szCs w:val="24"/>
              </w:rPr>
              <w:t>2</w:t>
            </w:r>
          </w:p>
        </w:tc>
        <w:tc>
          <w:tcPr>
            <w:tcW w:w="2240" w:type="dxa"/>
          </w:tcPr>
          <w:p w14:paraId="463411EE" w14:textId="77777777" w:rsidR="00F000B0" w:rsidRPr="00AA5351"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5351">
              <w:rPr>
                <w:rFonts w:ascii="Times New Roman" w:hAnsi="Times New Roman"/>
                <w:sz w:val="24"/>
                <w:szCs w:val="24"/>
              </w:rPr>
              <w:t>JAPECO</w:t>
            </w:r>
          </w:p>
        </w:tc>
        <w:tc>
          <w:tcPr>
            <w:tcW w:w="1729" w:type="dxa"/>
          </w:tcPr>
          <w:p w14:paraId="56A0C262" w14:textId="77777777" w:rsidR="00F000B0" w:rsidRPr="00AA5351"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5351">
              <w:rPr>
                <w:rFonts w:ascii="Times New Roman" w:hAnsi="Times New Roman"/>
                <w:sz w:val="24"/>
                <w:szCs w:val="24"/>
              </w:rPr>
              <w:t>20</w:t>
            </w:r>
          </w:p>
        </w:tc>
        <w:tc>
          <w:tcPr>
            <w:tcW w:w="567" w:type="dxa"/>
          </w:tcPr>
          <w:p w14:paraId="704E0B28"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B354ED">
              <w:rPr>
                <w:rFonts w:ascii="Times New Roman" w:hAnsi="Times New Roman"/>
                <w:b/>
                <w:sz w:val="24"/>
                <w:szCs w:val="24"/>
              </w:rPr>
              <w:t>6</w:t>
            </w:r>
          </w:p>
        </w:tc>
        <w:tc>
          <w:tcPr>
            <w:tcW w:w="1974" w:type="dxa"/>
          </w:tcPr>
          <w:p w14:paraId="7D0EEA66" w14:textId="77777777" w:rsidR="00F000B0" w:rsidRPr="00AA5351"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5351">
              <w:rPr>
                <w:rFonts w:ascii="Times New Roman" w:hAnsi="Times New Roman"/>
                <w:sz w:val="24"/>
                <w:szCs w:val="24"/>
              </w:rPr>
              <w:t>CAPRIKAT</w:t>
            </w:r>
          </w:p>
        </w:tc>
        <w:tc>
          <w:tcPr>
            <w:tcW w:w="1712" w:type="dxa"/>
          </w:tcPr>
          <w:p w14:paraId="40434869" w14:textId="77777777" w:rsidR="00F000B0" w:rsidRPr="00AA5351"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5351">
              <w:rPr>
                <w:rFonts w:ascii="Times New Roman" w:hAnsi="Times New Roman"/>
                <w:sz w:val="24"/>
                <w:szCs w:val="24"/>
              </w:rPr>
              <w:t>15</w:t>
            </w:r>
          </w:p>
        </w:tc>
      </w:tr>
      <w:tr w:rsidR="00F000B0" w:rsidRPr="00AA5351" w14:paraId="635DA34C" w14:textId="77777777" w:rsidTr="00943F67">
        <w:tc>
          <w:tcPr>
            <w:cnfStyle w:val="001000000000" w:firstRow="0" w:lastRow="0" w:firstColumn="1" w:lastColumn="0" w:oddVBand="0" w:evenVBand="0" w:oddHBand="0" w:evenHBand="0" w:firstRowFirstColumn="0" w:firstRowLastColumn="0" w:lastRowFirstColumn="0" w:lastRowLastColumn="0"/>
            <w:tcW w:w="562" w:type="dxa"/>
          </w:tcPr>
          <w:p w14:paraId="0B0785B9" w14:textId="77777777" w:rsidR="00F000B0" w:rsidRPr="00AA5351" w:rsidRDefault="00F000B0" w:rsidP="00F000B0">
            <w:pPr>
              <w:jc w:val="both"/>
              <w:rPr>
                <w:rFonts w:ascii="Times New Roman" w:hAnsi="Times New Roman"/>
                <w:sz w:val="24"/>
                <w:szCs w:val="24"/>
              </w:rPr>
            </w:pPr>
            <w:r w:rsidRPr="00AA5351">
              <w:rPr>
                <w:rFonts w:ascii="Times New Roman" w:hAnsi="Times New Roman"/>
                <w:sz w:val="24"/>
                <w:szCs w:val="24"/>
              </w:rPr>
              <w:t>3</w:t>
            </w:r>
          </w:p>
        </w:tc>
        <w:tc>
          <w:tcPr>
            <w:tcW w:w="2240" w:type="dxa"/>
          </w:tcPr>
          <w:p w14:paraId="3AA1C613" w14:textId="77777777" w:rsidR="00F000B0" w:rsidRPr="00AA5351"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5351">
              <w:rPr>
                <w:rFonts w:ascii="Times New Roman" w:hAnsi="Times New Roman"/>
                <w:sz w:val="24"/>
                <w:szCs w:val="24"/>
              </w:rPr>
              <w:t>SOREPLICO</w:t>
            </w:r>
          </w:p>
        </w:tc>
        <w:tc>
          <w:tcPr>
            <w:tcW w:w="1729" w:type="dxa"/>
          </w:tcPr>
          <w:p w14:paraId="6B38A5C2" w14:textId="77777777" w:rsidR="00F000B0" w:rsidRPr="00AA5351"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5351">
              <w:rPr>
                <w:rFonts w:ascii="Times New Roman" w:hAnsi="Times New Roman"/>
                <w:sz w:val="24"/>
                <w:szCs w:val="24"/>
              </w:rPr>
              <w:t>20</w:t>
            </w:r>
          </w:p>
        </w:tc>
        <w:tc>
          <w:tcPr>
            <w:tcW w:w="567" w:type="dxa"/>
          </w:tcPr>
          <w:p w14:paraId="773C0207"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B354ED">
              <w:rPr>
                <w:rFonts w:ascii="Times New Roman" w:hAnsi="Times New Roman"/>
                <w:b/>
                <w:sz w:val="24"/>
                <w:szCs w:val="24"/>
              </w:rPr>
              <w:t>7</w:t>
            </w:r>
          </w:p>
        </w:tc>
        <w:tc>
          <w:tcPr>
            <w:tcW w:w="1974" w:type="dxa"/>
          </w:tcPr>
          <w:p w14:paraId="5426BECD" w14:textId="77777777" w:rsidR="00F000B0" w:rsidRPr="00AA5351"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5351">
              <w:rPr>
                <w:rFonts w:ascii="Times New Roman" w:hAnsi="Times New Roman"/>
                <w:sz w:val="24"/>
                <w:szCs w:val="24"/>
              </w:rPr>
              <w:t>SOCOREP</w:t>
            </w:r>
          </w:p>
        </w:tc>
        <w:tc>
          <w:tcPr>
            <w:tcW w:w="1712" w:type="dxa"/>
          </w:tcPr>
          <w:p w14:paraId="6D72ACD7" w14:textId="77777777" w:rsidR="00F000B0" w:rsidRPr="00AA5351"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5351">
              <w:rPr>
                <w:rFonts w:ascii="Times New Roman" w:hAnsi="Times New Roman"/>
                <w:sz w:val="24"/>
                <w:szCs w:val="24"/>
              </w:rPr>
              <w:t>15</w:t>
            </w:r>
          </w:p>
        </w:tc>
      </w:tr>
      <w:tr w:rsidR="00F000B0" w:rsidRPr="00AA5351" w14:paraId="2ADE0358" w14:textId="77777777" w:rsidTr="00943F67">
        <w:tc>
          <w:tcPr>
            <w:cnfStyle w:val="001000000000" w:firstRow="0" w:lastRow="0" w:firstColumn="1" w:lastColumn="0" w:oddVBand="0" w:evenVBand="0" w:oddHBand="0" w:evenHBand="0" w:firstRowFirstColumn="0" w:firstRowLastColumn="0" w:lastRowFirstColumn="0" w:lastRowLastColumn="0"/>
            <w:tcW w:w="562" w:type="dxa"/>
          </w:tcPr>
          <w:p w14:paraId="1A4E89BB" w14:textId="77777777" w:rsidR="00F000B0" w:rsidRPr="00AA5351" w:rsidRDefault="00F000B0" w:rsidP="00F000B0">
            <w:pPr>
              <w:jc w:val="both"/>
              <w:rPr>
                <w:rFonts w:ascii="Times New Roman" w:hAnsi="Times New Roman"/>
                <w:sz w:val="24"/>
                <w:szCs w:val="24"/>
              </w:rPr>
            </w:pPr>
            <w:r w:rsidRPr="00AA5351">
              <w:rPr>
                <w:rFonts w:ascii="Times New Roman" w:hAnsi="Times New Roman"/>
                <w:sz w:val="24"/>
                <w:szCs w:val="24"/>
              </w:rPr>
              <w:t>4</w:t>
            </w:r>
          </w:p>
        </w:tc>
        <w:tc>
          <w:tcPr>
            <w:tcW w:w="2240" w:type="dxa"/>
          </w:tcPr>
          <w:p w14:paraId="52068CB8" w14:textId="77777777" w:rsidR="00F000B0" w:rsidRPr="00AA5351"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5351">
              <w:rPr>
                <w:rFonts w:ascii="Times New Roman" w:hAnsi="Times New Roman"/>
                <w:sz w:val="24"/>
                <w:szCs w:val="24"/>
              </w:rPr>
              <w:t>SOLICO</w:t>
            </w:r>
          </w:p>
        </w:tc>
        <w:tc>
          <w:tcPr>
            <w:tcW w:w="1729" w:type="dxa"/>
          </w:tcPr>
          <w:p w14:paraId="60515B1D" w14:textId="77777777" w:rsidR="00F000B0" w:rsidRPr="00AA5351"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5351">
              <w:rPr>
                <w:rFonts w:ascii="Times New Roman" w:hAnsi="Times New Roman"/>
                <w:sz w:val="24"/>
                <w:szCs w:val="24"/>
              </w:rPr>
              <w:t>20</w:t>
            </w:r>
          </w:p>
        </w:tc>
        <w:tc>
          <w:tcPr>
            <w:tcW w:w="567" w:type="dxa"/>
          </w:tcPr>
          <w:p w14:paraId="2C21536F"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B354ED">
              <w:rPr>
                <w:rFonts w:ascii="Times New Roman" w:hAnsi="Times New Roman"/>
                <w:b/>
                <w:sz w:val="24"/>
                <w:szCs w:val="24"/>
              </w:rPr>
              <w:t>8</w:t>
            </w:r>
          </w:p>
        </w:tc>
        <w:tc>
          <w:tcPr>
            <w:tcW w:w="1974" w:type="dxa"/>
          </w:tcPr>
          <w:p w14:paraId="158A9262" w14:textId="77777777" w:rsidR="00F000B0" w:rsidRPr="00AA5351"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5351">
              <w:rPr>
                <w:rFonts w:ascii="Times New Roman" w:hAnsi="Times New Roman"/>
                <w:sz w:val="24"/>
                <w:szCs w:val="24"/>
              </w:rPr>
              <w:t>KINREX</w:t>
            </w:r>
          </w:p>
        </w:tc>
        <w:tc>
          <w:tcPr>
            <w:tcW w:w="1712" w:type="dxa"/>
          </w:tcPr>
          <w:p w14:paraId="001E70E7" w14:textId="77777777" w:rsidR="00F000B0" w:rsidRPr="00AA5351"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5351">
              <w:rPr>
                <w:rFonts w:ascii="Times New Roman" w:hAnsi="Times New Roman"/>
                <w:sz w:val="24"/>
                <w:szCs w:val="24"/>
              </w:rPr>
              <w:t>12,75</w:t>
            </w:r>
          </w:p>
        </w:tc>
      </w:tr>
    </w:tbl>
    <w:p w14:paraId="22330E01" w14:textId="77777777" w:rsidR="00F000B0" w:rsidRPr="00B354ED" w:rsidRDefault="00F000B0" w:rsidP="00F000B0">
      <w:pPr>
        <w:spacing w:after="0"/>
        <w:jc w:val="both"/>
        <w:rPr>
          <w:rFonts w:ascii="Times New Roman" w:hAnsi="Times New Roman"/>
          <w:sz w:val="18"/>
          <w:szCs w:val="18"/>
        </w:rPr>
      </w:pPr>
      <w:r w:rsidRPr="00B354ED">
        <w:rPr>
          <w:rFonts w:ascii="Times New Roman" w:hAnsi="Times New Roman"/>
          <w:sz w:val="18"/>
          <w:szCs w:val="18"/>
        </w:rPr>
        <w:t>Source : Ministère du Portefeuille</w:t>
      </w:r>
    </w:p>
    <w:p w14:paraId="1BAD05B8" w14:textId="77777777" w:rsidR="00F000B0" w:rsidRDefault="00F000B0" w:rsidP="00F000B0">
      <w:pPr>
        <w:spacing w:after="0"/>
        <w:jc w:val="both"/>
        <w:rPr>
          <w:rFonts w:ascii="Times New Roman" w:hAnsi="Times New Roman"/>
          <w:b/>
          <w:sz w:val="24"/>
          <w:szCs w:val="24"/>
        </w:rPr>
      </w:pPr>
    </w:p>
    <w:p w14:paraId="2A685FC2" w14:textId="05F8ED3C" w:rsidR="00F000B0" w:rsidRPr="00AA5351" w:rsidRDefault="008120D4" w:rsidP="00F000B0">
      <w:pPr>
        <w:spacing w:after="0"/>
        <w:jc w:val="both"/>
        <w:rPr>
          <w:rFonts w:ascii="Times New Roman" w:hAnsi="Times New Roman"/>
          <w:sz w:val="24"/>
          <w:szCs w:val="24"/>
        </w:rPr>
      </w:pPr>
      <w:r>
        <w:rPr>
          <w:rFonts w:ascii="Times New Roman" w:hAnsi="Times New Roman"/>
          <w:noProof/>
          <w:sz w:val="24"/>
          <w:szCs w:val="24"/>
          <w:lang w:eastAsia="fr-FR"/>
        </w:rPr>
        <mc:AlternateContent>
          <mc:Choice Requires="wps">
            <w:drawing>
              <wp:anchor distT="0" distB="0" distL="114300" distR="114300" simplePos="0" relativeHeight="251667456" behindDoc="0" locked="0" layoutInCell="1" allowOverlap="1" wp14:anchorId="39B1D8A9" wp14:editId="360E1463">
                <wp:simplePos x="0" y="0"/>
                <wp:positionH relativeFrom="column">
                  <wp:posOffset>14605</wp:posOffset>
                </wp:positionH>
                <wp:positionV relativeFrom="paragraph">
                  <wp:posOffset>6668</wp:posOffset>
                </wp:positionV>
                <wp:extent cx="5919788" cy="1033462"/>
                <wp:effectExtent l="0" t="0" r="24130" b="14605"/>
                <wp:wrapNone/>
                <wp:docPr id="19" name="Zone de texte 19"/>
                <wp:cNvGraphicFramePr/>
                <a:graphic xmlns:a="http://schemas.openxmlformats.org/drawingml/2006/main">
                  <a:graphicData uri="http://schemas.microsoft.com/office/word/2010/wordprocessingShape">
                    <wps:wsp>
                      <wps:cNvSpPr txBox="1"/>
                      <wps:spPr>
                        <a:xfrm>
                          <a:off x="0" y="0"/>
                          <a:ext cx="5919788" cy="1033462"/>
                        </a:xfrm>
                        <a:prstGeom prst="rect">
                          <a:avLst/>
                        </a:prstGeom>
                        <a:solidFill>
                          <a:schemeClr val="accent4">
                            <a:lumMod val="20000"/>
                            <a:lumOff val="80000"/>
                          </a:schemeClr>
                        </a:solidFill>
                        <a:ln w="6350">
                          <a:solidFill>
                            <a:schemeClr val="accent4">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13EEA69D" w14:textId="77777777" w:rsidR="00E357DF" w:rsidRPr="008120D4" w:rsidRDefault="00E357DF" w:rsidP="008120D4">
                            <w:pPr>
                              <w:spacing w:after="0"/>
                              <w:jc w:val="both"/>
                              <w:rPr>
                                <w:rFonts w:ascii="Times New Roman" w:hAnsi="Times New Roman"/>
                                <w:sz w:val="24"/>
                                <w:szCs w:val="24"/>
                              </w:rPr>
                            </w:pPr>
                            <w:r w:rsidRPr="008120D4">
                              <w:rPr>
                                <w:rFonts w:ascii="Times New Roman" w:hAnsi="Times New Roman"/>
                                <w:b/>
                                <w:sz w:val="24"/>
                                <w:szCs w:val="24"/>
                              </w:rPr>
                              <w:t>Note</w:t>
                            </w:r>
                            <w:r w:rsidRPr="008120D4">
                              <w:rPr>
                                <w:rFonts w:ascii="Times New Roman" w:hAnsi="Times New Roman"/>
                                <w:sz w:val="24"/>
                                <w:szCs w:val="24"/>
                              </w:rPr>
                              <w:t xml:space="preserve"> : </w:t>
                            </w:r>
                          </w:p>
                          <w:p w14:paraId="1E53E7C1" w14:textId="457AA429" w:rsidR="00E357DF" w:rsidRPr="008120D4" w:rsidRDefault="00E357DF" w:rsidP="008120D4">
                            <w:pPr>
                              <w:spacing w:after="0"/>
                              <w:jc w:val="both"/>
                              <w:rPr>
                                <w:rFonts w:ascii="Times New Roman" w:hAnsi="Times New Roman"/>
                                <w:sz w:val="24"/>
                                <w:szCs w:val="24"/>
                              </w:rPr>
                            </w:pPr>
                            <w:r w:rsidRPr="008120D4">
                              <w:rPr>
                                <w:rFonts w:ascii="Times New Roman" w:hAnsi="Times New Roman"/>
                                <w:sz w:val="24"/>
                                <w:szCs w:val="24"/>
                              </w:rPr>
                              <w:t xml:space="preserve">Seule SONAHYDROC participe à la déclaration ITIE. Les autres entreprises sont des concessionnaires qui ont  amodié leurs titres.  Elles sont donc  inactives et n’ont  aucune obligation vis-à-vis de l’Etat si ce n’est qu’à travers leurs operateurs qui  participent aux déclarations ITIE.  </w:t>
                            </w:r>
                          </w:p>
                          <w:p w14:paraId="559B05F9" w14:textId="77777777" w:rsidR="00E357DF" w:rsidRDefault="00E357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B1D8A9" id="Zone de texte 19" o:spid="_x0000_s1038" type="#_x0000_t202" style="position:absolute;left:0;text-align:left;margin-left:1.15pt;margin-top:.55pt;width:466.15pt;height:81.3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" fillcolor="#fff2cc [663]" strokecolor="#fff2cc [663]" strokeweight=".5pt">
                <v:textbox>
                  <w:txbxContent>
                    <w:p w14:paraId="13EEA69D" w14:textId="77777777" w:rsidR="00E357DF" w:rsidRPr="008120D4" w:rsidRDefault="00E357DF" w:rsidP="008120D4">
                      <w:pPr>
                        <w:spacing w:after="0"/>
                        <w:jc w:val="both"/>
                        <w:rPr>
                          <w:rFonts w:ascii="Times New Roman" w:hAnsi="Times New Roman"/>
                          <w:sz w:val="24"/>
                          <w:szCs w:val="24"/>
                        </w:rPr>
                      </w:pPr>
                      <w:r w:rsidRPr="008120D4">
                        <w:rPr>
                          <w:rFonts w:ascii="Times New Roman" w:hAnsi="Times New Roman"/>
                          <w:b/>
                          <w:sz w:val="24"/>
                          <w:szCs w:val="24"/>
                        </w:rPr>
                        <w:t>Note</w:t>
                      </w:r>
                      <w:r w:rsidRPr="008120D4">
                        <w:rPr>
                          <w:rFonts w:ascii="Times New Roman" w:hAnsi="Times New Roman"/>
                          <w:sz w:val="24"/>
                          <w:szCs w:val="24"/>
                        </w:rPr>
                        <w:t xml:space="preserve"> : </w:t>
                      </w:r>
                    </w:p>
                    <w:p w14:paraId="1E53E7C1" w14:textId="457AA429" w:rsidR="00E357DF" w:rsidRPr="008120D4" w:rsidRDefault="00E357DF" w:rsidP="008120D4">
                      <w:pPr>
                        <w:spacing w:after="0"/>
                        <w:jc w:val="both"/>
                        <w:rPr>
                          <w:rFonts w:ascii="Times New Roman" w:hAnsi="Times New Roman"/>
                          <w:sz w:val="24"/>
                          <w:szCs w:val="24"/>
                        </w:rPr>
                      </w:pPr>
                      <w:r w:rsidRPr="008120D4">
                        <w:rPr>
                          <w:rFonts w:ascii="Times New Roman" w:hAnsi="Times New Roman"/>
                          <w:sz w:val="24"/>
                          <w:szCs w:val="24"/>
                        </w:rPr>
                        <w:t xml:space="preserve">Seule SONAHYDROC participe à la déclaration ITIE. Les autres entreprises sont des concessionnaires qui ont  amodié leurs titres.  Elles sont donc  inactives et n’ont  aucune obligation vis-à-vis de l’Etat si ce n’est qu’à travers leurs operateurs qui  participent aux déclarations ITIE.  </w:t>
                      </w:r>
                    </w:p>
                    <w:p w14:paraId="559B05F9" w14:textId="77777777" w:rsidR="00E357DF" w:rsidRDefault="00E357DF"/>
                  </w:txbxContent>
                </v:textbox>
              </v:shape>
            </w:pict>
          </mc:Fallback>
        </mc:AlternateContent>
      </w:r>
    </w:p>
    <w:p w14:paraId="028F1A50" w14:textId="77777777" w:rsidR="008120D4" w:rsidRDefault="008120D4">
      <w:pPr>
        <w:rPr>
          <w:rFonts w:ascii="Times New Roman" w:hAnsi="Times New Roman"/>
          <w:b/>
          <w:sz w:val="24"/>
          <w:szCs w:val="24"/>
          <w:u w:val="single"/>
        </w:rPr>
      </w:pPr>
      <w:r>
        <w:rPr>
          <w:rFonts w:ascii="Times New Roman" w:hAnsi="Times New Roman"/>
          <w:b/>
          <w:sz w:val="24"/>
          <w:szCs w:val="24"/>
          <w:u w:val="single"/>
        </w:rPr>
        <w:br w:type="page"/>
      </w:r>
    </w:p>
    <w:p w14:paraId="012E5E03" w14:textId="2509C31E" w:rsidR="00F000B0" w:rsidRPr="00B354ED" w:rsidRDefault="00F000B0" w:rsidP="00F000B0">
      <w:pPr>
        <w:spacing w:after="0"/>
        <w:ind w:left="567"/>
        <w:jc w:val="both"/>
        <w:rPr>
          <w:rFonts w:ascii="Times New Roman" w:hAnsi="Times New Roman"/>
          <w:b/>
          <w:sz w:val="24"/>
          <w:szCs w:val="24"/>
          <w:u w:val="single"/>
        </w:rPr>
      </w:pPr>
      <w:r w:rsidRPr="00B354ED">
        <w:rPr>
          <w:rFonts w:ascii="Times New Roman" w:hAnsi="Times New Roman"/>
          <w:b/>
          <w:sz w:val="24"/>
          <w:szCs w:val="24"/>
          <w:u w:val="single"/>
        </w:rPr>
        <w:lastRenderedPageBreak/>
        <w:t>Secteur Minier</w:t>
      </w:r>
    </w:p>
    <w:p w14:paraId="6AD945F8" w14:textId="77777777" w:rsidR="00F000B0" w:rsidRPr="00B354ED" w:rsidRDefault="00F000B0" w:rsidP="00F000B0">
      <w:pPr>
        <w:spacing w:after="0"/>
        <w:ind w:left="567"/>
        <w:jc w:val="both"/>
        <w:rPr>
          <w:rFonts w:ascii="Times New Roman" w:hAnsi="Times New Roman"/>
          <w:b/>
          <w:sz w:val="24"/>
          <w:szCs w:val="24"/>
          <w:u w:val="single"/>
        </w:rPr>
      </w:pPr>
    </w:p>
    <w:p w14:paraId="2C5E33BB" w14:textId="77777777" w:rsidR="00F000B0" w:rsidRPr="00AA5351" w:rsidRDefault="00F000B0" w:rsidP="00F000B0">
      <w:pPr>
        <w:ind w:left="567"/>
        <w:jc w:val="both"/>
        <w:rPr>
          <w:rFonts w:ascii="Times New Roman" w:hAnsi="Times New Roman"/>
          <w:sz w:val="24"/>
          <w:szCs w:val="24"/>
        </w:rPr>
      </w:pPr>
      <w:r w:rsidRPr="00AA5351">
        <w:rPr>
          <w:rFonts w:ascii="Times New Roman" w:hAnsi="Times New Roman"/>
          <w:sz w:val="24"/>
          <w:szCs w:val="24"/>
        </w:rPr>
        <w:t>Le  résultat du rapprochement des données reçues  du Ministère du Portefeuille avec  celles des 8 EPE minières se présente de la manière ci-après :</w:t>
      </w:r>
    </w:p>
    <w:p w14:paraId="34F35CE2" w14:textId="77777777" w:rsidR="00F000B0" w:rsidRPr="00AA5351" w:rsidRDefault="00F000B0" w:rsidP="000738D3">
      <w:pPr>
        <w:pStyle w:val="Paragraphedeliste"/>
        <w:numPr>
          <w:ilvl w:val="0"/>
          <w:numId w:val="43"/>
        </w:numPr>
        <w:spacing w:after="0" w:line="259" w:lineRule="auto"/>
        <w:jc w:val="both"/>
        <w:rPr>
          <w:rFonts w:ascii="Times New Roman" w:hAnsi="Times New Roman" w:cs="Times New Roman"/>
          <w:b/>
          <w:sz w:val="24"/>
          <w:szCs w:val="24"/>
        </w:rPr>
      </w:pPr>
      <w:r w:rsidRPr="00AA5351">
        <w:rPr>
          <w:rFonts w:ascii="Times New Roman" w:hAnsi="Times New Roman" w:cs="Times New Roman"/>
          <w:b/>
          <w:sz w:val="24"/>
          <w:szCs w:val="24"/>
        </w:rPr>
        <w:t xml:space="preserve">Participation majoritaire </w:t>
      </w:r>
    </w:p>
    <w:p w14:paraId="773F1CAB" w14:textId="77777777" w:rsidR="00F000B0" w:rsidRPr="004C418F" w:rsidRDefault="00F000B0" w:rsidP="00F000B0">
      <w:pPr>
        <w:pStyle w:val="Sansinterligne"/>
      </w:pPr>
    </w:p>
    <w:tbl>
      <w:tblPr>
        <w:tblStyle w:val="TableauGrille1Clair-Accentuation11"/>
        <w:tblW w:w="0" w:type="auto"/>
        <w:tblInd w:w="392" w:type="dxa"/>
        <w:tblLayout w:type="fixed"/>
        <w:tblLook w:val="04A0" w:firstRow="1" w:lastRow="0" w:firstColumn="1" w:lastColumn="0" w:noHBand="0" w:noVBand="1"/>
      </w:tblPr>
      <w:tblGrid>
        <w:gridCol w:w="562"/>
        <w:gridCol w:w="2240"/>
        <w:gridCol w:w="1729"/>
        <w:gridCol w:w="567"/>
        <w:gridCol w:w="1974"/>
        <w:gridCol w:w="1712"/>
      </w:tblGrid>
      <w:tr w:rsidR="00F000B0" w:rsidRPr="00B354ED" w14:paraId="072B3C8B" w14:textId="77777777" w:rsidTr="00943F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B3BD2C4" w14:textId="77777777" w:rsidR="00F000B0" w:rsidRPr="00B354ED" w:rsidRDefault="00F000B0" w:rsidP="00F000B0">
            <w:pPr>
              <w:jc w:val="both"/>
              <w:rPr>
                <w:rFonts w:ascii="Times New Roman" w:hAnsi="Times New Roman"/>
                <w:sz w:val="20"/>
                <w:szCs w:val="20"/>
              </w:rPr>
            </w:pPr>
            <w:r w:rsidRPr="00B354ED">
              <w:rPr>
                <w:rFonts w:ascii="Times New Roman" w:hAnsi="Times New Roman"/>
                <w:sz w:val="20"/>
                <w:szCs w:val="20"/>
              </w:rPr>
              <w:t>N°</w:t>
            </w:r>
          </w:p>
        </w:tc>
        <w:tc>
          <w:tcPr>
            <w:tcW w:w="2240" w:type="dxa"/>
          </w:tcPr>
          <w:p w14:paraId="511192C7" w14:textId="77777777" w:rsidR="00F000B0" w:rsidRPr="00B354ED"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Nom de l’entreprise</w:t>
            </w:r>
          </w:p>
        </w:tc>
        <w:tc>
          <w:tcPr>
            <w:tcW w:w="1729" w:type="dxa"/>
          </w:tcPr>
          <w:p w14:paraId="2A38B383" w14:textId="77777777" w:rsidR="00F000B0" w:rsidRPr="00B354ED"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Participation de l’Etat (en %)</w:t>
            </w:r>
          </w:p>
        </w:tc>
        <w:tc>
          <w:tcPr>
            <w:tcW w:w="567" w:type="dxa"/>
          </w:tcPr>
          <w:p w14:paraId="5C4B6C8C" w14:textId="77777777" w:rsidR="00F000B0" w:rsidRPr="00B354ED"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N°</w:t>
            </w:r>
          </w:p>
        </w:tc>
        <w:tc>
          <w:tcPr>
            <w:tcW w:w="1974" w:type="dxa"/>
          </w:tcPr>
          <w:p w14:paraId="54902D65" w14:textId="77777777" w:rsidR="00F000B0" w:rsidRPr="00B354ED"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Nom de l’Entreprise</w:t>
            </w:r>
          </w:p>
        </w:tc>
        <w:tc>
          <w:tcPr>
            <w:tcW w:w="1712" w:type="dxa"/>
          </w:tcPr>
          <w:p w14:paraId="3A2A632B" w14:textId="77777777" w:rsidR="00F000B0" w:rsidRPr="00B354ED"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Participation de l’Etat (en %)</w:t>
            </w:r>
          </w:p>
        </w:tc>
      </w:tr>
      <w:tr w:rsidR="00F000B0" w:rsidRPr="00B354ED" w14:paraId="412B8E08" w14:textId="77777777" w:rsidTr="00943F67">
        <w:tc>
          <w:tcPr>
            <w:cnfStyle w:val="001000000000" w:firstRow="0" w:lastRow="0" w:firstColumn="1" w:lastColumn="0" w:oddVBand="0" w:evenVBand="0" w:oddHBand="0" w:evenHBand="0" w:firstRowFirstColumn="0" w:firstRowLastColumn="0" w:lastRowFirstColumn="0" w:lastRowLastColumn="0"/>
            <w:tcW w:w="562" w:type="dxa"/>
          </w:tcPr>
          <w:p w14:paraId="20BE64C2" w14:textId="77777777" w:rsidR="00F000B0" w:rsidRPr="00B354ED" w:rsidRDefault="00F000B0" w:rsidP="00F000B0">
            <w:pPr>
              <w:jc w:val="both"/>
              <w:rPr>
                <w:rFonts w:ascii="Times New Roman" w:hAnsi="Times New Roman"/>
                <w:sz w:val="20"/>
                <w:szCs w:val="20"/>
              </w:rPr>
            </w:pPr>
            <w:r w:rsidRPr="00B354ED">
              <w:rPr>
                <w:rFonts w:ascii="Times New Roman" w:hAnsi="Times New Roman"/>
                <w:sz w:val="20"/>
                <w:szCs w:val="20"/>
              </w:rPr>
              <w:t>1</w:t>
            </w:r>
          </w:p>
        </w:tc>
        <w:tc>
          <w:tcPr>
            <w:tcW w:w="2240" w:type="dxa"/>
          </w:tcPr>
          <w:p w14:paraId="432C2C29"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GECAMINES</w:t>
            </w:r>
          </w:p>
        </w:tc>
        <w:tc>
          <w:tcPr>
            <w:tcW w:w="1729" w:type="dxa"/>
          </w:tcPr>
          <w:p w14:paraId="10A6F7E4" w14:textId="77777777" w:rsidR="00F000B0" w:rsidRPr="00B354ED"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100</w:t>
            </w:r>
          </w:p>
        </w:tc>
        <w:tc>
          <w:tcPr>
            <w:tcW w:w="567" w:type="dxa"/>
          </w:tcPr>
          <w:p w14:paraId="708094E1"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5</w:t>
            </w:r>
          </w:p>
        </w:tc>
        <w:tc>
          <w:tcPr>
            <w:tcW w:w="1974" w:type="dxa"/>
          </w:tcPr>
          <w:p w14:paraId="0FDC7EA4"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SAKIMA</w:t>
            </w:r>
          </w:p>
        </w:tc>
        <w:tc>
          <w:tcPr>
            <w:tcW w:w="1712" w:type="dxa"/>
          </w:tcPr>
          <w:p w14:paraId="18F319A5" w14:textId="77777777" w:rsidR="00F000B0" w:rsidRPr="00B354ED"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100</w:t>
            </w:r>
          </w:p>
        </w:tc>
      </w:tr>
      <w:tr w:rsidR="00F000B0" w:rsidRPr="00B354ED" w14:paraId="6ABE9843" w14:textId="77777777" w:rsidTr="00943F67">
        <w:tc>
          <w:tcPr>
            <w:cnfStyle w:val="001000000000" w:firstRow="0" w:lastRow="0" w:firstColumn="1" w:lastColumn="0" w:oddVBand="0" w:evenVBand="0" w:oddHBand="0" w:evenHBand="0" w:firstRowFirstColumn="0" w:firstRowLastColumn="0" w:lastRowFirstColumn="0" w:lastRowLastColumn="0"/>
            <w:tcW w:w="562" w:type="dxa"/>
          </w:tcPr>
          <w:p w14:paraId="3EF4A07F" w14:textId="77777777" w:rsidR="00F000B0" w:rsidRPr="00B354ED" w:rsidRDefault="00F000B0" w:rsidP="00F000B0">
            <w:pPr>
              <w:jc w:val="both"/>
              <w:rPr>
                <w:rFonts w:ascii="Times New Roman" w:hAnsi="Times New Roman"/>
                <w:sz w:val="20"/>
                <w:szCs w:val="20"/>
              </w:rPr>
            </w:pPr>
            <w:r w:rsidRPr="00B354ED">
              <w:rPr>
                <w:rFonts w:ascii="Times New Roman" w:hAnsi="Times New Roman"/>
                <w:sz w:val="20"/>
                <w:szCs w:val="20"/>
              </w:rPr>
              <w:t>2</w:t>
            </w:r>
          </w:p>
        </w:tc>
        <w:tc>
          <w:tcPr>
            <w:tcW w:w="2240" w:type="dxa"/>
          </w:tcPr>
          <w:p w14:paraId="49BE0EF0"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SODIMICO</w:t>
            </w:r>
          </w:p>
        </w:tc>
        <w:tc>
          <w:tcPr>
            <w:tcW w:w="1729" w:type="dxa"/>
          </w:tcPr>
          <w:p w14:paraId="1B4FEF1F" w14:textId="77777777" w:rsidR="00F000B0" w:rsidRPr="00B354ED"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100</w:t>
            </w:r>
          </w:p>
        </w:tc>
        <w:tc>
          <w:tcPr>
            <w:tcW w:w="567" w:type="dxa"/>
          </w:tcPr>
          <w:p w14:paraId="64953B3F"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6</w:t>
            </w:r>
          </w:p>
        </w:tc>
        <w:tc>
          <w:tcPr>
            <w:tcW w:w="1974" w:type="dxa"/>
          </w:tcPr>
          <w:p w14:paraId="4C0EC890"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COMINIERE</w:t>
            </w:r>
          </w:p>
        </w:tc>
        <w:tc>
          <w:tcPr>
            <w:tcW w:w="1712" w:type="dxa"/>
          </w:tcPr>
          <w:p w14:paraId="6E310CA2" w14:textId="77777777" w:rsidR="00F000B0" w:rsidRPr="00B354ED"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90</w:t>
            </w:r>
          </w:p>
        </w:tc>
      </w:tr>
      <w:tr w:rsidR="00F000B0" w:rsidRPr="00B354ED" w14:paraId="772B3AA6" w14:textId="77777777" w:rsidTr="00943F67">
        <w:tc>
          <w:tcPr>
            <w:cnfStyle w:val="001000000000" w:firstRow="0" w:lastRow="0" w:firstColumn="1" w:lastColumn="0" w:oddVBand="0" w:evenVBand="0" w:oddHBand="0" w:evenHBand="0" w:firstRowFirstColumn="0" w:firstRowLastColumn="0" w:lastRowFirstColumn="0" w:lastRowLastColumn="0"/>
            <w:tcW w:w="562" w:type="dxa"/>
          </w:tcPr>
          <w:p w14:paraId="2CE43475" w14:textId="77777777" w:rsidR="00F000B0" w:rsidRPr="00B354ED" w:rsidRDefault="00F000B0" w:rsidP="00F000B0">
            <w:pPr>
              <w:jc w:val="both"/>
              <w:rPr>
                <w:rFonts w:ascii="Times New Roman" w:hAnsi="Times New Roman"/>
                <w:sz w:val="20"/>
                <w:szCs w:val="20"/>
              </w:rPr>
            </w:pPr>
            <w:r w:rsidRPr="00B354ED">
              <w:rPr>
                <w:rFonts w:ascii="Times New Roman" w:hAnsi="Times New Roman"/>
                <w:sz w:val="20"/>
                <w:szCs w:val="20"/>
              </w:rPr>
              <w:t>3</w:t>
            </w:r>
          </w:p>
        </w:tc>
        <w:tc>
          <w:tcPr>
            <w:tcW w:w="2240" w:type="dxa"/>
          </w:tcPr>
          <w:p w14:paraId="49BD387B"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SCMK-Mn</w:t>
            </w:r>
          </w:p>
        </w:tc>
        <w:tc>
          <w:tcPr>
            <w:tcW w:w="1729" w:type="dxa"/>
          </w:tcPr>
          <w:p w14:paraId="7B2CA790" w14:textId="77777777" w:rsidR="00F000B0" w:rsidRPr="00B354ED"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100</w:t>
            </w:r>
          </w:p>
        </w:tc>
        <w:tc>
          <w:tcPr>
            <w:tcW w:w="567" w:type="dxa"/>
          </w:tcPr>
          <w:p w14:paraId="7B253A31"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7</w:t>
            </w:r>
          </w:p>
        </w:tc>
        <w:tc>
          <w:tcPr>
            <w:tcW w:w="1974" w:type="dxa"/>
          </w:tcPr>
          <w:p w14:paraId="5E3665CE"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MIBA</w:t>
            </w:r>
          </w:p>
        </w:tc>
        <w:tc>
          <w:tcPr>
            <w:tcW w:w="1712" w:type="dxa"/>
          </w:tcPr>
          <w:p w14:paraId="67EC815A" w14:textId="77777777" w:rsidR="00F000B0" w:rsidRPr="00B354ED"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80</w:t>
            </w:r>
          </w:p>
        </w:tc>
      </w:tr>
      <w:tr w:rsidR="00F000B0" w:rsidRPr="00B354ED" w14:paraId="4E1A1D3F" w14:textId="77777777" w:rsidTr="00943F67">
        <w:tc>
          <w:tcPr>
            <w:cnfStyle w:val="001000000000" w:firstRow="0" w:lastRow="0" w:firstColumn="1" w:lastColumn="0" w:oddVBand="0" w:evenVBand="0" w:oddHBand="0" w:evenHBand="0" w:firstRowFirstColumn="0" w:firstRowLastColumn="0" w:lastRowFirstColumn="0" w:lastRowLastColumn="0"/>
            <w:tcW w:w="562" w:type="dxa"/>
          </w:tcPr>
          <w:p w14:paraId="5075F428" w14:textId="77777777" w:rsidR="00F000B0" w:rsidRPr="00B354ED" w:rsidRDefault="00F000B0" w:rsidP="00F000B0">
            <w:pPr>
              <w:jc w:val="both"/>
              <w:rPr>
                <w:rFonts w:ascii="Times New Roman" w:hAnsi="Times New Roman"/>
                <w:sz w:val="20"/>
                <w:szCs w:val="20"/>
              </w:rPr>
            </w:pPr>
            <w:r w:rsidRPr="00B354ED">
              <w:rPr>
                <w:rFonts w:ascii="Times New Roman" w:hAnsi="Times New Roman"/>
                <w:sz w:val="20"/>
                <w:szCs w:val="20"/>
              </w:rPr>
              <w:t>4</w:t>
            </w:r>
          </w:p>
        </w:tc>
        <w:tc>
          <w:tcPr>
            <w:tcW w:w="2240" w:type="dxa"/>
          </w:tcPr>
          <w:p w14:paraId="58247421"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SOKIMO</w:t>
            </w:r>
          </w:p>
        </w:tc>
        <w:tc>
          <w:tcPr>
            <w:tcW w:w="1729" w:type="dxa"/>
          </w:tcPr>
          <w:p w14:paraId="0987E86A" w14:textId="77777777" w:rsidR="00F000B0" w:rsidRPr="00B354ED"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100</w:t>
            </w:r>
          </w:p>
        </w:tc>
        <w:tc>
          <w:tcPr>
            <w:tcW w:w="567" w:type="dxa"/>
          </w:tcPr>
          <w:p w14:paraId="3DEBD67E"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8</w:t>
            </w:r>
          </w:p>
        </w:tc>
        <w:tc>
          <w:tcPr>
            <w:tcW w:w="1974" w:type="dxa"/>
          </w:tcPr>
          <w:p w14:paraId="1B906B27"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SACIM</w:t>
            </w:r>
          </w:p>
        </w:tc>
        <w:tc>
          <w:tcPr>
            <w:tcW w:w="1712" w:type="dxa"/>
          </w:tcPr>
          <w:p w14:paraId="0E6B86AC" w14:textId="77777777" w:rsidR="00F000B0" w:rsidRPr="00B354ED" w:rsidRDefault="00F000B0" w:rsidP="00E9673A">
            <w:pPr>
              <w:jc w:val="right"/>
              <w:cnfStyle w:val="000000000000" w:firstRow="0" w:lastRow="0" w:firstColumn="0" w:lastColumn="0" w:oddVBand="0" w:evenVBand="0" w:oddHBand="0" w:evenHBand="0" w:firstRowFirstColumn="0" w:firstRowLastColumn="0" w:lastRowFirstColumn="0" w:lastRowLastColumn="0"/>
            </w:pPr>
            <w:r w:rsidRPr="00B354ED">
              <w:t>50</w:t>
            </w:r>
          </w:p>
        </w:tc>
      </w:tr>
    </w:tbl>
    <w:p w14:paraId="5AE0CC88" w14:textId="77777777" w:rsidR="00F000B0" w:rsidRPr="00B354ED" w:rsidRDefault="00F000B0" w:rsidP="00F000B0">
      <w:pPr>
        <w:jc w:val="both"/>
        <w:rPr>
          <w:rFonts w:ascii="Times New Roman" w:hAnsi="Times New Roman"/>
          <w:sz w:val="18"/>
          <w:szCs w:val="18"/>
        </w:rPr>
      </w:pPr>
      <w:r w:rsidRPr="00B354ED">
        <w:rPr>
          <w:rFonts w:ascii="Times New Roman" w:hAnsi="Times New Roman"/>
          <w:sz w:val="18"/>
          <w:szCs w:val="18"/>
        </w:rPr>
        <w:t>Sources : Ministère du PF et EPE</w:t>
      </w:r>
    </w:p>
    <w:p w14:paraId="7D1364A7" w14:textId="77777777" w:rsidR="00F000B0" w:rsidRDefault="00F000B0" w:rsidP="00F000B0">
      <w:pPr>
        <w:jc w:val="both"/>
        <w:rPr>
          <w:rFonts w:ascii="Times New Roman" w:hAnsi="Times New Roman"/>
          <w:sz w:val="24"/>
          <w:szCs w:val="24"/>
        </w:rPr>
      </w:pPr>
      <w:r w:rsidRPr="00AA5351">
        <w:rPr>
          <w:rFonts w:ascii="Times New Roman" w:hAnsi="Times New Roman"/>
          <w:sz w:val="24"/>
          <w:szCs w:val="24"/>
        </w:rPr>
        <w:t>En comparant la déclaration de 2015 à celle de 2016</w:t>
      </w:r>
      <w:r>
        <w:rPr>
          <w:rFonts w:ascii="Times New Roman" w:hAnsi="Times New Roman"/>
          <w:sz w:val="24"/>
          <w:szCs w:val="24"/>
        </w:rPr>
        <w:t>,</w:t>
      </w:r>
      <w:r w:rsidRPr="00AA5351">
        <w:rPr>
          <w:rFonts w:ascii="Times New Roman" w:hAnsi="Times New Roman"/>
          <w:sz w:val="24"/>
          <w:szCs w:val="24"/>
        </w:rPr>
        <w:t xml:space="preserve"> l’on constate  qu’aucune modification n’est intervenue dans la participation </w:t>
      </w:r>
      <w:r>
        <w:rPr>
          <w:rFonts w:ascii="Times New Roman" w:hAnsi="Times New Roman"/>
          <w:sz w:val="24"/>
          <w:szCs w:val="24"/>
        </w:rPr>
        <w:t xml:space="preserve">directe </w:t>
      </w:r>
      <w:r w:rsidRPr="00AA5351">
        <w:rPr>
          <w:rFonts w:ascii="Times New Roman" w:hAnsi="Times New Roman"/>
          <w:sz w:val="24"/>
          <w:szCs w:val="24"/>
        </w:rPr>
        <w:t xml:space="preserve">de l’Etat </w:t>
      </w:r>
      <w:r>
        <w:rPr>
          <w:rFonts w:ascii="Times New Roman" w:hAnsi="Times New Roman"/>
          <w:sz w:val="24"/>
          <w:szCs w:val="24"/>
        </w:rPr>
        <w:t xml:space="preserve">dans le secteur minier </w:t>
      </w:r>
      <w:r w:rsidRPr="00AA5351">
        <w:rPr>
          <w:rFonts w:ascii="Times New Roman" w:hAnsi="Times New Roman"/>
          <w:sz w:val="24"/>
          <w:szCs w:val="24"/>
        </w:rPr>
        <w:t xml:space="preserve">entre les deux exercices. </w:t>
      </w:r>
    </w:p>
    <w:p w14:paraId="3FAA9AD8" w14:textId="77777777" w:rsidR="00F000B0" w:rsidRPr="00AA5351" w:rsidRDefault="00F000B0" w:rsidP="000738D3">
      <w:pPr>
        <w:pStyle w:val="Paragraphedeliste"/>
        <w:numPr>
          <w:ilvl w:val="0"/>
          <w:numId w:val="43"/>
        </w:numPr>
        <w:spacing w:after="160" w:line="259" w:lineRule="auto"/>
        <w:jc w:val="both"/>
        <w:rPr>
          <w:rFonts w:ascii="Times New Roman" w:hAnsi="Times New Roman" w:cs="Times New Roman"/>
          <w:b/>
          <w:sz w:val="24"/>
          <w:szCs w:val="24"/>
        </w:rPr>
      </w:pPr>
      <w:r w:rsidRPr="00AA5351">
        <w:rPr>
          <w:rFonts w:ascii="Times New Roman" w:hAnsi="Times New Roman" w:cs="Times New Roman"/>
          <w:b/>
          <w:sz w:val="24"/>
          <w:szCs w:val="24"/>
        </w:rPr>
        <w:t>Participation minoritaire</w:t>
      </w:r>
    </w:p>
    <w:tbl>
      <w:tblPr>
        <w:tblStyle w:val="TableauGrille1Clair-Accentuation11"/>
        <w:tblW w:w="8784" w:type="dxa"/>
        <w:tblInd w:w="534" w:type="dxa"/>
        <w:tblLayout w:type="fixed"/>
        <w:tblLook w:val="04A0" w:firstRow="1" w:lastRow="0" w:firstColumn="1" w:lastColumn="0" w:noHBand="0" w:noVBand="1"/>
      </w:tblPr>
      <w:tblGrid>
        <w:gridCol w:w="704"/>
        <w:gridCol w:w="2098"/>
        <w:gridCol w:w="1729"/>
        <w:gridCol w:w="567"/>
        <w:gridCol w:w="1974"/>
        <w:gridCol w:w="1712"/>
      </w:tblGrid>
      <w:tr w:rsidR="00F000B0" w:rsidRPr="00B354ED" w14:paraId="4B26BC9D" w14:textId="77777777" w:rsidTr="00943F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F031C13" w14:textId="77777777" w:rsidR="00F000B0" w:rsidRPr="00B354ED" w:rsidRDefault="00F000B0" w:rsidP="00F000B0">
            <w:pPr>
              <w:jc w:val="both"/>
              <w:rPr>
                <w:rFonts w:ascii="Times New Roman" w:hAnsi="Times New Roman"/>
                <w:sz w:val="20"/>
                <w:szCs w:val="20"/>
              </w:rPr>
            </w:pPr>
            <w:r w:rsidRPr="00B354ED">
              <w:rPr>
                <w:rFonts w:ascii="Times New Roman" w:hAnsi="Times New Roman"/>
                <w:sz w:val="20"/>
                <w:szCs w:val="20"/>
              </w:rPr>
              <w:t>N°</w:t>
            </w:r>
          </w:p>
        </w:tc>
        <w:tc>
          <w:tcPr>
            <w:tcW w:w="2098" w:type="dxa"/>
          </w:tcPr>
          <w:p w14:paraId="0558C2F2" w14:textId="77777777" w:rsidR="00F000B0" w:rsidRPr="00B354ED"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Nom de l’entreprise</w:t>
            </w:r>
          </w:p>
        </w:tc>
        <w:tc>
          <w:tcPr>
            <w:tcW w:w="1729" w:type="dxa"/>
          </w:tcPr>
          <w:p w14:paraId="393B80AD" w14:textId="77777777" w:rsidR="00F000B0" w:rsidRPr="00B354ED"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Participation de l’Etat (en %)</w:t>
            </w:r>
          </w:p>
        </w:tc>
        <w:tc>
          <w:tcPr>
            <w:tcW w:w="567" w:type="dxa"/>
          </w:tcPr>
          <w:p w14:paraId="3AC4409E" w14:textId="77777777" w:rsidR="00F000B0" w:rsidRPr="00B354ED"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N°</w:t>
            </w:r>
          </w:p>
        </w:tc>
        <w:tc>
          <w:tcPr>
            <w:tcW w:w="1974" w:type="dxa"/>
          </w:tcPr>
          <w:p w14:paraId="15EFCA16" w14:textId="77777777" w:rsidR="00F000B0" w:rsidRPr="00B354ED"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Nom de l’Entreprise</w:t>
            </w:r>
          </w:p>
        </w:tc>
        <w:tc>
          <w:tcPr>
            <w:tcW w:w="1712" w:type="dxa"/>
          </w:tcPr>
          <w:p w14:paraId="2B287BEB" w14:textId="77777777" w:rsidR="00F000B0" w:rsidRPr="00B354ED"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Participation de l’Etat (en %)</w:t>
            </w:r>
          </w:p>
        </w:tc>
      </w:tr>
      <w:tr w:rsidR="00F000B0" w:rsidRPr="00B354ED" w14:paraId="277E2F87" w14:textId="77777777" w:rsidTr="00943F67">
        <w:tc>
          <w:tcPr>
            <w:cnfStyle w:val="001000000000" w:firstRow="0" w:lastRow="0" w:firstColumn="1" w:lastColumn="0" w:oddVBand="0" w:evenVBand="0" w:oddHBand="0" w:evenHBand="0" w:firstRowFirstColumn="0" w:firstRowLastColumn="0" w:lastRowFirstColumn="0" w:lastRowLastColumn="0"/>
            <w:tcW w:w="704" w:type="dxa"/>
          </w:tcPr>
          <w:p w14:paraId="281EAF80" w14:textId="77777777" w:rsidR="00F000B0" w:rsidRPr="00B354ED" w:rsidRDefault="00F000B0" w:rsidP="000738D3">
            <w:pPr>
              <w:pStyle w:val="Paragraphedeliste"/>
              <w:numPr>
                <w:ilvl w:val="0"/>
                <w:numId w:val="42"/>
              </w:numPr>
              <w:spacing w:after="0" w:line="240" w:lineRule="auto"/>
              <w:jc w:val="both"/>
              <w:rPr>
                <w:rFonts w:ascii="Times New Roman" w:hAnsi="Times New Roman" w:cs="Times New Roman"/>
                <w:sz w:val="20"/>
                <w:szCs w:val="20"/>
              </w:rPr>
            </w:pPr>
          </w:p>
        </w:tc>
        <w:tc>
          <w:tcPr>
            <w:tcW w:w="2098" w:type="dxa"/>
          </w:tcPr>
          <w:p w14:paraId="3C3F7A85"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FRONTIER</w:t>
            </w:r>
          </w:p>
        </w:tc>
        <w:tc>
          <w:tcPr>
            <w:tcW w:w="1729" w:type="dxa"/>
          </w:tcPr>
          <w:p w14:paraId="6A4C22EB"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5</w:t>
            </w:r>
          </w:p>
        </w:tc>
        <w:tc>
          <w:tcPr>
            <w:tcW w:w="567" w:type="dxa"/>
          </w:tcPr>
          <w:p w14:paraId="05E49313"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r w:rsidRPr="00B354ED">
              <w:rPr>
                <w:rFonts w:ascii="Times New Roman" w:hAnsi="Times New Roman"/>
                <w:b/>
                <w:sz w:val="20"/>
                <w:szCs w:val="20"/>
              </w:rPr>
              <w:t>7.</w:t>
            </w:r>
          </w:p>
        </w:tc>
        <w:tc>
          <w:tcPr>
            <w:tcW w:w="1974" w:type="dxa"/>
          </w:tcPr>
          <w:p w14:paraId="2CEB037D"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CROWN MINING</w:t>
            </w:r>
          </w:p>
        </w:tc>
        <w:tc>
          <w:tcPr>
            <w:tcW w:w="1712" w:type="dxa"/>
          </w:tcPr>
          <w:p w14:paraId="4EF1A61B"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5</w:t>
            </w:r>
          </w:p>
        </w:tc>
      </w:tr>
      <w:tr w:rsidR="00F000B0" w:rsidRPr="00B354ED" w14:paraId="51DC7D40" w14:textId="77777777" w:rsidTr="00943F67">
        <w:tc>
          <w:tcPr>
            <w:cnfStyle w:val="001000000000" w:firstRow="0" w:lastRow="0" w:firstColumn="1" w:lastColumn="0" w:oddVBand="0" w:evenVBand="0" w:oddHBand="0" w:evenHBand="0" w:firstRowFirstColumn="0" w:firstRowLastColumn="0" w:lastRowFirstColumn="0" w:lastRowLastColumn="0"/>
            <w:tcW w:w="704" w:type="dxa"/>
          </w:tcPr>
          <w:p w14:paraId="2EF22017" w14:textId="77777777" w:rsidR="00F000B0" w:rsidRPr="00B354ED" w:rsidRDefault="00F000B0" w:rsidP="000738D3">
            <w:pPr>
              <w:pStyle w:val="Paragraphedeliste"/>
              <w:numPr>
                <w:ilvl w:val="0"/>
                <w:numId w:val="42"/>
              </w:numPr>
              <w:spacing w:after="0" w:line="240" w:lineRule="auto"/>
              <w:jc w:val="both"/>
              <w:rPr>
                <w:rFonts w:ascii="Times New Roman" w:hAnsi="Times New Roman" w:cs="Times New Roman"/>
                <w:sz w:val="20"/>
                <w:szCs w:val="20"/>
              </w:rPr>
            </w:pPr>
          </w:p>
        </w:tc>
        <w:tc>
          <w:tcPr>
            <w:tcW w:w="2098" w:type="dxa"/>
          </w:tcPr>
          <w:p w14:paraId="19C5E83A"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KGL SOMITURI</w:t>
            </w:r>
          </w:p>
        </w:tc>
        <w:tc>
          <w:tcPr>
            <w:tcW w:w="1729" w:type="dxa"/>
          </w:tcPr>
          <w:p w14:paraId="586AB2B0"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5</w:t>
            </w:r>
          </w:p>
        </w:tc>
        <w:tc>
          <w:tcPr>
            <w:tcW w:w="567" w:type="dxa"/>
          </w:tcPr>
          <w:p w14:paraId="1055FDEE"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r w:rsidRPr="00B354ED">
              <w:rPr>
                <w:rFonts w:ascii="Times New Roman" w:hAnsi="Times New Roman"/>
                <w:b/>
                <w:sz w:val="20"/>
                <w:szCs w:val="20"/>
              </w:rPr>
              <w:t>8.</w:t>
            </w:r>
          </w:p>
        </w:tc>
        <w:tc>
          <w:tcPr>
            <w:tcW w:w="1974" w:type="dxa"/>
          </w:tcPr>
          <w:p w14:paraId="4DFB4DD4"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CHEMAF</w:t>
            </w:r>
          </w:p>
        </w:tc>
        <w:tc>
          <w:tcPr>
            <w:tcW w:w="1712" w:type="dxa"/>
          </w:tcPr>
          <w:p w14:paraId="3CE5AAF6"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5</w:t>
            </w:r>
          </w:p>
        </w:tc>
      </w:tr>
      <w:tr w:rsidR="00F000B0" w:rsidRPr="00B354ED" w14:paraId="073BF39B" w14:textId="77777777" w:rsidTr="00943F67">
        <w:tc>
          <w:tcPr>
            <w:cnfStyle w:val="001000000000" w:firstRow="0" w:lastRow="0" w:firstColumn="1" w:lastColumn="0" w:oddVBand="0" w:evenVBand="0" w:oddHBand="0" w:evenHBand="0" w:firstRowFirstColumn="0" w:firstRowLastColumn="0" w:lastRowFirstColumn="0" w:lastRowLastColumn="0"/>
            <w:tcW w:w="704" w:type="dxa"/>
          </w:tcPr>
          <w:p w14:paraId="12BDF0F2" w14:textId="77777777" w:rsidR="00F000B0" w:rsidRPr="00B354ED" w:rsidRDefault="00F000B0" w:rsidP="000738D3">
            <w:pPr>
              <w:pStyle w:val="Paragraphedeliste"/>
              <w:numPr>
                <w:ilvl w:val="0"/>
                <w:numId w:val="42"/>
              </w:numPr>
              <w:spacing w:after="0" w:line="240" w:lineRule="auto"/>
              <w:jc w:val="both"/>
              <w:rPr>
                <w:rFonts w:ascii="Times New Roman" w:hAnsi="Times New Roman" w:cs="Times New Roman"/>
                <w:sz w:val="20"/>
                <w:szCs w:val="20"/>
              </w:rPr>
            </w:pPr>
          </w:p>
        </w:tc>
        <w:tc>
          <w:tcPr>
            <w:tcW w:w="2098" w:type="dxa"/>
          </w:tcPr>
          <w:p w14:paraId="1BD12E96"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METALKOL</w:t>
            </w:r>
          </w:p>
        </w:tc>
        <w:tc>
          <w:tcPr>
            <w:tcW w:w="1729" w:type="dxa"/>
          </w:tcPr>
          <w:p w14:paraId="42F4EC96"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5</w:t>
            </w:r>
          </w:p>
        </w:tc>
        <w:tc>
          <w:tcPr>
            <w:tcW w:w="567" w:type="dxa"/>
          </w:tcPr>
          <w:p w14:paraId="492503E5"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r w:rsidRPr="00B354ED">
              <w:rPr>
                <w:rFonts w:ascii="Times New Roman" w:hAnsi="Times New Roman"/>
                <w:b/>
                <w:sz w:val="20"/>
                <w:szCs w:val="20"/>
              </w:rPr>
              <w:t>9.</w:t>
            </w:r>
          </w:p>
        </w:tc>
        <w:tc>
          <w:tcPr>
            <w:tcW w:w="1974" w:type="dxa"/>
          </w:tcPr>
          <w:p w14:paraId="2C133405"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ALPHAMIN BISIE</w:t>
            </w:r>
          </w:p>
        </w:tc>
        <w:tc>
          <w:tcPr>
            <w:tcW w:w="1712" w:type="dxa"/>
          </w:tcPr>
          <w:p w14:paraId="77BF76C2"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5</w:t>
            </w:r>
          </w:p>
        </w:tc>
      </w:tr>
      <w:tr w:rsidR="00F000B0" w:rsidRPr="00B354ED" w14:paraId="0BB055F0" w14:textId="77777777" w:rsidTr="00943F67">
        <w:tc>
          <w:tcPr>
            <w:cnfStyle w:val="001000000000" w:firstRow="0" w:lastRow="0" w:firstColumn="1" w:lastColumn="0" w:oddVBand="0" w:evenVBand="0" w:oddHBand="0" w:evenHBand="0" w:firstRowFirstColumn="0" w:firstRowLastColumn="0" w:lastRowFirstColumn="0" w:lastRowLastColumn="0"/>
            <w:tcW w:w="704" w:type="dxa"/>
          </w:tcPr>
          <w:p w14:paraId="21FD2FFE" w14:textId="77777777" w:rsidR="00F000B0" w:rsidRPr="00B354ED" w:rsidRDefault="00F000B0" w:rsidP="000738D3">
            <w:pPr>
              <w:pStyle w:val="Paragraphedeliste"/>
              <w:numPr>
                <w:ilvl w:val="0"/>
                <w:numId w:val="42"/>
              </w:numPr>
              <w:spacing w:after="0" w:line="240" w:lineRule="auto"/>
              <w:jc w:val="both"/>
              <w:rPr>
                <w:rFonts w:ascii="Times New Roman" w:hAnsi="Times New Roman" w:cs="Times New Roman"/>
                <w:sz w:val="20"/>
                <w:szCs w:val="20"/>
              </w:rPr>
            </w:pPr>
          </w:p>
        </w:tc>
        <w:tc>
          <w:tcPr>
            <w:tcW w:w="2098" w:type="dxa"/>
          </w:tcPr>
          <w:p w14:paraId="0926DCF9"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 xml:space="preserve">KAMOA COPPER </w:t>
            </w:r>
          </w:p>
        </w:tc>
        <w:tc>
          <w:tcPr>
            <w:tcW w:w="1729" w:type="dxa"/>
          </w:tcPr>
          <w:p w14:paraId="32F7EAB0"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5</w:t>
            </w:r>
          </w:p>
        </w:tc>
        <w:tc>
          <w:tcPr>
            <w:tcW w:w="567" w:type="dxa"/>
          </w:tcPr>
          <w:p w14:paraId="6BF33E8C"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r w:rsidRPr="00B354ED">
              <w:rPr>
                <w:rFonts w:ascii="Times New Roman" w:hAnsi="Times New Roman"/>
                <w:b/>
                <w:sz w:val="20"/>
                <w:szCs w:val="20"/>
              </w:rPr>
              <w:t>10.</w:t>
            </w:r>
          </w:p>
        </w:tc>
        <w:tc>
          <w:tcPr>
            <w:tcW w:w="1974" w:type="dxa"/>
          </w:tcPr>
          <w:p w14:paraId="6DB36E2D"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SEK</w:t>
            </w:r>
          </w:p>
        </w:tc>
        <w:tc>
          <w:tcPr>
            <w:tcW w:w="1712" w:type="dxa"/>
          </w:tcPr>
          <w:p w14:paraId="1796B527"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5</w:t>
            </w:r>
          </w:p>
        </w:tc>
      </w:tr>
      <w:tr w:rsidR="00F000B0" w:rsidRPr="00B354ED" w14:paraId="52252468" w14:textId="77777777" w:rsidTr="00943F67">
        <w:tc>
          <w:tcPr>
            <w:cnfStyle w:val="001000000000" w:firstRow="0" w:lastRow="0" w:firstColumn="1" w:lastColumn="0" w:oddVBand="0" w:evenVBand="0" w:oddHBand="0" w:evenHBand="0" w:firstRowFirstColumn="0" w:firstRowLastColumn="0" w:lastRowFirstColumn="0" w:lastRowLastColumn="0"/>
            <w:tcW w:w="704" w:type="dxa"/>
          </w:tcPr>
          <w:p w14:paraId="06DD9795" w14:textId="77777777" w:rsidR="00F000B0" w:rsidRPr="00B354ED" w:rsidRDefault="00F000B0" w:rsidP="000738D3">
            <w:pPr>
              <w:pStyle w:val="Paragraphedeliste"/>
              <w:numPr>
                <w:ilvl w:val="0"/>
                <w:numId w:val="42"/>
              </w:numPr>
              <w:spacing w:after="0" w:line="240" w:lineRule="auto"/>
              <w:jc w:val="both"/>
              <w:rPr>
                <w:rFonts w:ascii="Times New Roman" w:hAnsi="Times New Roman" w:cs="Times New Roman"/>
                <w:sz w:val="20"/>
                <w:szCs w:val="20"/>
              </w:rPr>
            </w:pPr>
          </w:p>
        </w:tc>
        <w:tc>
          <w:tcPr>
            <w:tcW w:w="2098" w:type="dxa"/>
          </w:tcPr>
          <w:p w14:paraId="7E0CD5DD"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MURUMBI MINERALS</w:t>
            </w:r>
          </w:p>
        </w:tc>
        <w:tc>
          <w:tcPr>
            <w:tcW w:w="1729" w:type="dxa"/>
          </w:tcPr>
          <w:p w14:paraId="4D757BF7"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5</w:t>
            </w:r>
          </w:p>
        </w:tc>
        <w:tc>
          <w:tcPr>
            <w:tcW w:w="567" w:type="dxa"/>
          </w:tcPr>
          <w:p w14:paraId="2F219629"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r w:rsidRPr="00B354ED">
              <w:rPr>
                <w:rFonts w:ascii="Times New Roman" w:hAnsi="Times New Roman"/>
                <w:b/>
                <w:sz w:val="20"/>
                <w:szCs w:val="20"/>
              </w:rPr>
              <w:t>11.</w:t>
            </w:r>
          </w:p>
        </w:tc>
        <w:tc>
          <w:tcPr>
            <w:tcW w:w="1974" w:type="dxa"/>
          </w:tcPr>
          <w:p w14:paraId="368A7E28"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CONGO MINERAL EXPLORATION</w:t>
            </w:r>
          </w:p>
        </w:tc>
        <w:tc>
          <w:tcPr>
            <w:tcW w:w="1712" w:type="dxa"/>
          </w:tcPr>
          <w:p w14:paraId="7A16A782"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5</w:t>
            </w:r>
          </w:p>
        </w:tc>
      </w:tr>
      <w:tr w:rsidR="00F000B0" w:rsidRPr="00B354ED" w14:paraId="7705727C" w14:textId="77777777" w:rsidTr="00943F67">
        <w:tc>
          <w:tcPr>
            <w:cnfStyle w:val="001000000000" w:firstRow="0" w:lastRow="0" w:firstColumn="1" w:lastColumn="0" w:oddVBand="0" w:evenVBand="0" w:oddHBand="0" w:evenHBand="0" w:firstRowFirstColumn="0" w:firstRowLastColumn="0" w:lastRowFirstColumn="0" w:lastRowLastColumn="0"/>
            <w:tcW w:w="704" w:type="dxa"/>
          </w:tcPr>
          <w:p w14:paraId="75F27F1F" w14:textId="77777777" w:rsidR="00F000B0" w:rsidRPr="00B354ED" w:rsidRDefault="00F000B0" w:rsidP="000738D3">
            <w:pPr>
              <w:pStyle w:val="Paragraphedeliste"/>
              <w:numPr>
                <w:ilvl w:val="0"/>
                <w:numId w:val="42"/>
              </w:numPr>
              <w:spacing w:after="0" w:line="240" w:lineRule="auto"/>
              <w:jc w:val="both"/>
              <w:rPr>
                <w:rFonts w:ascii="Times New Roman" w:hAnsi="Times New Roman" w:cs="Times New Roman"/>
                <w:sz w:val="20"/>
                <w:szCs w:val="20"/>
              </w:rPr>
            </w:pPr>
          </w:p>
        </w:tc>
        <w:tc>
          <w:tcPr>
            <w:tcW w:w="2098" w:type="dxa"/>
          </w:tcPr>
          <w:p w14:paraId="7303C431"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GOLD DRAGON RESOURCES RDC</w:t>
            </w:r>
          </w:p>
        </w:tc>
        <w:tc>
          <w:tcPr>
            <w:tcW w:w="1729" w:type="dxa"/>
          </w:tcPr>
          <w:p w14:paraId="728A766C"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5</w:t>
            </w:r>
          </w:p>
        </w:tc>
        <w:tc>
          <w:tcPr>
            <w:tcW w:w="567" w:type="dxa"/>
          </w:tcPr>
          <w:p w14:paraId="44EDF95B"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974" w:type="dxa"/>
          </w:tcPr>
          <w:p w14:paraId="7883F617"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712" w:type="dxa"/>
          </w:tcPr>
          <w:p w14:paraId="7984CEFB"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bl>
    <w:p w14:paraId="2705F044" w14:textId="77777777" w:rsidR="00F000B0" w:rsidRPr="00B354ED" w:rsidRDefault="00F000B0" w:rsidP="00943F67">
      <w:pPr>
        <w:ind w:firstLine="426"/>
        <w:jc w:val="both"/>
        <w:rPr>
          <w:rFonts w:ascii="Times New Roman" w:hAnsi="Times New Roman"/>
          <w:sz w:val="18"/>
          <w:szCs w:val="18"/>
        </w:rPr>
      </w:pPr>
      <w:r w:rsidRPr="00B354ED">
        <w:rPr>
          <w:rFonts w:ascii="Times New Roman" w:hAnsi="Times New Roman"/>
          <w:sz w:val="18"/>
          <w:szCs w:val="18"/>
        </w:rPr>
        <w:t>Source : Ministère du PF</w:t>
      </w:r>
    </w:p>
    <w:p w14:paraId="29DF25DD" w14:textId="77777777" w:rsidR="00F000B0" w:rsidRPr="00AA5351" w:rsidRDefault="00F000B0" w:rsidP="00F000B0">
      <w:pPr>
        <w:ind w:left="426"/>
        <w:jc w:val="both"/>
        <w:rPr>
          <w:rFonts w:ascii="Times New Roman" w:hAnsi="Times New Roman"/>
          <w:sz w:val="24"/>
          <w:szCs w:val="24"/>
        </w:rPr>
      </w:pPr>
      <w:r w:rsidRPr="00AA5351">
        <w:rPr>
          <w:rFonts w:ascii="Times New Roman" w:hAnsi="Times New Roman"/>
          <w:sz w:val="24"/>
          <w:szCs w:val="24"/>
        </w:rPr>
        <w:t>En 2016, le portefeuille de l’Etat s’est enrichi de six nouvelles entreprises. Il est donc passé de 5 entreprises  détenues minoritairement par l’Etat en 2015  à 11 entreprises en 2016.</w:t>
      </w:r>
    </w:p>
    <w:p w14:paraId="70BC5BDC" w14:textId="77777777" w:rsidR="00F000B0" w:rsidRPr="00AA5351" w:rsidRDefault="00F000B0" w:rsidP="00F000B0">
      <w:pPr>
        <w:ind w:left="426"/>
        <w:jc w:val="both"/>
        <w:rPr>
          <w:rFonts w:ascii="Times New Roman" w:hAnsi="Times New Roman"/>
          <w:sz w:val="24"/>
          <w:szCs w:val="24"/>
        </w:rPr>
      </w:pPr>
      <w:r w:rsidRPr="00AA5351">
        <w:rPr>
          <w:rFonts w:ascii="Times New Roman" w:hAnsi="Times New Roman"/>
          <w:sz w:val="24"/>
          <w:szCs w:val="24"/>
        </w:rPr>
        <w:t>La participation minoritaire renseignée ci-dessus résulte de la cession par les entreprises privées  de 5% de leur capital à l’Etat suite à la transformation de</w:t>
      </w:r>
      <w:r>
        <w:rPr>
          <w:rFonts w:ascii="Times New Roman" w:hAnsi="Times New Roman"/>
          <w:sz w:val="24"/>
          <w:szCs w:val="24"/>
        </w:rPr>
        <w:t xml:space="preserve"> leur</w:t>
      </w:r>
      <w:r w:rsidRPr="00AA5351">
        <w:rPr>
          <w:rFonts w:ascii="Times New Roman" w:hAnsi="Times New Roman"/>
          <w:sz w:val="24"/>
          <w:szCs w:val="24"/>
        </w:rPr>
        <w:t>s permis de recherche(PR) en permis d’exploitation (P.E)</w:t>
      </w:r>
      <w:r>
        <w:rPr>
          <w:rStyle w:val="Appelnotedebasdep"/>
          <w:rFonts w:ascii="Times New Roman" w:hAnsi="Times New Roman"/>
          <w:sz w:val="24"/>
          <w:szCs w:val="24"/>
        </w:rPr>
        <w:footnoteReference w:id="33"/>
      </w:r>
      <w:r w:rsidRPr="00AA5351">
        <w:rPr>
          <w:rFonts w:ascii="Times New Roman" w:hAnsi="Times New Roman"/>
          <w:sz w:val="24"/>
          <w:szCs w:val="24"/>
        </w:rPr>
        <w:t>.</w:t>
      </w:r>
    </w:p>
    <w:p w14:paraId="051CF931" w14:textId="77777777" w:rsidR="00F000B0" w:rsidRPr="00AA5351" w:rsidRDefault="00F000B0" w:rsidP="00F000B0">
      <w:pPr>
        <w:ind w:left="426"/>
        <w:jc w:val="both"/>
        <w:rPr>
          <w:rFonts w:ascii="Times New Roman" w:hAnsi="Times New Roman"/>
          <w:sz w:val="24"/>
          <w:szCs w:val="24"/>
        </w:rPr>
      </w:pPr>
      <w:r w:rsidRPr="00AA5351">
        <w:rPr>
          <w:rFonts w:ascii="Times New Roman" w:hAnsi="Times New Roman"/>
          <w:sz w:val="24"/>
          <w:szCs w:val="24"/>
        </w:rPr>
        <w:t xml:space="preserve">Le registre </w:t>
      </w:r>
      <w:r>
        <w:rPr>
          <w:rFonts w:ascii="Times New Roman" w:hAnsi="Times New Roman"/>
          <w:sz w:val="24"/>
          <w:szCs w:val="24"/>
        </w:rPr>
        <w:t xml:space="preserve">des licences de l’exercice </w:t>
      </w:r>
      <w:r w:rsidRPr="00AA5351">
        <w:rPr>
          <w:rFonts w:ascii="Times New Roman" w:hAnsi="Times New Roman"/>
          <w:sz w:val="24"/>
          <w:szCs w:val="24"/>
        </w:rPr>
        <w:t xml:space="preserve">2016 fourni par </w:t>
      </w:r>
      <w:r>
        <w:rPr>
          <w:rFonts w:ascii="Times New Roman" w:hAnsi="Times New Roman"/>
          <w:sz w:val="24"/>
          <w:szCs w:val="24"/>
        </w:rPr>
        <w:t xml:space="preserve">le </w:t>
      </w:r>
      <w:r w:rsidRPr="00AA5351">
        <w:rPr>
          <w:rFonts w:ascii="Times New Roman" w:hAnsi="Times New Roman"/>
          <w:sz w:val="24"/>
          <w:szCs w:val="24"/>
        </w:rPr>
        <w:t xml:space="preserve">CAMI a été analysé en vue de s’assurer de l’exhaustivité de la déclaration  </w:t>
      </w:r>
      <w:r>
        <w:rPr>
          <w:rFonts w:ascii="Times New Roman" w:hAnsi="Times New Roman"/>
          <w:sz w:val="24"/>
          <w:szCs w:val="24"/>
        </w:rPr>
        <w:t xml:space="preserve">du ministère de PF </w:t>
      </w:r>
      <w:r w:rsidRPr="00AA5351">
        <w:rPr>
          <w:rFonts w:ascii="Times New Roman" w:hAnsi="Times New Roman"/>
          <w:sz w:val="24"/>
          <w:szCs w:val="24"/>
        </w:rPr>
        <w:t>de la cession</w:t>
      </w:r>
      <w:r w:rsidR="00617EBE">
        <w:rPr>
          <w:rFonts w:ascii="Times New Roman" w:hAnsi="Times New Roman"/>
          <w:sz w:val="24"/>
          <w:szCs w:val="24"/>
        </w:rPr>
        <w:t xml:space="preserve"> potentielle</w:t>
      </w:r>
      <w:r w:rsidRPr="00AA5351">
        <w:rPr>
          <w:rFonts w:ascii="Times New Roman" w:hAnsi="Times New Roman"/>
          <w:sz w:val="24"/>
          <w:szCs w:val="24"/>
        </w:rPr>
        <w:t xml:space="preserve">  à l’Etat  des 5%  du capital social  </w:t>
      </w:r>
      <w:r>
        <w:rPr>
          <w:rFonts w:ascii="Times New Roman" w:hAnsi="Times New Roman"/>
          <w:sz w:val="24"/>
          <w:szCs w:val="24"/>
        </w:rPr>
        <w:t xml:space="preserve">par les titulaires </w:t>
      </w:r>
      <w:r w:rsidRPr="00AA5351">
        <w:rPr>
          <w:rFonts w:ascii="Times New Roman" w:hAnsi="Times New Roman"/>
          <w:sz w:val="24"/>
          <w:szCs w:val="24"/>
        </w:rPr>
        <w:t xml:space="preserve">ayant transformé </w:t>
      </w:r>
      <w:r>
        <w:rPr>
          <w:rFonts w:ascii="Times New Roman" w:hAnsi="Times New Roman"/>
          <w:sz w:val="24"/>
          <w:szCs w:val="24"/>
        </w:rPr>
        <w:t>leurs</w:t>
      </w:r>
      <w:r w:rsidRPr="00AA5351">
        <w:rPr>
          <w:rFonts w:ascii="Times New Roman" w:hAnsi="Times New Roman"/>
          <w:sz w:val="24"/>
          <w:szCs w:val="24"/>
        </w:rPr>
        <w:t xml:space="preserve"> PR en PE.</w:t>
      </w:r>
      <w:r w:rsidR="00617EBE">
        <w:rPr>
          <w:rFonts w:ascii="Times New Roman" w:hAnsi="Times New Roman"/>
          <w:sz w:val="24"/>
          <w:szCs w:val="24"/>
        </w:rPr>
        <w:t xml:space="preserve"> Il convient de noter que la cession devient effective qu’après la création de la société</w:t>
      </w:r>
      <w:r w:rsidR="00483DC5">
        <w:rPr>
          <w:rFonts w:ascii="Times New Roman" w:hAnsi="Times New Roman"/>
          <w:sz w:val="24"/>
          <w:szCs w:val="24"/>
        </w:rPr>
        <w:t xml:space="preserve"> personne morale</w:t>
      </w:r>
      <w:r w:rsidR="00617EBE">
        <w:rPr>
          <w:rFonts w:ascii="Times New Roman" w:hAnsi="Times New Roman"/>
          <w:sz w:val="24"/>
          <w:szCs w:val="24"/>
        </w:rPr>
        <w:t>.</w:t>
      </w:r>
      <w:r w:rsidRPr="00AA5351">
        <w:rPr>
          <w:rFonts w:ascii="Times New Roman" w:hAnsi="Times New Roman"/>
          <w:sz w:val="24"/>
          <w:szCs w:val="24"/>
        </w:rPr>
        <w:t xml:space="preserve"> </w:t>
      </w:r>
    </w:p>
    <w:p w14:paraId="137CFAC3" w14:textId="77777777" w:rsidR="008120D4" w:rsidRDefault="008120D4">
      <w:pPr>
        <w:rPr>
          <w:rFonts w:ascii="Times New Roman" w:hAnsi="Times New Roman"/>
          <w:sz w:val="24"/>
          <w:szCs w:val="24"/>
        </w:rPr>
      </w:pPr>
      <w:r>
        <w:rPr>
          <w:rFonts w:ascii="Times New Roman" w:hAnsi="Times New Roman"/>
          <w:sz w:val="24"/>
          <w:szCs w:val="24"/>
        </w:rPr>
        <w:br w:type="page"/>
      </w:r>
    </w:p>
    <w:p w14:paraId="4390806D" w14:textId="4E00E5CE" w:rsidR="00F000B0" w:rsidRPr="00AA5351" w:rsidRDefault="00F000B0" w:rsidP="00F000B0">
      <w:pPr>
        <w:jc w:val="both"/>
        <w:rPr>
          <w:rFonts w:ascii="Times New Roman" w:hAnsi="Times New Roman"/>
          <w:sz w:val="24"/>
          <w:szCs w:val="24"/>
        </w:rPr>
      </w:pPr>
      <w:r w:rsidRPr="00AA5351">
        <w:rPr>
          <w:rFonts w:ascii="Times New Roman" w:hAnsi="Times New Roman"/>
          <w:sz w:val="24"/>
          <w:szCs w:val="24"/>
        </w:rPr>
        <w:lastRenderedPageBreak/>
        <w:t>La liste des titulaires ayant transformé leurs PR en PE en 2016 est présentée ci-dessous :  </w:t>
      </w:r>
    </w:p>
    <w:tbl>
      <w:tblPr>
        <w:tblStyle w:val="TableauGrille1Clair1"/>
        <w:tblW w:w="7900" w:type="dxa"/>
        <w:tblInd w:w="392" w:type="dxa"/>
        <w:tblLook w:val="04A0" w:firstRow="1" w:lastRow="0" w:firstColumn="1" w:lastColumn="0" w:noHBand="0" w:noVBand="1"/>
      </w:tblPr>
      <w:tblGrid>
        <w:gridCol w:w="460"/>
        <w:gridCol w:w="5720"/>
        <w:gridCol w:w="1720"/>
      </w:tblGrid>
      <w:tr w:rsidR="00F000B0" w:rsidRPr="00B354ED" w14:paraId="4E8B4866" w14:textId="77777777" w:rsidTr="00943F6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199BB535" w14:textId="77777777" w:rsidR="00F000B0" w:rsidRPr="00B354ED" w:rsidRDefault="00F000B0" w:rsidP="00F000B0">
            <w:pPr>
              <w:rPr>
                <w:rFonts w:ascii="Times New Roman" w:eastAsia="Times New Roman" w:hAnsi="Times New Roman"/>
                <w:sz w:val="16"/>
                <w:szCs w:val="16"/>
                <w:lang w:eastAsia="fr-FR"/>
              </w:rPr>
            </w:pPr>
            <w:r w:rsidRPr="00B354ED">
              <w:rPr>
                <w:rFonts w:ascii="Times New Roman" w:eastAsia="Times New Roman" w:hAnsi="Times New Roman"/>
                <w:sz w:val="16"/>
                <w:szCs w:val="16"/>
                <w:lang w:eastAsia="fr-FR"/>
              </w:rPr>
              <w:t>N°</w:t>
            </w:r>
          </w:p>
        </w:tc>
        <w:tc>
          <w:tcPr>
            <w:tcW w:w="5720" w:type="dxa"/>
            <w:noWrap/>
            <w:hideMark/>
          </w:tcPr>
          <w:p w14:paraId="05838368" w14:textId="77777777" w:rsidR="00F000B0" w:rsidRPr="00B354ED" w:rsidRDefault="00F000B0" w:rsidP="00F000B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6"/>
                <w:szCs w:val="16"/>
                <w:lang w:eastAsia="fr-FR"/>
              </w:rPr>
            </w:pPr>
            <w:r w:rsidRPr="00B354ED">
              <w:rPr>
                <w:rFonts w:ascii="Times New Roman" w:eastAsia="Times New Roman" w:hAnsi="Times New Roman"/>
                <w:sz w:val="16"/>
                <w:szCs w:val="16"/>
                <w:lang w:eastAsia="fr-FR"/>
              </w:rPr>
              <w:t>TITULAIRE</w:t>
            </w:r>
          </w:p>
        </w:tc>
        <w:tc>
          <w:tcPr>
            <w:tcW w:w="1720" w:type="dxa"/>
            <w:hideMark/>
          </w:tcPr>
          <w:p w14:paraId="2154D565" w14:textId="77777777" w:rsidR="00F000B0" w:rsidRPr="00B354ED" w:rsidRDefault="00F000B0" w:rsidP="00F000B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6"/>
                <w:szCs w:val="16"/>
                <w:lang w:eastAsia="fr-FR"/>
              </w:rPr>
            </w:pPr>
            <w:r w:rsidRPr="00B354ED">
              <w:rPr>
                <w:rFonts w:ascii="Times New Roman" w:eastAsia="Times New Roman" w:hAnsi="Times New Roman"/>
                <w:sz w:val="16"/>
                <w:szCs w:val="16"/>
                <w:lang w:eastAsia="fr-FR"/>
              </w:rPr>
              <w:t>Nombre PR transformés en PE</w:t>
            </w:r>
          </w:p>
        </w:tc>
      </w:tr>
      <w:tr w:rsidR="00F000B0" w:rsidRPr="00B354ED" w14:paraId="3A9024AC"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5065608C"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w:t>
            </w:r>
          </w:p>
        </w:tc>
        <w:tc>
          <w:tcPr>
            <w:tcW w:w="5720" w:type="dxa"/>
            <w:hideMark/>
          </w:tcPr>
          <w:p w14:paraId="5C35BF7D" w14:textId="438A7726"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Abdallah HASSAN ALI MOHAMED</w:t>
            </w:r>
            <w:r w:rsidR="00373401">
              <w:rPr>
                <w:rFonts w:ascii="Times New Roman" w:eastAsia="Times New Roman" w:hAnsi="Times New Roman"/>
                <w:color w:val="000000"/>
                <w:sz w:val="16"/>
                <w:szCs w:val="16"/>
                <w:lang w:eastAsia="fr-FR"/>
              </w:rPr>
              <w:t>*</w:t>
            </w:r>
          </w:p>
        </w:tc>
        <w:tc>
          <w:tcPr>
            <w:tcW w:w="1720" w:type="dxa"/>
            <w:noWrap/>
            <w:hideMark/>
          </w:tcPr>
          <w:p w14:paraId="14FFF614"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w:t>
            </w:r>
          </w:p>
        </w:tc>
      </w:tr>
      <w:tr w:rsidR="00F000B0" w:rsidRPr="00B354ED" w14:paraId="108E341F"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46DBB84B"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2</w:t>
            </w:r>
          </w:p>
        </w:tc>
        <w:tc>
          <w:tcPr>
            <w:tcW w:w="5720" w:type="dxa"/>
            <w:hideMark/>
          </w:tcPr>
          <w:p w14:paraId="7639FEF8"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ADVANCED MINERALS DRC SPRL</w:t>
            </w:r>
          </w:p>
        </w:tc>
        <w:tc>
          <w:tcPr>
            <w:tcW w:w="1720" w:type="dxa"/>
            <w:noWrap/>
            <w:hideMark/>
          </w:tcPr>
          <w:p w14:paraId="29F75540"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w:t>
            </w:r>
          </w:p>
        </w:tc>
      </w:tr>
      <w:tr w:rsidR="00F000B0" w:rsidRPr="00B354ED" w14:paraId="029C10E2"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3A7241C2"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3</w:t>
            </w:r>
          </w:p>
        </w:tc>
        <w:tc>
          <w:tcPr>
            <w:tcW w:w="5720" w:type="dxa"/>
            <w:hideMark/>
          </w:tcPr>
          <w:p w14:paraId="4C5187AB"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ANVIL MINING CONGO Sarl</w:t>
            </w:r>
          </w:p>
        </w:tc>
        <w:tc>
          <w:tcPr>
            <w:tcW w:w="1720" w:type="dxa"/>
            <w:noWrap/>
            <w:hideMark/>
          </w:tcPr>
          <w:p w14:paraId="6ECE7CF1"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9</w:t>
            </w:r>
          </w:p>
        </w:tc>
      </w:tr>
      <w:tr w:rsidR="00F000B0" w:rsidRPr="00B354ED" w14:paraId="35668642"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38404DCC"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4</w:t>
            </w:r>
          </w:p>
        </w:tc>
        <w:tc>
          <w:tcPr>
            <w:tcW w:w="5720" w:type="dxa"/>
            <w:hideMark/>
          </w:tcPr>
          <w:p w14:paraId="15F55E96"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 xml:space="preserve">BLACKSTONE PETROMINERALS </w:t>
            </w:r>
            <w:proofErr w:type="spellStart"/>
            <w:r w:rsidRPr="00B354ED">
              <w:rPr>
                <w:rFonts w:ascii="Times New Roman" w:eastAsia="Times New Roman" w:hAnsi="Times New Roman"/>
                <w:color w:val="000000"/>
                <w:sz w:val="16"/>
                <w:szCs w:val="16"/>
                <w:lang w:eastAsia="fr-FR"/>
              </w:rPr>
              <w:t>Sprl</w:t>
            </w:r>
            <w:proofErr w:type="spellEnd"/>
          </w:p>
        </w:tc>
        <w:tc>
          <w:tcPr>
            <w:tcW w:w="1720" w:type="dxa"/>
            <w:noWrap/>
            <w:hideMark/>
          </w:tcPr>
          <w:p w14:paraId="013A51F3"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3</w:t>
            </w:r>
          </w:p>
        </w:tc>
      </w:tr>
      <w:tr w:rsidR="00F000B0" w:rsidRPr="00B354ED" w14:paraId="25E20C66"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3939678C"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5</w:t>
            </w:r>
          </w:p>
        </w:tc>
        <w:tc>
          <w:tcPr>
            <w:tcW w:w="5720" w:type="dxa"/>
            <w:hideMark/>
          </w:tcPr>
          <w:p w14:paraId="6A46356E" w14:textId="3209B470"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Brigitte MBOMBA BOMPOLONGA</w:t>
            </w:r>
            <w:r w:rsidR="00373401">
              <w:rPr>
                <w:rFonts w:ascii="Times New Roman" w:eastAsia="Times New Roman" w:hAnsi="Times New Roman"/>
                <w:color w:val="000000"/>
                <w:sz w:val="16"/>
                <w:szCs w:val="16"/>
                <w:lang w:eastAsia="fr-FR"/>
              </w:rPr>
              <w:t>*</w:t>
            </w:r>
          </w:p>
        </w:tc>
        <w:tc>
          <w:tcPr>
            <w:tcW w:w="1720" w:type="dxa"/>
            <w:noWrap/>
            <w:hideMark/>
          </w:tcPr>
          <w:p w14:paraId="227CB96B"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w:t>
            </w:r>
          </w:p>
        </w:tc>
      </w:tr>
      <w:tr w:rsidR="00F000B0" w:rsidRPr="00B354ED" w14:paraId="7E5A9B4E"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6C026651"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6</w:t>
            </w:r>
          </w:p>
        </w:tc>
        <w:tc>
          <w:tcPr>
            <w:tcW w:w="5720" w:type="dxa"/>
            <w:hideMark/>
          </w:tcPr>
          <w:p w14:paraId="331C1349" w14:textId="395BF90A"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DOKOLO NDONA</w:t>
            </w:r>
            <w:r w:rsidR="00373401">
              <w:rPr>
                <w:rFonts w:ascii="Times New Roman" w:eastAsia="Times New Roman" w:hAnsi="Times New Roman"/>
                <w:color w:val="000000"/>
                <w:sz w:val="16"/>
                <w:szCs w:val="16"/>
                <w:lang w:eastAsia="fr-FR"/>
              </w:rPr>
              <w:t>*</w:t>
            </w:r>
          </w:p>
        </w:tc>
        <w:tc>
          <w:tcPr>
            <w:tcW w:w="1720" w:type="dxa"/>
            <w:noWrap/>
            <w:hideMark/>
          </w:tcPr>
          <w:p w14:paraId="571C93B0"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w:t>
            </w:r>
          </w:p>
        </w:tc>
      </w:tr>
      <w:tr w:rsidR="00F000B0" w:rsidRPr="00B354ED" w14:paraId="6DCD81FC"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7504ED67"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7</w:t>
            </w:r>
          </w:p>
        </w:tc>
        <w:tc>
          <w:tcPr>
            <w:tcW w:w="5720" w:type="dxa"/>
            <w:hideMark/>
          </w:tcPr>
          <w:p w14:paraId="5914822D" w14:textId="186DD1FF"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 xml:space="preserve">Eric Dieudonné </w:t>
            </w:r>
            <w:proofErr w:type="spellStart"/>
            <w:r w:rsidRPr="00B354ED">
              <w:rPr>
                <w:rFonts w:ascii="Times New Roman" w:eastAsia="Times New Roman" w:hAnsi="Times New Roman"/>
                <w:color w:val="000000"/>
                <w:sz w:val="16"/>
                <w:szCs w:val="16"/>
                <w:lang w:eastAsia="fr-FR"/>
              </w:rPr>
              <w:t>Mapoti</w:t>
            </w:r>
            <w:proofErr w:type="spellEnd"/>
            <w:r w:rsidRPr="00B354ED">
              <w:rPr>
                <w:rFonts w:ascii="Times New Roman" w:eastAsia="Times New Roman" w:hAnsi="Times New Roman"/>
                <w:color w:val="000000"/>
                <w:sz w:val="16"/>
                <w:szCs w:val="16"/>
                <w:lang w:eastAsia="fr-FR"/>
              </w:rPr>
              <w:t xml:space="preserve"> </w:t>
            </w:r>
            <w:proofErr w:type="spellStart"/>
            <w:r w:rsidRPr="00B354ED">
              <w:rPr>
                <w:rFonts w:ascii="Times New Roman" w:eastAsia="Times New Roman" w:hAnsi="Times New Roman"/>
                <w:color w:val="000000"/>
                <w:sz w:val="16"/>
                <w:szCs w:val="16"/>
                <w:lang w:eastAsia="fr-FR"/>
              </w:rPr>
              <w:t>Olela</w:t>
            </w:r>
            <w:proofErr w:type="spellEnd"/>
            <w:r w:rsidR="00373401">
              <w:rPr>
                <w:rFonts w:ascii="Times New Roman" w:eastAsia="Times New Roman" w:hAnsi="Times New Roman"/>
                <w:color w:val="000000"/>
                <w:sz w:val="16"/>
                <w:szCs w:val="16"/>
                <w:lang w:eastAsia="fr-FR"/>
              </w:rPr>
              <w:t>*</w:t>
            </w:r>
          </w:p>
        </w:tc>
        <w:tc>
          <w:tcPr>
            <w:tcW w:w="1720" w:type="dxa"/>
            <w:noWrap/>
            <w:hideMark/>
          </w:tcPr>
          <w:p w14:paraId="02D2D8A2"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w:t>
            </w:r>
          </w:p>
        </w:tc>
      </w:tr>
      <w:tr w:rsidR="00F000B0" w:rsidRPr="00B354ED" w14:paraId="6A4F4F9D"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0000972A"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8</w:t>
            </w:r>
          </w:p>
        </w:tc>
        <w:tc>
          <w:tcPr>
            <w:tcW w:w="5720" w:type="dxa"/>
            <w:hideMark/>
          </w:tcPr>
          <w:p w14:paraId="31B3DEFB"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IRON MOUNTAIN ENTERPRISES SPRL</w:t>
            </w:r>
          </w:p>
        </w:tc>
        <w:tc>
          <w:tcPr>
            <w:tcW w:w="1720" w:type="dxa"/>
            <w:noWrap/>
            <w:hideMark/>
          </w:tcPr>
          <w:p w14:paraId="5C7E09EA"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36</w:t>
            </w:r>
          </w:p>
        </w:tc>
      </w:tr>
      <w:tr w:rsidR="00F000B0" w:rsidRPr="00B354ED" w14:paraId="01424230"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7FAE32AB"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9</w:t>
            </w:r>
          </w:p>
        </w:tc>
        <w:tc>
          <w:tcPr>
            <w:tcW w:w="5720" w:type="dxa"/>
            <w:hideMark/>
          </w:tcPr>
          <w:p w14:paraId="58DAB4E5"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JADAS SARL</w:t>
            </w:r>
          </w:p>
        </w:tc>
        <w:tc>
          <w:tcPr>
            <w:tcW w:w="1720" w:type="dxa"/>
            <w:noWrap/>
            <w:hideMark/>
          </w:tcPr>
          <w:p w14:paraId="595A88E3"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w:t>
            </w:r>
          </w:p>
        </w:tc>
      </w:tr>
      <w:tr w:rsidR="00F000B0" w:rsidRPr="00B354ED" w14:paraId="27A29D4C"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65F1D71E"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10</w:t>
            </w:r>
          </w:p>
        </w:tc>
        <w:tc>
          <w:tcPr>
            <w:tcW w:w="5720" w:type="dxa"/>
            <w:hideMark/>
          </w:tcPr>
          <w:p w14:paraId="09D69622"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KANUKA MINING COMPANY</w:t>
            </w:r>
          </w:p>
        </w:tc>
        <w:tc>
          <w:tcPr>
            <w:tcW w:w="1720" w:type="dxa"/>
            <w:noWrap/>
            <w:hideMark/>
          </w:tcPr>
          <w:p w14:paraId="084A5B70"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w:t>
            </w:r>
          </w:p>
        </w:tc>
      </w:tr>
      <w:tr w:rsidR="00F000B0" w:rsidRPr="00B354ED" w14:paraId="10516949"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24793CA3"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11</w:t>
            </w:r>
          </w:p>
        </w:tc>
        <w:tc>
          <w:tcPr>
            <w:tcW w:w="5720" w:type="dxa"/>
            <w:hideMark/>
          </w:tcPr>
          <w:p w14:paraId="5A17EC64"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KATANGA EXPLORATION SARL</w:t>
            </w:r>
          </w:p>
        </w:tc>
        <w:tc>
          <w:tcPr>
            <w:tcW w:w="1720" w:type="dxa"/>
            <w:noWrap/>
            <w:hideMark/>
          </w:tcPr>
          <w:p w14:paraId="62D4947D"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w:t>
            </w:r>
          </w:p>
        </w:tc>
      </w:tr>
      <w:tr w:rsidR="00F000B0" w:rsidRPr="00B354ED" w14:paraId="001AF4EB"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1E40E240"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12</w:t>
            </w:r>
          </w:p>
        </w:tc>
        <w:tc>
          <w:tcPr>
            <w:tcW w:w="5720" w:type="dxa"/>
            <w:hideMark/>
          </w:tcPr>
          <w:p w14:paraId="3A3464BA"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KISENGO MINING</w:t>
            </w:r>
          </w:p>
        </w:tc>
        <w:tc>
          <w:tcPr>
            <w:tcW w:w="1720" w:type="dxa"/>
            <w:noWrap/>
            <w:hideMark/>
          </w:tcPr>
          <w:p w14:paraId="0709053F"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w:t>
            </w:r>
          </w:p>
        </w:tc>
      </w:tr>
      <w:tr w:rsidR="00F000B0" w:rsidRPr="00B354ED" w14:paraId="7B91E593"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2532833C"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13</w:t>
            </w:r>
          </w:p>
        </w:tc>
        <w:tc>
          <w:tcPr>
            <w:tcW w:w="5720" w:type="dxa"/>
            <w:hideMark/>
          </w:tcPr>
          <w:p w14:paraId="1DE1608E" w14:textId="0E5E857F"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LA GENERALE DES CARRIERES ET DES MINES</w:t>
            </w:r>
            <w:r w:rsidR="00373401">
              <w:rPr>
                <w:rFonts w:ascii="Times New Roman" w:eastAsia="Times New Roman" w:hAnsi="Times New Roman"/>
                <w:color w:val="000000"/>
                <w:sz w:val="16"/>
                <w:szCs w:val="16"/>
                <w:lang w:eastAsia="fr-FR"/>
              </w:rPr>
              <w:t>**</w:t>
            </w:r>
          </w:p>
        </w:tc>
        <w:tc>
          <w:tcPr>
            <w:tcW w:w="1720" w:type="dxa"/>
            <w:noWrap/>
            <w:hideMark/>
          </w:tcPr>
          <w:p w14:paraId="6A41DB95"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4</w:t>
            </w:r>
          </w:p>
        </w:tc>
      </w:tr>
      <w:tr w:rsidR="00F000B0" w:rsidRPr="00B354ED" w14:paraId="08DF572A"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272141AC"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14</w:t>
            </w:r>
          </w:p>
        </w:tc>
        <w:tc>
          <w:tcPr>
            <w:tcW w:w="5720" w:type="dxa"/>
            <w:hideMark/>
          </w:tcPr>
          <w:p w14:paraId="41E13455"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LEK MINING SPRL</w:t>
            </w:r>
          </w:p>
        </w:tc>
        <w:tc>
          <w:tcPr>
            <w:tcW w:w="1720" w:type="dxa"/>
            <w:noWrap/>
            <w:hideMark/>
          </w:tcPr>
          <w:p w14:paraId="77A17A57"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w:t>
            </w:r>
          </w:p>
        </w:tc>
      </w:tr>
      <w:tr w:rsidR="00F000B0" w:rsidRPr="00B354ED" w14:paraId="6E56B304"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7B1FADF6"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15</w:t>
            </w:r>
          </w:p>
        </w:tc>
        <w:tc>
          <w:tcPr>
            <w:tcW w:w="5720" w:type="dxa"/>
            <w:hideMark/>
          </w:tcPr>
          <w:p w14:paraId="0961B00E" w14:textId="481DE38D"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LUAMBO MINING</w:t>
            </w:r>
            <w:r w:rsidR="00373401">
              <w:rPr>
                <w:rFonts w:ascii="Times New Roman" w:eastAsia="Times New Roman" w:hAnsi="Times New Roman"/>
                <w:color w:val="000000"/>
                <w:sz w:val="16"/>
                <w:szCs w:val="16"/>
                <w:lang w:eastAsia="fr-FR"/>
              </w:rPr>
              <w:t>*</w:t>
            </w:r>
          </w:p>
        </w:tc>
        <w:tc>
          <w:tcPr>
            <w:tcW w:w="1720" w:type="dxa"/>
            <w:noWrap/>
            <w:hideMark/>
          </w:tcPr>
          <w:p w14:paraId="03ABBBF7"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w:t>
            </w:r>
          </w:p>
        </w:tc>
      </w:tr>
      <w:tr w:rsidR="00F000B0" w:rsidRPr="00B354ED" w14:paraId="46C798F5"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0F1E9AD0"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16</w:t>
            </w:r>
          </w:p>
        </w:tc>
        <w:tc>
          <w:tcPr>
            <w:tcW w:w="5720" w:type="dxa"/>
            <w:hideMark/>
          </w:tcPr>
          <w:p w14:paraId="2425E8DE" w14:textId="3DAF6FBD"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SHARMA VIKAS</w:t>
            </w:r>
            <w:r w:rsidR="00373401">
              <w:rPr>
                <w:rFonts w:ascii="Times New Roman" w:eastAsia="Times New Roman" w:hAnsi="Times New Roman"/>
                <w:color w:val="000000"/>
                <w:sz w:val="16"/>
                <w:szCs w:val="16"/>
                <w:lang w:eastAsia="fr-FR"/>
              </w:rPr>
              <w:t>*</w:t>
            </w:r>
          </w:p>
        </w:tc>
        <w:tc>
          <w:tcPr>
            <w:tcW w:w="1720" w:type="dxa"/>
            <w:noWrap/>
            <w:hideMark/>
          </w:tcPr>
          <w:p w14:paraId="5D63552D"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w:t>
            </w:r>
          </w:p>
        </w:tc>
      </w:tr>
      <w:tr w:rsidR="00F000B0" w:rsidRPr="00B354ED" w14:paraId="63582335"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7243C146"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17</w:t>
            </w:r>
          </w:p>
        </w:tc>
        <w:tc>
          <w:tcPr>
            <w:tcW w:w="5720" w:type="dxa"/>
            <w:hideMark/>
          </w:tcPr>
          <w:p w14:paraId="2C5A8534"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SOCIETE D'EXPLOITATION DES GISEMENTS DE MALEMBA NKULU</w:t>
            </w:r>
          </w:p>
        </w:tc>
        <w:tc>
          <w:tcPr>
            <w:tcW w:w="1720" w:type="dxa"/>
            <w:noWrap/>
            <w:hideMark/>
          </w:tcPr>
          <w:p w14:paraId="27B4EF96"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3</w:t>
            </w:r>
          </w:p>
        </w:tc>
      </w:tr>
      <w:tr w:rsidR="00F000B0" w:rsidRPr="00B354ED" w14:paraId="53B158CC"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474BA0AA"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18</w:t>
            </w:r>
          </w:p>
        </w:tc>
        <w:tc>
          <w:tcPr>
            <w:tcW w:w="5720" w:type="dxa"/>
            <w:hideMark/>
          </w:tcPr>
          <w:p w14:paraId="3B5F6FA0" w14:textId="5B3418D3" w:rsidR="00F000B0" w:rsidRPr="00B072C9"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6"/>
                <w:lang w:val="es-ES"/>
              </w:rPr>
            </w:pPr>
            <w:r w:rsidRPr="00B072C9">
              <w:rPr>
                <w:rFonts w:ascii="Times New Roman" w:hAnsi="Times New Roman"/>
                <w:color w:val="000000"/>
                <w:sz w:val="16"/>
                <w:lang w:val="es-ES"/>
              </w:rPr>
              <w:t>SOCIETE MINIERE DE KILO MOTO</w:t>
            </w:r>
            <w:r w:rsidR="00373401">
              <w:rPr>
                <w:rFonts w:ascii="Times New Roman" w:hAnsi="Times New Roman"/>
                <w:color w:val="000000"/>
                <w:sz w:val="16"/>
                <w:lang w:val="es-ES"/>
              </w:rPr>
              <w:t>**</w:t>
            </w:r>
          </w:p>
        </w:tc>
        <w:tc>
          <w:tcPr>
            <w:tcW w:w="1720" w:type="dxa"/>
            <w:noWrap/>
            <w:hideMark/>
          </w:tcPr>
          <w:p w14:paraId="574A2D1B"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6</w:t>
            </w:r>
          </w:p>
        </w:tc>
      </w:tr>
      <w:tr w:rsidR="00F000B0" w:rsidRPr="00B354ED" w14:paraId="0542DA01"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55A86AD7"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19</w:t>
            </w:r>
          </w:p>
        </w:tc>
        <w:tc>
          <w:tcPr>
            <w:tcW w:w="5720" w:type="dxa"/>
            <w:hideMark/>
          </w:tcPr>
          <w:p w14:paraId="3917A70D"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SOCIETE MINIERE DE LONGATSHIMO</w:t>
            </w:r>
          </w:p>
        </w:tc>
        <w:tc>
          <w:tcPr>
            <w:tcW w:w="1720" w:type="dxa"/>
            <w:noWrap/>
            <w:hideMark/>
          </w:tcPr>
          <w:p w14:paraId="5B707B9B"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w:t>
            </w:r>
          </w:p>
        </w:tc>
      </w:tr>
      <w:tr w:rsidR="00F000B0" w:rsidRPr="00B354ED" w14:paraId="35C04215"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70B21308"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20</w:t>
            </w:r>
          </w:p>
        </w:tc>
        <w:tc>
          <w:tcPr>
            <w:tcW w:w="5720" w:type="dxa"/>
            <w:hideMark/>
          </w:tcPr>
          <w:p w14:paraId="7A90FC5C"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SOCIETE MINIERE DU KATANGA</w:t>
            </w:r>
          </w:p>
        </w:tc>
        <w:tc>
          <w:tcPr>
            <w:tcW w:w="1720" w:type="dxa"/>
            <w:noWrap/>
            <w:hideMark/>
          </w:tcPr>
          <w:p w14:paraId="272E4956"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3</w:t>
            </w:r>
          </w:p>
        </w:tc>
      </w:tr>
      <w:tr w:rsidR="00F000B0" w:rsidRPr="00B354ED" w14:paraId="2200B4D8"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2BB3F14D"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21</w:t>
            </w:r>
          </w:p>
        </w:tc>
        <w:tc>
          <w:tcPr>
            <w:tcW w:w="5720" w:type="dxa"/>
            <w:hideMark/>
          </w:tcPr>
          <w:p w14:paraId="313CF05D"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TANTALE ET NIOBIUM DU TANGANYIKA</w:t>
            </w:r>
          </w:p>
        </w:tc>
        <w:tc>
          <w:tcPr>
            <w:tcW w:w="1720" w:type="dxa"/>
            <w:noWrap/>
            <w:hideMark/>
          </w:tcPr>
          <w:p w14:paraId="09DDEE04"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2</w:t>
            </w:r>
          </w:p>
        </w:tc>
      </w:tr>
      <w:tr w:rsidR="00F000B0" w:rsidRPr="00B354ED" w14:paraId="78030BA1"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10268E73"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22</w:t>
            </w:r>
          </w:p>
        </w:tc>
        <w:tc>
          <w:tcPr>
            <w:tcW w:w="5720" w:type="dxa"/>
            <w:hideMark/>
          </w:tcPr>
          <w:p w14:paraId="32338C4C"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WALNI MINERAL COMPANY SPRL</w:t>
            </w:r>
          </w:p>
        </w:tc>
        <w:tc>
          <w:tcPr>
            <w:tcW w:w="1720" w:type="dxa"/>
            <w:noWrap/>
            <w:hideMark/>
          </w:tcPr>
          <w:p w14:paraId="7E9A1420"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5</w:t>
            </w:r>
          </w:p>
        </w:tc>
      </w:tr>
    </w:tbl>
    <w:p w14:paraId="78A93FA0" w14:textId="73128098" w:rsidR="00373401" w:rsidRPr="00373401" w:rsidRDefault="00F000B0" w:rsidP="00373401">
      <w:pPr>
        <w:jc w:val="both"/>
        <w:rPr>
          <w:rFonts w:ascii="Times New Roman" w:hAnsi="Times New Roman"/>
          <w:sz w:val="18"/>
          <w:szCs w:val="18"/>
        </w:rPr>
      </w:pPr>
      <w:r w:rsidRPr="00B354ED">
        <w:rPr>
          <w:rFonts w:ascii="Times New Roman" w:hAnsi="Times New Roman"/>
          <w:sz w:val="18"/>
          <w:szCs w:val="18"/>
        </w:rPr>
        <w:t>Source : Registre CAMI 2016</w:t>
      </w:r>
    </w:p>
    <w:p w14:paraId="26B33466" w14:textId="77777777" w:rsidR="00F000B0" w:rsidRPr="00AA5351" w:rsidRDefault="00F000B0" w:rsidP="00F000B0">
      <w:pPr>
        <w:jc w:val="both"/>
        <w:rPr>
          <w:rFonts w:ascii="Times New Roman" w:hAnsi="Times New Roman"/>
          <w:sz w:val="24"/>
          <w:szCs w:val="24"/>
        </w:rPr>
      </w:pPr>
      <w:r w:rsidRPr="00AA5351">
        <w:rPr>
          <w:rFonts w:ascii="Times New Roman" w:hAnsi="Times New Roman"/>
          <w:sz w:val="24"/>
          <w:szCs w:val="24"/>
        </w:rPr>
        <w:t>Au titre d’information, la liste  des titulaires ayant transformé leurs PR en PE en 2017 est présentée ci-dessous :</w:t>
      </w:r>
    </w:p>
    <w:tbl>
      <w:tblPr>
        <w:tblStyle w:val="TableauGrille1Clair1"/>
        <w:tblW w:w="8260" w:type="dxa"/>
        <w:tblInd w:w="250" w:type="dxa"/>
        <w:tblLook w:val="04A0" w:firstRow="1" w:lastRow="0" w:firstColumn="1" w:lastColumn="0" w:noHBand="0" w:noVBand="1"/>
      </w:tblPr>
      <w:tblGrid>
        <w:gridCol w:w="520"/>
        <w:gridCol w:w="6500"/>
        <w:gridCol w:w="1240"/>
      </w:tblGrid>
      <w:tr w:rsidR="00F000B0" w:rsidRPr="003C29D8" w14:paraId="6C9CE592" w14:textId="77777777" w:rsidTr="00943F6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43EDE926" w14:textId="77777777" w:rsidR="00F000B0" w:rsidRPr="003C29D8" w:rsidRDefault="00F000B0" w:rsidP="00F000B0">
            <w:pPr>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N°</w:t>
            </w:r>
          </w:p>
        </w:tc>
        <w:tc>
          <w:tcPr>
            <w:tcW w:w="6500" w:type="dxa"/>
            <w:noWrap/>
            <w:hideMark/>
          </w:tcPr>
          <w:p w14:paraId="19162435" w14:textId="77777777" w:rsidR="00F000B0" w:rsidRPr="003C29D8" w:rsidRDefault="00F000B0" w:rsidP="00F000B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TITULAIRE</w:t>
            </w:r>
          </w:p>
        </w:tc>
        <w:tc>
          <w:tcPr>
            <w:tcW w:w="1240" w:type="dxa"/>
            <w:hideMark/>
          </w:tcPr>
          <w:p w14:paraId="0177D116" w14:textId="77777777" w:rsidR="00F000B0" w:rsidRPr="003C29D8" w:rsidRDefault="00F000B0" w:rsidP="00F000B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Nombre PR transformés en PE</w:t>
            </w:r>
          </w:p>
        </w:tc>
      </w:tr>
      <w:tr w:rsidR="00F000B0" w:rsidRPr="003C29D8" w14:paraId="6F23F1E1"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5A20152A"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c>
          <w:tcPr>
            <w:tcW w:w="6500" w:type="dxa"/>
            <w:hideMark/>
          </w:tcPr>
          <w:p w14:paraId="1BD8CCB1"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Abdallah HASSAN ALI MOHAMED</w:t>
            </w:r>
          </w:p>
        </w:tc>
        <w:tc>
          <w:tcPr>
            <w:tcW w:w="1240" w:type="dxa"/>
            <w:noWrap/>
            <w:hideMark/>
          </w:tcPr>
          <w:p w14:paraId="6731735F"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r>
      <w:tr w:rsidR="00F000B0" w:rsidRPr="003C29D8" w14:paraId="2B11BE48"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510333EE"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2</w:t>
            </w:r>
          </w:p>
        </w:tc>
        <w:tc>
          <w:tcPr>
            <w:tcW w:w="6500" w:type="dxa"/>
            <w:hideMark/>
          </w:tcPr>
          <w:p w14:paraId="02EC2095"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ANVIL MINING CONGO Sarl</w:t>
            </w:r>
          </w:p>
        </w:tc>
        <w:tc>
          <w:tcPr>
            <w:tcW w:w="1240" w:type="dxa"/>
            <w:noWrap/>
            <w:hideMark/>
          </w:tcPr>
          <w:p w14:paraId="37AAB5EB"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9</w:t>
            </w:r>
          </w:p>
        </w:tc>
      </w:tr>
      <w:tr w:rsidR="00F000B0" w:rsidRPr="003C29D8" w14:paraId="78990CE1"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62BDACB1"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3</w:t>
            </w:r>
          </w:p>
        </w:tc>
        <w:tc>
          <w:tcPr>
            <w:tcW w:w="6500" w:type="dxa"/>
            <w:hideMark/>
          </w:tcPr>
          <w:p w14:paraId="2196E8A8"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BAHATI DIAMOND SPRL</w:t>
            </w:r>
          </w:p>
        </w:tc>
        <w:tc>
          <w:tcPr>
            <w:tcW w:w="1240" w:type="dxa"/>
            <w:noWrap/>
            <w:hideMark/>
          </w:tcPr>
          <w:p w14:paraId="35682D27"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r>
      <w:tr w:rsidR="00F000B0" w:rsidRPr="003C29D8" w14:paraId="4DEF8B72"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228FFA2B"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4</w:t>
            </w:r>
          </w:p>
        </w:tc>
        <w:tc>
          <w:tcPr>
            <w:tcW w:w="6500" w:type="dxa"/>
            <w:hideMark/>
          </w:tcPr>
          <w:p w14:paraId="087D02CA"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 xml:space="preserve">BLACKSTONE PETROMINERALS </w:t>
            </w:r>
            <w:proofErr w:type="spellStart"/>
            <w:r w:rsidRPr="003C29D8">
              <w:rPr>
                <w:rFonts w:ascii="Times New Roman" w:eastAsia="Times New Roman" w:hAnsi="Times New Roman"/>
                <w:sz w:val="18"/>
                <w:szCs w:val="18"/>
                <w:lang w:eastAsia="fr-FR"/>
              </w:rPr>
              <w:t>Sprl</w:t>
            </w:r>
            <w:proofErr w:type="spellEnd"/>
          </w:p>
        </w:tc>
        <w:tc>
          <w:tcPr>
            <w:tcW w:w="1240" w:type="dxa"/>
            <w:noWrap/>
            <w:hideMark/>
          </w:tcPr>
          <w:p w14:paraId="3EE0B794"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3</w:t>
            </w:r>
          </w:p>
        </w:tc>
      </w:tr>
      <w:tr w:rsidR="00F000B0" w:rsidRPr="003C29D8" w14:paraId="557071A7"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79C576B7"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5</w:t>
            </w:r>
          </w:p>
        </w:tc>
        <w:tc>
          <w:tcPr>
            <w:tcW w:w="6500" w:type="dxa"/>
            <w:hideMark/>
          </w:tcPr>
          <w:p w14:paraId="276856AC"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DOKOLO NDONA</w:t>
            </w:r>
          </w:p>
        </w:tc>
        <w:tc>
          <w:tcPr>
            <w:tcW w:w="1240" w:type="dxa"/>
            <w:noWrap/>
            <w:hideMark/>
          </w:tcPr>
          <w:p w14:paraId="68D1D8A0"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r>
      <w:tr w:rsidR="00F000B0" w:rsidRPr="003C29D8" w14:paraId="37F9DF08"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55C4F35A"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6</w:t>
            </w:r>
          </w:p>
        </w:tc>
        <w:tc>
          <w:tcPr>
            <w:tcW w:w="6500" w:type="dxa"/>
            <w:hideMark/>
          </w:tcPr>
          <w:p w14:paraId="7FB89BCF"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 xml:space="preserve">Eric Dieudonné </w:t>
            </w:r>
            <w:proofErr w:type="spellStart"/>
            <w:r w:rsidRPr="003C29D8">
              <w:rPr>
                <w:rFonts w:ascii="Times New Roman" w:eastAsia="Times New Roman" w:hAnsi="Times New Roman"/>
                <w:sz w:val="18"/>
                <w:szCs w:val="18"/>
                <w:lang w:eastAsia="fr-FR"/>
              </w:rPr>
              <w:t>Mapoti</w:t>
            </w:r>
            <w:proofErr w:type="spellEnd"/>
            <w:r w:rsidRPr="003C29D8">
              <w:rPr>
                <w:rFonts w:ascii="Times New Roman" w:eastAsia="Times New Roman" w:hAnsi="Times New Roman"/>
                <w:sz w:val="18"/>
                <w:szCs w:val="18"/>
                <w:lang w:eastAsia="fr-FR"/>
              </w:rPr>
              <w:t xml:space="preserve"> </w:t>
            </w:r>
            <w:proofErr w:type="spellStart"/>
            <w:r w:rsidRPr="003C29D8">
              <w:rPr>
                <w:rFonts w:ascii="Times New Roman" w:eastAsia="Times New Roman" w:hAnsi="Times New Roman"/>
                <w:sz w:val="18"/>
                <w:szCs w:val="18"/>
                <w:lang w:eastAsia="fr-FR"/>
              </w:rPr>
              <w:t>Olela</w:t>
            </w:r>
            <w:proofErr w:type="spellEnd"/>
          </w:p>
        </w:tc>
        <w:tc>
          <w:tcPr>
            <w:tcW w:w="1240" w:type="dxa"/>
            <w:noWrap/>
            <w:hideMark/>
          </w:tcPr>
          <w:p w14:paraId="683E456A"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r>
      <w:tr w:rsidR="00F000B0" w:rsidRPr="003C29D8" w14:paraId="20CA4E71"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07EE027D"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7</w:t>
            </w:r>
          </w:p>
        </w:tc>
        <w:tc>
          <w:tcPr>
            <w:tcW w:w="6500" w:type="dxa"/>
            <w:hideMark/>
          </w:tcPr>
          <w:p w14:paraId="50E21AF3"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Freddy BOMPANZE ENGOMBE</w:t>
            </w:r>
          </w:p>
        </w:tc>
        <w:tc>
          <w:tcPr>
            <w:tcW w:w="1240" w:type="dxa"/>
            <w:noWrap/>
            <w:hideMark/>
          </w:tcPr>
          <w:p w14:paraId="0D30B632"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r>
      <w:tr w:rsidR="00F000B0" w:rsidRPr="003C29D8" w14:paraId="07FCD9B0"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0C301A53"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8</w:t>
            </w:r>
          </w:p>
        </w:tc>
        <w:tc>
          <w:tcPr>
            <w:tcW w:w="6500" w:type="dxa"/>
            <w:hideMark/>
          </w:tcPr>
          <w:p w14:paraId="2C6E8A64"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FURNEIKO FIRE EXTRUTIONS</w:t>
            </w:r>
          </w:p>
        </w:tc>
        <w:tc>
          <w:tcPr>
            <w:tcW w:w="1240" w:type="dxa"/>
            <w:noWrap/>
            <w:hideMark/>
          </w:tcPr>
          <w:p w14:paraId="27BFE690"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2</w:t>
            </w:r>
          </w:p>
        </w:tc>
      </w:tr>
      <w:tr w:rsidR="00F000B0" w:rsidRPr="003C29D8" w14:paraId="46AEDDCD"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0A37F155"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9</w:t>
            </w:r>
          </w:p>
        </w:tc>
        <w:tc>
          <w:tcPr>
            <w:tcW w:w="6500" w:type="dxa"/>
            <w:hideMark/>
          </w:tcPr>
          <w:p w14:paraId="1F320CCB"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GICC Sarl</w:t>
            </w:r>
          </w:p>
        </w:tc>
        <w:tc>
          <w:tcPr>
            <w:tcW w:w="1240" w:type="dxa"/>
            <w:noWrap/>
            <w:hideMark/>
          </w:tcPr>
          <w:p w14:paraId="5E218316"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r>
      <w:tr w:rsidR="00F000B0" w:rsidRPr="003C29D8" w14:paraId="048855F4"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3D7FD026"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10</w:t>
            </w:r>
          </w:p>
        </w:tc>
        <w:tc>
          <w:tcPr>
            <w:tcW w:w="6500" w:type="dxa"/>
            <w:hideMark/>
          </w:tcPr>
          <w:p w14:paraId="6B611100"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IRON MOUNTAIN ENTERPRISES SPRL</w:t>
            </w:r>
          </w:p>
        </w:tc>
        <w:tc>
          <w:tcPr>
            <w:tcW w:w="1240" w:type="dxa"/>
            <w:noWrap/>
            <w:hideMark/>
          </w:tcPr>
          <w:p w14:paraId="05D62CFB"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36</w:t>
            </w:r>
          </w:p>
        </w:tc>
      </w:tr>
      <w:tr w:rsidR="00F000B0" w:rsidRPr="003C29D8" w14:paraId="21FE1560"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7D563107"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11</w:t>
            </w:r>
          </w:p>
        </w:tc>
        <w:tc>
          <w:tcPr>
            <w:tcW w:w="6500" w:type="dxa"/>
            <w:hideMark/>
          </w:tcPr>
          <w:p w14:paraId="6EA3CD01"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KANUKA MINING COMPANY</w:t>
            </w:r>
          </w:p>
        </w:tc>
        <w:tc>
          <w:tcPr>
            <w:tcW w:w="1240" w:type="dxa"/>
            <w:noWrap/>
            <w:hideMark/>
          </w:tcPr>
          <w:p w14:paraId="1CFC9C1F"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r>
      <w:tr w:rsidR="00F000B0" w:rsidRPr="003C29D8" w14:paraId="0238FC12"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2B86BBA0"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12</w:t>
            </w:r>
          </w:p>
        </w:tc>
        <w:tc>
          <w:tcPr>
            <w:tcW w:w="6500" w:type="dxa"/>
            <w:hideMark/>
          </w:tcPr>
          <w:p w14:paraId="6AD8A1FE"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KISENGO MINING</w:t>
            </w:r>
          </w:p>
        </w:tc>
        <w:tc>
          <w:tcPr>
            <w:tcW w:w="1240" w:type="dxa"/>
            <w:noWrap/>
            <w:hideMark/>
          </w:tcPr>
          <w:p w14:paraId="13CB884F"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r>
      <w:tr w:rsidR="00F000B0" w:rsidRPr="003C29D8" w14:paraId="5CC3A570"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5F2AE8F2"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13</w:t>
            </w:r>
          </w:p>
        </w:tc>
        <w:tc>
          <w:tcPr>
            <w:tcW w:w="6500" w:type="dxa"/>
            <w:hideMark/>
          </w:tcPr>
          <w:p w14:paraId="0C3784C7"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LEK MINING SPRL</w:t>
            </w:r>
          </w:p>
        </w:tc>
        <w:tc>
          <w:tcPr>
            <w:tcW w:w="1240" w:type="dxa"/>
            <w:noWrap/>
            <w:hideMark/>
          </w:tcPr>
          <w:p w14:paraId="48ED903F"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r>
      <w:tr w:rsidR="00F000B0" w:rsidRPr="003C29D8" w14:paraId="675EC450"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58AEB0BF"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14</w:t>
            </w:r>
          </w:p>
        </w:tc>
        <w:tc>
          <w:tcPr>
            <w:tcW w:w="6500" w:type="dxa"/>
            <w:hideMark/>
          </w:tcPr>
          <w:p w14:paraId="40BF8147"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LUAMBO MINING</w:t>
            </w:r>
          </w:p>
        </w:tc>
        <w:tc>
          <w:tcPr>
            <w:tcW w:w="1240" w:type="dxa"/>
            <w:noWrap/>
            <w:hideMark/>
          </w:tcPr>
          <w:p w14:paraId="0DCF5E3B"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r>
      <w:tr w:rsidR="00F000B0" w:rsidRPr="003C29D8" w14:paraId="3C2A607E"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399E2AD2"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15</w:t>
            </w:r>
          </w:p>
        </w:tc>
        <w:tc>
          <w:tcPr>
            <w:tcW w:w="6500" w:type="dxa"/>
            <w:hideMark/>
          </w:tcPr>
          <w:p w14:paraId="03DD9A80"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LUBANGI MUTEBA</w:t>
            </w:r>
          </w:p>
        </w:tc>
        <w:tc>
          <w:tcPr>
            <w:tcW w:w="1240" w:type="dxa"/>
            <w:noWrap/>
            <w:hideMark/>
          </w:tcPr>
          <w:p w14:paraId="677CDCAA"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r>
      <w:tr w:rsidR="00F000B0" w:rsidRPr="003C29D8" w14:paraId="33DA1C99"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40C4897B"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16</w:t>
            </w:r>
          </w:p>
        </w:tc>
        <w:tc>
          <w:tcPr>
            <w:tcW w:w="6500" w:type="dxa"/>
            <w:hideMark/>
          </w:tcPr>
          <w:p w14:paraId="4EDB0701"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Mariam DJANDE WAMBAL</w:t>
            </w:r>
          </w:p>
        </w:tc>
        <w:tc>
          <w:tcPr>
            <w:tcW w:w="1240" w:type="dxa"/>
            <w:noWrap/>
            <w:hideMark/>
          </w:tcPr>
          <w:p w14:paraId="43A88A9A"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r>
      <w:tr w:rsidR="00F000B0" w:rsidRPr="003C29D8" w14:paraId="54C4ECE5"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5187ED93"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17</w:t>
            </w:r>
          </w:p>
        </w:tc>
        <w:tc>
          <w:tcPr>
            <w:tcW w:w="6500" w:type="dxa"/>
            <w:hideMark/>
          </w:tcPr>
          <w:p w14:paraId="66B211FE"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MINING MINERAL RESOURCES Sarl</w:t>
            </w:r>
          </w:p>
        </w:tc>
        <w:tc>
          <w:tcPr>
            <w:tcW w:w="1240" w:type="dxa"/>
            <w:noWrap/>
            <w:hideMark/>
          </w:tcPr>
          <w:p w14:paraId="58692533"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2</w:t>
            </w:r>
          </w:p>
        </w:tc>
      </w:tr>
      <w:tr w:rsidR="00F000B0" w:rsidRPr="003C29D8" w14:paraId="216EC957"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21C0DF17"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18</w:t>
            </w:r>
          </w:p>
        </w:tc>
        <w:tc>
          <w:tcPr>
            <w:tcW w:w="6500" w:type="dxa"/>
            <w:hideMark/>
          </w:tcPr>
          <w:p w14:paraId="7F3B3D48"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REGAL MANIEMA</w:t>
            </w:r>
          </w:p>
        </w:tc>
        <w:tc>
          <w:tcPr>
            <w:tcW w:w="1240" w:type="dxa"/>
            <w:noWrap/>
            <w:hideMark/>
          </w:tcPr>
          <w:p w14:paraId="1EAB01BF"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r>
      <w:tr w:rsidR="00F000B0" w:rsidRPr="003C29D8" w14:paraId="6431D695"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322ED6FD"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19</w:t>
            </w:r>
          </w:p>
        </w:tc>
        <w:tc>
          <w:tcPr>
            <w:tcW w:w="6500" w:type="dxa"/>
            <w:hideMark/>
          </w:tcPr>
          <w:p w14:paraId="49FA6D38"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SHARMA VIKAS</w:t>
            </w:r>
          </w:p>
        </w:tc>
        <w:tc>
          <w:tcPr>
            <w:tcW w:w="1240" w:type="dxa"/>
            <w:noWrap/>
            <w:hideMark/>
          </w:tcPr>
          <w:p w14:paraId="273CD7DC"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r>
      <w:tr w:rsidR="00F000B0" w:rsidRPr="003C29D8" w14:paraId="1B4009AD"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6701ECCA"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20</w:t>
            </w:r>
          </w:p>
        </w:tc>
        <w:tc>
          <w:tcPr>
            <w:tcW w:w="6500" w:type="dxa"/>
            <w:hideMark/>
          </w:tcPr>
          <w:p w14:paraId="4FE5F958"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SOCIETE D'EXPLOITATION DES GISEMENTS DE MALEMBA NKULU</w:t>
            </w:r>
          </w:p>
        </w:tc>
        <w:tc>
          <w:tcPr>
            <w:tcW w:w="1240" w:type="dxa"/>
            <w:noWrap/>
            <w:hideMark/>
          </w:tcPr>
          <w:p w14:paraId="449B7764"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3</w:t>
            </w:r>
          </w:p>
        </w:tc>
      </w:tr>
      <w:tr w:rsidR="00F000B0" w:rsidRPr="003C29D8" w14:paraId="529695E8"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02BFFD3B"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21</w:t>
            </w:r>
          </w:p>
        </w:tc>
        <w:tc>
          <w:tcPr>
            <w:tcW w:w="6500" w:type="dxa"/>
            <w:hideMark/>
          </w:tcPr>
          <w:p w14:paraId="1A626992" w14:textId="77777777" w:rsidR="00F000B0" w:rsidRPr="00B072C9"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s-ES"/>
              </w:rPr>
            </w:pPr>
            <w:r w:rsidRPr="00B072C9">
              <w:rPr>
                <w:rFonts w:ascii="Times New Roman" w:hAnsi="Times New Roman"/>
                <w:sz w:val="18"/>
                <w:lang w:val="es-ES"/>
              </w:rPr>
              <w:t>SOCIETE MINIERE DE KILO MOTO</w:t>
            </w:r>
          </w:p>
        </w:tc>
        <w:tc>
          <w:tcPr>
            <w:tcW w:w="1240" w:type="dxa"/>
            <w:noWrap/>
            <w:hideMark/>
          </w:tcPr>
          <w:p w14:paraId="4C78D52A"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6</w:t>
            </w:r>
          </w:p>
        </w:tc>
      </w:tr>
      <w:tr w:rsidR="00F000B0" w:rsidRPr="003C29D8" w14:paraId="3B5D5AF7"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7601C377"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22</w:t>
            </w:r>
          </w:p>
        </w:tc>
        <w:tc>
          <w:tcPr>
            <w:tcW w:w="6500" w:type="dxa"/>
            <w:hideMark/>
          </w:tcPr>
          <w:p w14:paraId="3CB4926F"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SOCIETE MINIERE DE LONGATSHIMO</w:t>
            </w:r>
          </w:p>
        </w:tc>
        <w:tc>
          <w:tcPr>
            <w:tcW w:w="1240" w:type="dxa"/>
            <w:noWrap/>
            <w:hideMark/>
          </w:tcPr>
          <w:p w14:paraId="76627CDE"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r>
      <w:tr w:rsidR="00F000B0" w:rsidRPr="003C29D8" w14:paraId="20B539E6"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07779B90"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23</w:t>
            </w:r>
          </w:p>
        </w:tc>
        <w:tc>
          <w:tcPr>
            <w:tcW w:w="6500" w:type="dxa"/>
            <w:hideMark/>
          </w:tcPr>
          <w:p w14:paraId="12979106"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SOCIETE MINIERE DU KATANGA</w:t>
            </w:r>
          </w:p>
        </w:tc>
        <w:tc>
          <w:tcPr>
            <w:tcW w:w="1240" w:type="dxa"/>
            <w:noWrap/>
            <w:hideMark/>
          </w:tcPr>
          <w:p w14:paraId="5BA33F03"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3</w:t>
            </w:r>
          </w:p>
        </w:tc>
      </w:tr>
      <w:tr w:rsidR="00F000B0" w:rsidRPr="003C29D8" w14:paraId="70D91627"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637ADDEE"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24</w:t>
            </w:r>
          </w:p>
        </w:tc>
        <w:tc>
          <w:tcPr>
            <w:tcW w:w="6500" w:type="dxa"/>
            <w:hideMark/>
          </w:tcPr>
          <w:p w14:paraId="7BA0E832"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Sophie TUMALEO MWANGE</w:t>
            </w:r>
          </w:p>
        </w:tc>
        <w:tc>
          <w:tcPr>
            <w:tcW w:w="1240" w:type="dxa"/>
            <w:noWrap/>
            <w:hideMark/>
          </w:tcPr>
          <w:p w14:paraId="66F8C637"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r>
      <w:tr w:rsidR="00F000B0" w:rsidRPr="003C29D8" w14:paraId="0B10F397"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5333BEC4"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25</w:t>
            </w:r>
          </w:p>
        </w:tc>
        <w:tc>
          <w:tcPr>
            <w:tcW w:w="6500" w:type="dxa"/>
            <w:hideMark/>
          </w:tcPr>
          <w:p w14:paraId="032A54ED"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TANTALE ET NIOBIUM DU TANGANYIKA</w:t>
            </w:r>
          </w:p>
        </w:tc>
        <w:tc>
          <w:tcPr>
            <w:tcW w:w="1240" w:type="dxa"/>
            <w:noWrap/>
            <w:hideMark/>
          </w:tcPr>
          <w:p w14:paraId="0A08B4E9"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2</w:t>
            </w:r>
          </w:p>
        </w:tc>
      </w:tr>
      <w:tr w:rsidR="00F000B0" w:rsidRPr="003C29D8" w14:paraId="5AA94DA1"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245DA105"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26</w:t>
            </w:r>
          </w:p>
        </w:tc>
        <w:tc>
          <w:tcPr>
            <w:tcW w:w="6500" w:type="dxa"/>
            <w:hideMark/>
          </w:tcPr>
          <w:p w14:paraId="36F6F7BD"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WALNI MINERAL COMPANY SPRL</w:t>
            </w:r>
          </w:p>
        </w:tc>
        <w:tc>
          <w:tcPr>
            <w:tcW w:w="1240" w:type="dxa"/>
            <w:noWrap/>
            <w:hideMark/>
          </w:tcPr>
          <w:p w14:paraId="3B8AE613"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4</w:t>
            </w:r>
          </w:p>
        </w:tc>
      </w:tr>
    </w:tbl>
    <w:p w14:paraId="2C13F474" w14:textId="77777777" w:rsidR="00F000B0" w:rsidRPr="003C29D8" w:rsidRDefault="00F000B0" w:rsidP="00943F67">
      <w:pPr>
        <w:ind w:left="142"/>
        <w:jc w:val="both"/>
        <w:rPr>
          <w:rFonts w:ascii="Times New Roman" w:hAnsi="Times New Roman"/>
          <w:sz w:val="18"/>
          <w:szCs w:val="18"/>
        </w:rPr>
      </w:pPr>
      <w:r w:rsidRPr="003C29D8">
        <w:rPr>
          <w:rFonts w:ascii="Times New Roman" w:hAnsi="Times New Roman"/>
          <w:sz w:val="18"/>
          <w:szCs w:val="18"/>
        </w:rPr>
        <w:t>Source : Registre CAMI 2017</w:t>
      </w:r>
    </w:p>
    <w:p w14:paraId="1495CD40" w14:textId="77777777" w:rsidR="00F000B0" w:rsidRPr="00AA5351" w:rsidRDefault="00F000B0" w:rsidP="00F000B0">
      <w:pPr>
        <w:jc w:val="both"/>
        <w:rPr>
          <w:rFonts w:ascii="Times New Roman" w:hAnsi="Times New Roman"/>
          <w:sz w:val="24"/>
          <w:szCs w:val="24"/>
        </w:rPr>
      </w:pPr>
      <w:r w:rsidRPr="00AA5351">
        <w:rPr>
          <w:rFonts w:ascii="Times New Roman" w:hAnsi="Times New Roman"/>
          <w:sz w:val="24"/>
          <w:szCs w:val="24"/>
        </w:rPr>
        <w:lastRenderedPageBreak/>
        <w:t xml:space="preserve">La situation </w:t>
      </w:r>
      <w:r>
        <w:rPr>
          <w:rFonts w:ascii="Times New Roman" w:hAnsi="Times New Roman"/>
          <w:sz w:val="24"/>
          <w:szCs w:val="24"/>
        </w:rPr>
        <w:t xml:space="preserve">de l’année </w:t>
      </w:r>
      <w:r w:rsidRPr="00AA5351">
        <w:rPr>
          <w:rFonts w:ascii="Times New Roman" w:hAnsi="Times New Roman"/>
          <w:sz w:val="24"/>
          <w:szCs w:val="24"/>
        </w:rPr>
        <w:t xml:space="preserve">2017 contient  une  EPE et  10 personnes physiques. La cession  de 5% du capital social ne s’applique pas à ces  deux catégories. </w:t>
      </w:r>
    </w:p>
    <w:p w14:paraId="51EFD230" w14:textId="76B9E5FA" w:rsidR="00F000B0" w:rsidRDefault="00F000B0" w:rsidP="00F000B0">
      <w:pPr>
        <w:spacing w:line="276" w:lineRule="auto"/>
        <w:jc w:val="both"/>
        <w:rPr>
          <w:rFonts w:ascii="Times New Roman" w:hAnsi="Times New Roman"/>
          <w:sz w:val="24"/>
          <w:szCs w:val="24"/>
        </w:rPr>
      </w:pPr>
      <w:r w:rsidRPr="00AA5351">
        <w:rPr>
          <w:rFonts w:ascii="Times New Roman" w:hAnsi="Times New Roman"/>
          <w:sz w:val="24"/>
          <w:szCs w:val="24"/>
        </w:rPr>
        <w:t xml:space="preserve">En rapprochant le répertoire des entreprises détenues par l’Etat fourni par le  Ministère du Portefeuille avec la liste des titulaires ayant transformé  les PR en PE  renseignée par </w:t>
      </w:r>
      <w:r>
        <w:rPr>
          <w:rFonts w:ascii="Times New Roman" w:hAnsi="Times New Roman"/>
          <w:sz w:val="24"/>
          <w:szCs w:val="24"/>
        </w:rPr>
        <w:t xml:space="preserve">le </w:t>
      </w:r>
      <w:r w:rsidRPr="00AA5351">
        <w:rPr>
          <w:rFonts w:ascii="Times New Roman" w:hAnsi="Times New Roman"/>
          <w:sz w:val="24"/>
          <w:szCs w:val="24"/>
        </w:rPr>
        <w:t xml:space="preserve">CAMI,  il s’avère que la situation présentée par le Ministère  </w:t>
      </w:r>
      <w:r>
        <w:rPr>
          <w:rFonts w:ascii="Times New Roman" w:hAnsi="Times New Roman"/>
          <w:sz w:val="24"/>
          <w:szCs w:val="24"/>
        </w:rPr>
        <w:t xml:space="preserve">du Portefeuille </w:t>
      </w:r>
      <w:r w:rsidRPr="00AA5351">
        <w:rPr>
          <w:rFonts w:ascii="Times New Roman" w:hAnsi="Times New Roman"/>
          <w:sz w:val="24"/>
          <w:szCs w:val="24"/>
        </w:rPr>
        <w:t xml:space="preserve">n’est pas  exhaustive vu le nombre élevé  des titulaires ayant transformé  leurs PR en PE en 2016 mais qui ne sont pas repris dans la </w:t>
      </w:r>
      <w:proofErr w:type="spellStart"/>
      <w:r>
        <w:rPr>
          <w:rFonts w:ascii="Times New Roman" w:hAnsi="Times New Roman"/>
          <w:sz w:val="24"/>
          <w:szCs w:val="24"/>
        </w:rPr>
        <w:t>la</w:t>
      </w:r>
      <w:proofErr w:type="spellEnd"/>
      <w:r>
        <w:rPr>
          <w:rFonts w:ascii="Times New Roman" w:hAnsi="Times New Roman"/>
          <w:sz w:val="24"/>
          <w:szCs w:val="24"/>
        </w:rPr>
        <w:t xml:space="preserve"> liste de la</w:t>
      </w:r>
      <w:r w:rsidRPr="00AA5351">
        <w:rPr>
          <w:rFonts w:ascii="Times New Roman" w:hAnsi="Times New Roman"/>
          <w:sz w:val="24"/>
          <w:szCs w:val="24"/>
        </w:rPr>
        <w:t xml:space="preserve"> situation de participation contenue dans le tableau ci-dessus. En effet, suivant le Registre </w:t>
      </w:r>
      <w:r>
        <w:rPr>
          <w:rFonts w:ascii="Times New Roman" w:hAnsi="Times New Roman"/>
          <w:sz w:val="24"/>
          <w:szCs w:val="24"/>
        </w:rPr>
        <w:t xml:space="preserve">du </w:t>
      </w:r>
      <w:r w:rsidRPr="00AA5351">
        <w:rPr>
          <w:rFonts w:ascii="Times New Roman" w:hAnsi="Times New Roman"/>
          <w:sz w:val="24"/>
          <w:szCs w:val="24"/>
        </w:rPr>
        <w:t>CAMI 2016, vingt-deux (22) titulaires  ont transformé leurs PR en PE. Sur ce nombre, six sont des personnes physiques et deux sont des EPE  deux catégories non concernées par la cession à l’Etat  de 5%  du capital social.  Sur la différence, soit quatorze, aucun titulaire n’est repris dans la situation de participation directe fourni  par le Ministère du Portefeuille. Il se pose donc un problème de cohérence</w:t>
      </w:r>
      <w:r>
        <w:rPr>
          <w:rFonts w:ascii="Times New Roman" w:hAnsi="Times New Roman"/>
          <w:sz w:val="24"/>
          <w:szCs w:val="24"/>
        </w:rPr>
        <w:t xml:space="preserve">, </w:t>
      </w:r>
      <w:r w:rsidRPr="00AA5351">
        <w:rPr>
          <w:rFonts w:ascii="Times New Roman" w:hAnsi="Times New Roman"/>
          <w:sz w:val="24"/>
          <w:szCs w:val="24"/>
        </w:rPr>
        <w:t>d’exhaustivité</w:t>
      </w:r>
      <w:r>
        <w:rPr>
          <w:rFonts w:ascii="Times New Roman" w:hAnsi="Times New Roman"/>
          <w:sz w:val="24"/>
          <w:szCs w:val="24"/>
        </w:rPr>
        <w:t xml:space="preserve"> et même de fiabilité des informations fournies à l’ITIE au titre de ce chapitre par les deux Ministères</w:t>
      </w:r>
    </w:p>
    <w:p w14:paraId="3D042742" w14:textId="54B8AEEA" w:rsidR="00EF425B" w:rsidRDefault="00EF425B" w:rsidP="00F000B0">
      <w:pPr>
        <w:spacing w:line="276" w:lineRule="auto"/>
        <w:jc w:val="both"/>
        <w:rPr>
          <w:rFonts w:ascii="Times New Roman" w:hAnsi="Times New Roman"/>
          <w:sz w:val="24"/>
          <w:szCs w:val="24"/>
        </w:rPr>
      </w:pPr>
      <w:r>
        <w:rPr>
          <w:noProof/>
          <w:lang w:eastAsia="fr-FR"/>
        </w:rPr>
        <mc:AlternateContent>
          <mc:Choice Requires="wps">
            <w:drawing>
              <wp:anchor distT="0" distB="0" distL="114300" distR="114300" simplePos="0" relativeHeight="251678720" behindDoc="0" locked="0" layoutInCell="1" allowOverlap="1" wp14:anchorId="5F718899" wp14:editId="3ED8476A">
                <wp:simplePos x="0" y="0"/>
                <wp:positionH relativeFrom="margin">
                  <wp:align>right</wp:align>
                </wp:positionH>
                <wp:positionV relativeFrom="paragraph">
                  <wp:posOffset>-1009</wp:posOffset>
                </wp:positionV>
                <wp:extent cx="6073589" cy="1308848"/>
                <wp:effectExtent l="0" t="0" r="22860" b="24765"/>
                <wp:wrapNone/>
                <wp:docPr id="25" name="Zone de texte 25"/>
                <wp:cNvGraphicFramePr/>
                <a:graphic xmlns:a="http://schemas.openxmlformats.org/drawingml/2006/main">
                  <a:graphicData uri="http://schemas.microsoft.com/office/word/2010/wordprocessingShape">
                    <wps:wsp>
                      <wps:cNvSpPr txBox="1"/>
                      <wps:spPr>
                        <a:xfrm>
                          <a:off x="0" y="0"/>
                          <a:ext cx="6073589" cy="1308848"/>
                        </a:xfrm>
                        <a:prstGeom prst="rect">
                          <a:avLst/>
                        </a:prstGeom>
                        <a:solidFill>
                          <a:schemeClr val="accent1">
                            <a:lumMod val="20000"/>
                            <a:lumOff val="80000"/>
                          </a:schemeClr>
                        </a:solidFill>
                        <a:ln w="6350">
                          <a:solidFill>
                            <a:schemeClr val="accent1">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530D0279" w14:textId="087ECE56" w:rsidR="00E357DF" w:rsidRPr="00753E9A" w:rsidRDefault="00E357DF" w:rsidP="00EF425B">
                            <w:pPr>
                              <w:rPr>
                                <w:rFonts w:ascii="Times New Roman" w:hAnsi="Times New Roman"/>
                                <w:b/>
                                <w:color w:val="1F3864" w:themeColor="accent5" w:themeShade="80"/>
                                <w:sz w:val="24"/>
                                <w:szCs w:val="24"/>
                                <w:u w:val="single"/>
                              </w:rPr>
                            </w:pPr>
                            <w:r>
                              <w:rPr>
                                <w:rFonts w:ascii="Times New Roman" w:hAnsi="Times New Roman"/>
                                <w:b/>
                                <w:color w:val="1F3864" w:themeColor="accent5" w:themeShade="80"/>
                                <w:sz w:val="24"/>
                                <w:szCs w:val="24"/>
                                <w:u w:val="single"/>
                              </w:rPr>
                              <w:t>Recommandation</w:t>
                            </w:r>
                            <w:r w:rsidRPr="00D256CC">
                              <w:rPr>
                                <w:rFonts w:ascii="Times New Roman" w:hAnsi="Times New Roman"/>
                                <w:b/>
                                <w:color w:val="1F3864" w:themeColor="accent5" w:themeShade="80"/>
                                <w:sz w:val="24"/>
                                <w:szCs w:val="24"/>
                              </w:rPr>
                              <w:t xml:space="preserve"> </w:t>
                            </w:r>
                            <w:r>
                              <w:rPr>
                                <w:rFonts w:ascii="Times New Roman" w:hAnsi="Times New Roman"/>
                                <w:b/>
                                <w:color w:val="44546A" w:themeColor="text2"/>
                                <w:sz w:val="24"/>
                                <w:szCs w:val="24"/>
                              </w:rPr>
                              <w:t xml:space="preserve">: </w:t>
                            </w:r>
                            <w:r w:rsidRPr="00F32693">
                              <w:rPr>
                                <w:rFonts w:ascii="Times New Roman" w:hAnsi="Times New Roman"/>
                                <w:i/>
                                <w:color w:val="44546A" w:themeColor="text2"/>
                                <w:sz w:val="24"/>
                                <w:szCs w:val="24"/>
                              </w:rPr>
                              <w:t>(</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p>
                          <w:p w14:paraId="48B58EBA" w14:textId="77777777" w:rsidR="00E357DF" w:rsidRPr="00EF425B" w:rsidRDefault="00E357DF" w:rsidP="00EF425B">
                            <w:pPr>
                              <w:rPr>
                                <w:color w:val="404040" w:themeColor="text1" w:themeTint="BF"/>
                              </w:rPr>
                            </w:pPr>
                            <w:r w:rsidRPr="00EF425B">
                              <w:rPr>
                                <w:rFonts w:ascii="Times New Roman" w:hAnsi="Times New Roman"/>
                                <w:b/>
                                <w:color w:val="404040" w:themeColor="text1" w:themeTint="BF"/>
                                <w:sz w:val="24"/>
                                <w:szCs w:val="24"/>
                              </w:rPr>
                              <w:t>Au Gouvernement  de :</w:t>
                            </w:r>
                          </w:p>
                          <w:p w14:paraId="7831401F" w14:textId="77777777" w:rsidR="00E357DF" w:rsidRPr="00753E9A" w:rsidRDefault="00E357DF" w:rsidP="00EF425B">
                            <w:pPr>
                              <w:jc w:val="both"/>
                              <w:rPr>
                                <w:rFonts w:ascii="Times New Roman" w:hAnsi="Times New Roman"/>
                                <w:color w:val="385623" w:themeColor="accent6" w:themeShade="80"/>
                                <w:sz w:val="24"/>
                                <w:szCs w:val="24"/>
                              </w:rPr>
                            </w:pPr>
                            <w:r>
                              <w:rPr>
                                <w:rFonts w:ascii="Times New Roman" w:hAnsi="Times New Roman"/>
                                <w:color w:val="404040" w:themeColor="text1" w:themeTint="BF"/>
                                <w:sz w:val="24"/>
                                <w:szCs w:val="24"/>
                              </w:rPr>
                              <w:t xml:space="preserve">Veiller à ce que </w:t>
                            </w:r>
                            <w:r w:rsidRPr="00753E9A">
                              <w:rPr>
                                <w:rFonts w:ascii="Times New Roman" w:hAnsi="Times New Roman"/>
                                <w:color w:val="404040" w:themeColor="text1" w:themeTint="BF"/>
                                <w:sz w:val="24"/>
                                <w:szCs w:val="24"/>
                              </w:rPr>
                              <w:t>le Ministère des Mines et celui du Portefeuille travaillent de concert pour garan</w:t>
                            </w:r>
                            <w:r>
                              <w:rPr>
                                <w:rFonts w:ascii="Times New Roman" w:hAnsi="Times New Roman"/>
                                <w:color w:val="404040" w:themeColor="text1" w:themeTint="BF"/>
                                <w:sz w:val="24"/>
                                <w:szCs w:val="24"/>
                              </w:rPr>
                              <w:t xml:space="preserve">tir les intérêts de l’Etat et </w:t>
                            </w:r>
                            <w:r w:rsidRPr="00753E9A">
                              <w:rPr>
                                <w:rFonts w:ascii="Times New Roman" w:hAnsi="Times New Roman"/>
                                <w:color w:val="404040" w:themeColor="text1" w:themeTint="BF"/>
                                <w:sz w:val="24"/>
                                <w:szCs w:val="24"/>
                              </w:rPr>
                              <w:t>assurer  une information fiable</w:t>
                            </w:r>
                            <w:r>
                              <w:rPr>
                                <w:rFonts w:ascii="Times New Roman" w:hAnsi="Times New Roman"/>
                                <w:color w:val="404040" w:themeColor="text1" w:themeTint="BF"/>
                                <w:sz w:val="24"/>
                                <w:szCs w:val="24"/>
                              </w:rPr>
                              <w:t>, exhaustive</w:t>
                            </w:r>
                            <w:r w:rsidRPr="00753E9A">
                              <w:rPr>
                                <w:rFonts w:ascii="Times New Roman" w:hAnsi="Times New Roman"/>
                                <w:color w:val="404040" w:themeColor="text1" w:themeTint="BF"/>
                                <w:sz w:val="24"/>
                                <w:szCs w:val="24"/>
                              </w:rPr>
                              <w:t xml:space="preserve"> et désagrégée  de la situation exacte de participation de l’Etat dans les Industries extractives.</w:t>
                            </w:r>
                            <w:r w:rsidRPr="00753E9A">
                              <w:rPr>
                                <w:rFonts w:ascii="Times New Roman" w:hAnsi="Times New Roman"/>
                                <w:color w:val="385623" w:themeColor="accent6" w:themeShade="80"/>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18899" id="Zone de texte 25" o:spid="_x0000_s1039" type="#_x0000_t202" style="position:absolute;left:0;text-align:left;margin-left:427.05pt;margin-top:-.1pt;width:478.25pt;height:103.05pt;z-index:251678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" fillcolor="#deeaf6 [660]" strokecolor="#deeaf6 [660]" strokeweight=".5pt">
                <v:textbox>
                  <w:txbxContent>
                    <w:p w14:paraId="530D0279" w14:textId="087ECE56" w:rsidR="00E357DF" w:rsidRPr="00753E9A" w:rsidRDefault="00E357DF" w:rsidP="00EF425B">
                      <w:pPr>
                        <w:rPr>
                          <w:rFonts w:ascii="Times New Roman" w:hAnsi="Times New Roman"/>
                          <w:b/>
                          <w:color w:val="1F3864" w:themeColor="accent5" w:themeShade="80"/>
                          <w:sz w:val="24"/>
                          <w:szCs w:val="24"/>
                          <w:u w:val="single"/>
                        </w:rPr>
                      </w:pPr>
                      <w:r>
                        <w:rPr>
                          <w:rFonts w:ascii="Times New Roman" w:hAnsi="Times New Roman"/>
                          <w:b/>
                          <w:color w:val="1F3864" w:themeColor="accent5" w:themeShade="80"/>
                          <w:sz w:val="24"/>
                          <w:szCs w:val="24"/>
                          <w:u w:val="single"/>
                        </w:rPr>
                        <w:t>Recommandation</w:t>
                      </w:r>
                      <w:r w:rsidRPr="00D256CC">
                        <w:rPr>
                          <w:rFonts w:ascii="Times New Roman" w:hAnsi="Times New Roman"/>
                          <w:b/>
                          <w:color w:val="1F3864" w:themeColor="accent5" w:themeShade="80"/>
                          <w:sz w:val="24"/>
                          <w:szCs w:val="24"/>
                        </w:rPr>
                        <w:t xml:space="preserve"> </w:t>
                      </w:r>
                      <w:r>
                        <w:rPr>
                          <w:rFonts w:ascii="Times New Roman" w:hAnsi="Times New Roman"/>
                          <w:b/>
                          <w:color w:val="44546A" w:themeColor="text2"/>
                          <w:sz w:val="24"/>
                          <w:szCs w:val="24"/>
                        </w:rPr>
                        <w:t xml:space="preserve">: </w:t>
                      </w:r>
                      <w:r w:rsidRPr="00F32693">
                        <w:rPr>
                          <w:rFonts w:ascii="Times New Roman" w:hAnsi="Times New Roman"/>
                          <w:i/>
                          <w:color w:val="44546A" w:themeColor="text2"/>
                          <w:sz w:val="24"/>
                          <w:szCs w:val="24"/>
                        </w:rPr>
                        <w:t>(</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p>
                    <w:p w14:paraId="48B58EBA" w14:textId="77777777" w:rsidR="00E357DF" w:rsidRPr="00EF425B" w:rsidRDefault="00E357DF" w:rsidP="00EF425B">
                      <w:pPr>
                        <w:rPr>
                          <w:color w:val="404040" w:themeColor="text1" w:themeTint="BF"/>
                        </w:rPr>
                      </w:pPr>
                      <w:r w:rsidRPr="00EF425B">
                        <w:rPr>
                          <w:rFonts w:ascii="Times New Roman" w:hAnsi="Times New Roman"/>
                          <w:b/>
                          <w:color w:val="404040" w:themeColor="text1" w:themeTint="BF"/>
                          <w:sz w:val="24"/>
                          <w:szCs w:val="24"/>
                        </w:rPr>
                        <w:t>Au Gouvernement  de :</w:t>
                      </w:r>
                    </w:p>
                    <w:p w14:paraId="7831401F" w14:textId="77777777" w:rsidR="00E357DF" w:rsidRPr="00753E9A" w:rsidRDefault="00E357DF" w:rsidP="00EF425B">
                      <w:pPr>
                        <w:jc w:val="both"/>
                        <w:rPr>
                          <w:rFonts w:ascii="Times New Roman" w:hAnsi="Times New Roman"/>
                          <w:color w:val="385623" w:themeColor="accent6" w:themeShade="80"/>
                          <w:sz w:val="24"/>
                          <w:szCs w:val="24"/>
                        </w:rPr>
                      </w:pPr>
                      <w:r>
                        <w:rPr>
                          <w:rFonts w:ascii="Times New Roman" w:hAnsi="Times New Roman"/>
                          <w:color w:val="404040" w:themeColor="text1" w:themeTint="BF"/>
                          <w:sz w:val="24"/>
                          <w:szCs w:val="24"/>
                        </w:rPr>
                        <w:t xml:space="preserve">Veiller à ce que </w:t>
                      </w:r>
                      <w:r w:rsidRPr="00753E9A">
                        <w:rPr>
                          <w:rFonts w:ascii="Times New Roman" w:hAnsi="Times New Roman"/>
                          <w:color w:val="404040" w:themeColor="text1" w:themeTint="BF"/>
                          <w:sz w:val="24"/>
                          <w:szCs w:val="24"/>
                        </w:rPr>
                        <w:t>le Ministère des Mines et celui du Portefeuille travaillent de concert pour garan</w:t>
                      </w:r>
                      <w:r>
                        <w:rPr>
                          <w:rFonts w:ascii="Times New Roman" w:hAnsi="Times New Roman"/>
                          <w:color w:val="404040" w:themeColor="text1" w:themeTint="BF"/>
                          <w:sz w:val="24"/>
                          <w:szCs w:val="24"/>
                        </w:rPr>
                        <w:t xml:space="preserve">tir les intérêts de l’Etat et </w:t>
                      </w:r>
                      <w:r w:rsidRPr="00753E9A">
                        <w:rPr>
                          <w:rFonts w:ascii="Times New Roman" w:hAnsi="Times New Roman"/>
                          <w:color w:val="404040" w:themeColor="text1" w:themeTint="BF"/>
                          <w:sz w:val="24"/>
                          <w:szCs w:val="24"/>
                        </w:rPr>
                        <w:t>assurer  une information fiable</w:t>
                      </w:r>
                      <w:r>
                        <w:rPr>
                          <w:rFonts w:ascii="Times New Roman" w:hAnsi="Times New Roman"/>
                          <w:color w:val="404040" w:themeColor="text1" w:themeTint="BF"/>
                          <w:sz w:val="24"/>
                          <w:szCs w:val="24"/>
                        </w:rPr>
                        <w:t>, exhaustive</w:t>
                      </w:r>
                      <w:r w:rsidRPr="00753E9A">
                        <w:rPr>
                          <w:rFonts w:ascii="Times New Roman" w:hAnsi="Times New Roman"/>
                          <w:color w:val="404040" w:themeColor="text1" w:themeTint="BF"/>
                          <w:sz w:val="24"/>
                          <w:szCs w:val="24"/>
                        </w:rPr>
                        <w:t xml:space="preserve"> et désagrégée  de la situation exacte de participation de l’Etat dans les Industries extractives.</w:t>
                      </w:r>
                      <w:r w:rsidRPr="00753E9A">
                        <w:rPr>
                          <w:rFonts w:ascii="Times New Roman" w:hAnsi="Times New Roman"/>
                          <w:color w:val="385623" w:themeColor="accent6" w:themeShade="80"/>
                          <w:sz w:val="24"/>
                          <w:szCs w:val="24"/>
                        </w:rPr>
                        <w:t xml:space="preserve">  </w:t>
                      </w:r>
                    </w:p>
                  </w:txbxContent>
                </v:textbox>
                <w10:wrap anchorx="margin"/>
              </v:shape>
            </w:pict>
          </mc:Fallback>
        </mc:AlternateContent>
      </w:r>
    </w:p>
    <w:p w14:paraId="4EBBD105" w14:textId="77777777" w:rsidR="00EF425B" w:rsidRDefault="00EF425B" w:rsidP="00F000B0">
      <w:pPr>
        <w:spacing w:line="276" w:lineRule="auto"/>
        <w:jc w:val="both"/>
        <w:rPr>
          <w:rFonts w:ascii="Times New Roman" w:hAnsi="Times New Roman"/>
          <w:sz w:val="24"/>
          <w:szCs w:val="24"/>
        </w:rPr>
      </w:pPr>
    </w:p>
    <w:p w14:paraId="164E8529" w14:textId="77777777" w:rsidR="00EF425B" w:rsidRDefault="00EF425B" w:rsidP="00F000B0">
      <w:pPr>
        <w:spacing w:line="276" w:lineRule="auto"/>
        <w:jc w:val="both"/>
        <w:rPr>
          <w:rFonts w:ascii="Times New Roman" w:hAnsi="Times New Roman"/>
          <w:sz w:val="24"/>
          <w:szCs w:val="24"/>
        </w:rPr>
      </w:pPr>
    </w:p>
    <w:p w14:paraId="5D572F4A" w14:textId="77777777" w:rsidR="00EF425B" w:rsidRDefault="00EF425B" w:rsidP="00F000B0">
      <w:pPr>
        <w:spacing w:line="276" w:lineRule="auto"/>
        <w:jc w:val="both"/>
        <w:rPr>
          <w:rFonts w:ascii="Times New Roman" w:hAnsi="Times New Roman"/>
          <w:sz w:val="24"/>
          <w:szCs w:val="24"/>
        </w:rPr>
      </w:pPr>
    </w:p>
    <w:p w14:paraId="74BE08F7" w14:textId="77777777" w:rsidR="00EF425B" w:rsidRDefault="00EF425B" w:rsidP="00F000B0">
      <w:pPr>
        <w:spacing w:line="276" w:lineRule="auto"/>
        <w:jc w:val="both"/>
        <w:rPr>
          <w:rFonts w:ascii="Times New Roman" w:hAnsi="Times New Roman"/>
          <w:sz w:val="24"/>
          <w:szCs w:val="24"/>
        </w:rPr>
      </w:pPr>
    </w:p>
    <w:p w14:paraId="479BD584" w14:textId="77777777" w:rsidR="00F000B0" w:rsidRPr="003C29D8" w:rsidRDefault="00F000B0" w:rsidP="000738D3">
      <w:pPr>
        <w:pStyle w:val="Paragraphedeliste"/>
        <w:numPr>
          <w:ilvl w:val="0"/>
          <w:numId w:val="41"/>
        </w:numPr>
        <w:spacing w:after="160" w:line="600" w:lineRule="auto"/>
        <w:jc w:val="both"/>
        <w:rPr>
          <w:rFonts w:ascii="Times New Roman" w:hAnsi="Times New Roman" w:cs="Times New Roman"/>
          <w:color w:val="00B0F0"/>
          <w:sz w:val="24"/>
          <w:szCs w:val="24"/>
        </w:rPr>
      </w:pPr>
      <w:r w:rsidRPr="003C29D8">
        <w:rPr>
          <w:rFonts w:ascii="Times New Roman" w:hAnsi="Times New Roman" w:cs="Times New Roman"/>
          <w:color w:val="00B0F0"/>
          <w:sz w:val="24"/>
          <w:szCs w:val="24"/>
        </w:rPr>
        <w:t>Participation indirecte de l’Etat</w:t>
      </w:r>
    </w:p>
    <w:p w14:paraId="405B0D95" w14:textId="77777777" w:rsidR="00F000B0" w:rsidRPr="003C29D8" w:rsidRDefault="00F000B0" w:rsidP="00F000B0">
      <w:pPr>
        <w:pStyle w:val="Paragraphedeliste"/>
        <w:ind w:left="426"/>
        <w:jc w:val="both"/>
        <w:rPr>
          <w:rFonts w:ascii="Times New Roman" w:hAnsi="Times New Roman" w:cs="Times New Roman"/>
          <w:b/>
          <w:sz w:val="24"/>
          <w:szCs w:val="24"/>
          <w:u w:val="single"/>
        </w:rPr>
      </w:pPr>
      <w:r w:rsidRPr="003C29D8">
        <w:rPr>
          <w:rFonts w:ascii="Times New Roman" w:hAnsi="Times New Roman" w:cs="Times New Roman"/>
          <w:b/>
          <w:sz w:val="24"/>
          <w:szCs w:val="24"/>
          <w:u w:val="single"/>
        </w:rPr>
        <w:t>Secteur pétrolier</w:t>
      </w:r>
    </w:p>
    <w:p w14:paraId="0024E4CD" w14:textId="77777777" w:rsidR="00F000B0" w:rsidRPr="00AA5351" w:rsidRDefault="00F000B0" w:rsidP="00F000B0">
      <w:pPr>
        <w:ind w:left="426"/>
        <w:jc w:val="both"/>
        <w:rPr>
          <w:rFonts w:ascii="Times New Roman" w:hAnsi="Times New Roman"/>
          <w:sz w:val="24"/>
          <w:szCs w:val="24"/>
        </w:rPr>
      </w:pPr>
      <w:r w:rsidRPr="00AA5351">
        <w:rPr>
          <w:rFonts w:ascii="Times New Roman" w:hAnsi="Times New Roman"/>
          <w:sz w:val="24"/>
          <w:szCs w:val="24"/>
        </w:rPr>
        <w:t>La participation indirecte de l’Etat  tel que renseignée par le ministère du Portefeuille et la SONAHYDROC se présente comme suit :</w:t>
      </w:r>
    </w:p>
    <w:tbl>
      <w:tblPr>
        <w:tblStyle w:val="TableauGrille1Clair-Accentuation11"/>
        <w:tblW w:w="8184" w:type="dxa"/>
        <w:tblInd w:w="534" w:type="dxa"/>
        <w:tblLook w:val="04A0" w:firstRow="1" w:lastRow="0" w:firstColumn="1" w:lastColumn="0" w:noHBand="0" w:noVBand="1"/>
      </w:tblPr>
      <w:tblGrid>
        <w:gridCol w:w="1940"/>
        <w:gridCol w:w="2244"/>
        <w:gridCol w:w="1696"/>
        <w:gridCol w:w="1063"/>
        <w:gridCol w:w="1241"/>
      </w:tblGrid>
      <w:tr w:rsidR="00F000B0" w:rsidRPr="003C29D8" w14:paraId="51D178FE" w14:textId="77777777" w:rsidTr="00943F6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0" w:type="dxa"/>
            <w:noWrap/>
            <w:hideMark/>
          </w:tcPr>
          <w:p w14:paraId="226A2D85" w14:textId="77777777" w:rsidR="00F000B0" w:rsidRPr="003C29D8" w:rsidRDefault="00F000B0" w:rsidP="00F000B0">
            <w:pPr>
              <w:jc w:val="both"/>
              <w:rPr>
                <w:rFonts w:ascii="Times New Roman" w:eastAsia="Times New Roman" w:hAnsi="Times New Roman"/>
                <w:color w:val="000000"/>
                <w:sz w:val="20"/>
                <w:szCs w:val="20"/>
                <w:lang w:eastAsia="fr-FR"/>
              </w:rPr>
            </w:pPr>
            <w:r w:rsidRPr="003C29D8">
              <w:rPr>
                <w:rFonts w:ascii="Times New Roman" w:eastAsia="Times New Roman" w:hAnsi="Times New Roman"/>
                <w:color w:val="000000"/>
                <w:sz w:val="20"/>
                <w:szCs w:val="20"/>
                <w:lang w:eastAsia="fr-FR"/>
              </w:rPr>
              <w:t>Nom de l'EPE</w:t>
            </w:r>
          </w:p>
        </w:tc>
        <w:tc>
          <w:tcPr>
            <w:tcW w:w="2244" w:type="dxa"/>
            <w:noWrap/>
            <w:hideMark/>
          </w:tcPr>
          <w:p w14:paraId="5E60FEC3" w14:textId="77777777" w:rsidR="00F000B0" w:rsidRPr="003C29D8"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3C29D8">
              <w:rPr>
                <w:rFonts w:ascii="Times New Roman" w:eastAsia="Times New Roman" w:hAnsi="Times New Roman"/>
                <w:color w:val="000000"/>
                <w:sz w:val="20"/>
                <w:szCs w:val="20"/>
                <w:lang w:eastAsia="fr-FR"/>
              </w:rPr>
              <w:t>Entreprise détenue</w:t>
            </w:r>
          </w:p>
        </w:tc>
        <w:tc>
          <w:tcPr>
            <w:tcW w:w="1696" w:type="dxa"/>
            <w:noWrap/>
          </w:tcPr>
          <w:p w14:paraId="4A1A76F3" w14:textId="77777777" w:rsidR="00F000B0" w:rsidRPr="003C29D8"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3C29D8">
              <w:rPr>
                <w:rFonts w:ascii="Times New Roman" w:eastAsia="Times New Roman" w:hAnsi="Times New Roman"/>
                <w:color w:val="000000"/>
                <w:sz w:val="20"/>
                <w:szCs w:val="20"/>
                <w:lang w:eastAsia="fr-FR"/>
              </w:rPr>
              <w:t>Bloc/concession</w:t>
            </w:r>
          </w:p>
        </w:tc>
        <w:tc>
          <w:tcPr>
            <w:tcW w:w="1063" w:type="dxa"/>
          </w:tcPr>
          <w:p w14:paraId="745228A2" w14:textId="77777777" w:rsidR="00F000B0" w:rsidRPr="003C29D8"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3C29D8">
              <w:rPr>
                <w:rFonts w:ascii="Times New Roman" w:eastAsia="Times New Roman" w:hAnsi="Times New Roman"/>
                <w:color w:val="000000"/>
                <w:sz w:val="20"/>
                <w:szCs w:val="20"/>
                <w:lang w:eastAsia="fr-FR"/>
              </w:rPr>
              <w:t>Part (en %)</w:t>
            </w:r>
          </w:p>
        </w:tc>
        <w:tc>
          <w:tcPr>
            <w:tcW w:w="1241" w:type="dxa"/>
            <w:noWrap/>
            <w:hideMark/>
          </w:tcPr>
          <w:p w14:paraId="0EEDBF52" w14:textId="77777777" w:rsidR="00F000B0" w:rsidRPr="003C29D8"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3C29D8">
              <w:rPr>
                <w:rFonts w:ascii="Times New Roman" w:eastAsia="Times New Roman" w:hAnsi="Times New Roman"/>
                <w:color w:val="000000"/>
                <w:sz w:val="20"/>
                <w:szCs w:val="20"/>
                <w:lang w:eastAsia="fr-FR"/>
              </w:rPr>
              <w:t>Phase</w:t>
            </w:r>
          </w:p>
        </w:tc>
      </w:tr>
      <w:tr w:rsidR="00F000B0" w:rsidRPr="003C29D8" w14:paraId="3C9C5BC7"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40" w:type="dxa"/>
            <w:vMerge w:val="restart"/>
            <w:noWrap/>
            <w:hideMark/>
          </w:tcPr>
          <w:p w14:paraId="6C1B77B2" w14:textId="77777777" w:rsidR="00F000B0" w:rsidRPr="003C29D8" w:rsidRDefault="00F000B0" w:rsidP="00F000B0">
            <w:pPr>
              <w:jc w:val="both"/>
              <w:rPr>
                <w:rFonts w:ascii="Times New Roman" w:eastAsia="Times New Roman" w:hAnsi="Times New Roman"/>
                <w:b w:val="0"/>
                <w:color w:val="000000"/>
                <w:sz w:val="20"/>
                <w:szCs w:val="20"/>
                <w:lang w:eastAsia="fr-FR"/>
              </w:rPr>
            </w:pPr>
          </w:p>
          <w:p w14:paraId="74CBD62E" w14:textId="77777777" w:rsidR="00F000B0" w:rsidRPr="003C29D8" w:rsidRDefault="00F000B0" w:rsidP="00F000B0">
            <w:pPr>
              <w:jc w:val="both"/>
              <w:rPr>
                <w:rFonts w:ascii="Times New Roman" w:eastAsia="Times New Roman" w:hAnsi="Times New Roman"/>
                <w:b w:val="0"/>
                <w:color w:val="000000"/>
                <w:sz w:val="20"/>
                <w:szCs w:val="20"/>
                <w:lang w:eastAsia="fr-FR"/>
              </w:rPr>
            </w:pPr>
          </w:p>
          <w:p w14:paraId="4AE49FEA" w14:textId="77777777" w:rsidR="00F000B0" w:rsidRPr="003C29D8" w:rsidRDefault="00F000B0" w:rsidP="00F000B0">
            <w:pPr>
              <w:jc w:val="both"/>
              <w:rPr>
                <w:rFonts w:ascii="Times New Roman" w:eastAsia="Times New Roman" w:hAnsi="Times New Roman"/>
                <w:b w:val="0"/>
                <w:color w:val="000000"/>
                <w:sz w:val="20"/>
                <w:szCs w:val="20"/>
                <w:lang w:eastAsia="fr-FR"/>
              </w:rPr>
            </w:pPr>
          </w:p>
          <w:p w14:paraId="3FD7C1EE" w14:textId="77777777" w:rsidR="00F000B0" w:rsidRPr="003C29D8" w:rsidRDefault="00F000B0" w:rsidP="00F000B0">
            <w:pPr>
              <w:jc w:val="both"/>
              <w:rPr>
                <w:rFonts w:ascii="Times New Roman" w:eastAsia="Times New Roman" w:hAnsi="Times New Roman"/>
                <w:b w:val="0"/>
                <w:color w:val="000000"/>
                <w:sz w:val="20"/>
                <w:szCs w:val="20"/>
                <w:lang w:eastAsia="fr-FR"/>
              </w:rPr>
            </w:pPr>
          </w:p>
          <w:p w14:paraId="53378CD8" w14:textId="77777777" w:rsidR="00F000B0" w:rsidRPr="003C29D8" w:rsidRDefault="00F000B0" w:rsidP="00F000B0">
            <w:pPr>
              <w:jc w:val="both"/>
              <w:rPr>
                <w:rFonts w:ascii="Times New Roman" w:eastAsia="Times New Roman" w:hAnsi="Times New Roman"/>
                <w:b w:val="0"/>
                <w:color w:val="000000"/>
                <w:sz w:val="20"/>
                <w:szCs w:val="20"/>
                <w:lang w:eastAsia="fr-FR"/>
              </w:rPr>
            </w:pPr>
            <w:r w:rsidRPr="003C29D8">
              <w:rPr>
                <w:rFonts w:ascii="Times New Roman" w:eastAsia="Times New Roman" w:hAnsi="Times New Roman"/>
                <w:b w:val="0"/>
                <w:color w:val="000000"/>
                <w:sz w:val="20"/>
                <w:szCs w:val="20"/>
                <w:lang w:eastAsia="fr-FR"/>
              </w:rPr>
              <w:t>SONAHYDROC</w:t>
            </w:r>
          </w:p>
        </w:tc>
        <w:tc>
          <w:tcPr>
            <w:tcW w:w="2244" w:type="dxa"/>
            <w:noWrap/>
            <w:hideMark/>
          </w:tcPr>
          <w:p w14:paraId="15231BF4"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LIREX SARL</w:t>
            </w:r>
          </w:p>
        </w:tc>
        <w:tc>
          <w:tcPr>
            <w:tcW w:w="1696" w:type="dxa"/>
            <w:noWrap/>
          </w:tcPr>
          <w:p w14:paraId="7EF41F2D"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171,180 et 191</w:t>
            </w:r>
          </w:p>
        </w:tc>
        <w:tc>
          <w:tcPr>
            <w:tcW w:w="1063" w:type="dxa"/>
          </w:tcPr>
          <w:p w14:paraId="765D02BF"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15</w:t>
            </w:r>
          </w:p>
        </w:tc>
        <w:tc>
          <w:tcPr>
            <w:tcW w:w="1241" w:type="dxa"/>
            <w:noWrap/>
            <w:hideMark/>
          </w:tcPr>
          <w:p w14:paraId="693F4DE6"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P</w:t>
            </w:r>
            <w:r w:rsidRPr="003C29D8">
              <w:rPr>
                <w:rFonts w:ascii="Times New Roman" w:eastAsia="Times New Roman" w:hAnsi="Times New Roman"/>
                <w:color w:val="000000"/>
                <w:sz w:val="20"/>
                <w:szCs w:val="20"/>
                <w:lang w:eastAsia="fr-FR"/>
              </w:rPr>
              <w:t>roduction</w:t>
            </w:r>
          </w:p>
        </w:tc>
      </w:tr>
      <w:tr w:rsidR="00F000B0" w:rsidRPr="003C29D8" w14:paraId="40CF8018"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40" w:type="dxa"/>
            <w:vMerge/>
            <w:hideMark/>
          </w:tcPr>
          <w:p w14:paraId="5579B85C"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2244" w:type="dxa"/>
            <w:noWrap/>
            <w:hideMark/>
          </w:tcPr>
          <w:p w14:paraId="39A27DCF"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SURESTEAM</w:t>
            </w:r>
          </w:p>
        </w:tc>
        <w:tc>
          <w:tcPr>
            <w:tcW w:w="1696" w:type="dxa"/>
            <w:noWrap/>
          </w:tcPr>
          <w:p w14:paraId="29C1469E"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proofErr w:type="spellStart"/>
            <w:r w:rsidRPr="003C29D8">
              <w:rPr>
                <w:rFonts w:ascii="Times New Roman" w:eastAsia="Times New Roman" w:hAnsi="Times New Roman"/>
                <w:bCs/>
                <w:color w:val="000000"/>
                <w:sz w:val="20"/>
                <w:szCs w:val="20"/>
                <w:lang w:eastAsia="fr-FR"/>
              </w:rPr>
              <w:t>Ndunda</w:t>
            </w:r>
            <w:proofErr w:type="spellEnd"/>
          </w:p>
        </w:tc>
        <w:tc>
          <w:tcPr>
            <w:tcW w:w="1063" w:type="dxa"/>
          </w:tcPr>
          <w:p w14:paraId="76BEDBC2"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8</w:t>
            </w:r>
          </w:p>
        </w:tc>
        <w:tc>
          <w:tcPr>
            <w:tcW w:w="1241" w:type="dxa"/>
            <w:noWrap/>
            <w:hideMark/>
          </w:tcPr>
          <w:p w14:paraId="1301A2CE"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E</w:t>
            </w:r>
            <w:r w:rsidRPr="003C29D8">
              <w:rPr>
                <w:rFonts w:ascii="Times New Roman" w:eastAsia="Times New Roman" w:hAnsi="Times New Roman"/>
                <w:color w:val="000000"/>
                <w:sz w:val="20"/>
                <w:szCs w:val="20"/>
                <w:lang w:eastAsia="fr-FR"/>
              </w:rPr>
              <w:t>xploration</w:t>
            </w:r>
          </w:p>
        </w:tc>
      </w:tr>
      <w:tr w:rsidR="00F000B0" w:rsidRPr="003C29D8" w14:paraId="6C9E7EED"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40" w:type="dxa"/>
            <w:vMerge/>
            <w:hideMark/>
          </w:tcPr>
          <w:p w14:paraId="7371E897"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2244" w:type="dxa"/>
            <w:noWrap/>
            <w:vAlign w:val="center"/>
            <w:hideMark/>
          </w:tcPr>
          <w:p w14:paraId="73F4DAD2"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SURESTREAM</w:t>
            </w:r>
          </w:p>
        </w:tc>
        <w:tc>
          <w:tcPr>
            <w:tcW w:w="1696" w:type="dxa"/>
            <w:noWrap/>
            <w:vAlign w:val="center"/>
          </w:tcPr>
          <w:p w14:paraId="137B8EC5"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proofErr w:type="spellStart"/>
            <w:r w:rsidRPr="003C29D8">
              <w:rPr>
                <w:rFonts w:ascii="Times New Roman" w:eastAsia="Times New Roman" w:hAnsi="Times New Roman"/>
                <w:bCs/>
                <w:color w:val="000000"/>
                <w:sz w:val="20"/>
                <w:szCs w:val="20"/>
                <w:lang w:eastAsia="fr-FR"/>
              </w:rPr>
              <w:t>Yema</w:t>
            </w:r>
            <w:proofErr w:type="spellEnd"/>
            <w:r w:rsidRPr="003C29D8">
              <w:rPr>
                <w:rFonts w:ascii="Times New Roman" w:eastAsia="Times New Roman" w:hAnsi="Times New Roman"/>
                <w:bCs/>
                <w:color w:val="000000"/>
                <w:sz w:val="20"/>
                <w:szCs w:val="20"/>
                <w:lang w:eastAsia="fr-FR"/>
              </w:rPr>
              <w:t xml:space="preserve">/ </w:t>
            </w:r>
            <w:proofErr w:type="spellStart"/>
            <w:r w:rsidRPr="003C29D8">
              <w:rPr>
                <w:rFonts w:ascii="Times New Roman" w:eastAsia="Times New Roman" w:hAnsi="Times New Roman"/>
                <w:bCs/>
                <w:color w:val="000000"/>
                <w:sz w:val="20"/>
                <w:szCs w:val="20"/>
                <w:lang w:eastAsia="fr-FR"/>
              </w:rPr>
              <w:t>Matamba</w:t>
            </w:r>
            <w:proofErr w:type="spellEnd"/>
            <w:r w:rsidRPr="003C29D8">
              <w:rPr>
                <w:rFonts w:ascii="Times New Roman" w:eastAsia="Times New Roman" w:hAnsi="Times New Roman"/>
                <w:bCs/>
                <w:color w:val="000000"/>
                <w:sz w:val="20"/>
                <w:szCs w:val="20"/>
                <w:lang w:eastAsia="fr-FR"/>
              </w:rPr>
              <w:t xml:space="preserve"> </w:t>
            </w:r>
            <w:proofErr w:type="spellStart"/>
            <w:r w:rsidRPr="003C29D8">
              <w:rPr>
                <w:rFonts w:ascii="Times New Roman" w:eastAsia="Times New Roman" w:hAnsi="Times New Roman"/>
                <w:bCs/>
                <w:color w:val="000000"/>
                <w:sz w:val="20"/>
                <w:szCs w:val="20"/>
                <w:lang w:eastAsia="fr-FR"/>
              </w:rPr>
              <w:t>Makanzi</w:t>
            </w:r>
            <w:proofErr w:type="spellEnd"/>
          </w:p>
        </w:tc>
        <w:tc>
          <w:tcPr>
            <w:tcW w:w="1063" w:type="dxa"/>
            <w:vAlign w:val="center"/>
          </w:tcPr>
          <w:p w14:paraId="0620E560"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8</w:t>
            </w:r>
          </w:p>
        </w:tc>
        <w:tc>
          <w:tcPr>
            <w:tcW w:w="1241" w:type="dxa"/>
            <w:noWrap/>
            <w:vAlign w:val="center"/>
            <w:hideMark/>
          </w:tcPr>
          <w:p w14:paraId="370C4421"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E</w:t>
            </w:r>
            <w:r w:rsidRPr="003C29D8">
              <w:rPr>
                <w:rFonts w:ascii="Times New Roman" w:eastAsia="Times New Roman" w:hAnsi="Times New Roman"/>
                <w:color w:val="000000"/>
                <w:sz w:val="20"/>
                <w:szCs w:val="20"/>
                <w:lang w:eastAsia="fr-FR"/>
              </w:rPr>
              <w:t>xploration</w:t>
            </w:r>
          </w:p>
        </w:tc>
      </w:tr>
      <w:tr w:rsidR="00F000B0" w:rsidRPr="003C29D8" w14:paraId="0D26247D"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40" w:type="dxa"/>
            <w:vMerge/>
            <w:hideMark/>
          </w:tcPr>
          <w:p w14:paraId="17783B3E"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2244" w:type="dxa"/>
            <w:noWrap/>
            <w:hideMark/>
          </w:tcPr>
          <w:p w14:paraId="7A8577C9"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ENERGULF AFRICA LIMITED</w:t>
            </w:r>
          </w:p>
        </w:tc>
        <w:tc>
          <w:tcPr>
            <w:tcW w:w="1696" w:type="dxa"/>
            <w:noWrap/>
          </w:tcPr>
          <w:p w14:paraId="6D51580C"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proofErr w:type="spellStart"/>
            <w:r w:rsidRPr="003C29D8">
              <w:rPr>
                <w:rFonts w:ascii="Times New Roman" w:eastAsia="Times New Roman" w:hAnsi="Times New Roman"/>
                <w:bCs/>
                <w:color w:val="000000"/>
                <w:sz w:val="20"/>
                <w:szCs w:val="20"/>
                <w:lang w:eastAsia="fr-FR"/>
              </w:rPr>
              <w:t>Lotshi</w:t>
            </w:r>
            <w:proofErr w:type="spellEnd"/>
          </w:p>
        </w:tc>
        <w:tc>
          <w:tcPr>
            <w:tcW w:w="1063" w:type="dxa"/>
          </w:tcPr>
          <w:p w14:paraId="64ABB247"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10</w:t>
            </w:r>
          </w:p>
        </w:tc>
        <w:tc>
          <w:tcPr>
            <w:tcW w:w="1241" w:type="dxa"/>
            <w:noWrap/>
            <w:hideMark/>
          </w:tcPr>
          <w:p w14:paraId="29E3399E"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E</w:t>
            </w:r>
            <w:r w:rsidRPr="003C29D8">
              <w:rPr>
                <w:rFonts w:ascii="Times New Roman" w:eastAsia="Times New Roman" w:hAnsi="Times New Roman"/>
                <w:color w:val="000000"/>
                <w:sz w:val="20"/>
                <w:szCs w:val="20"/>
                <w:lang w:eastAsia="fr-FR"/>
              </w:rPr>
              <w:t>xploration</w:t>
            </w:r>
          </w:p>
        </w:tc>
      </w:tr>
      <w:tr w:rsidR="00F000B0" w:rsidRPr="003C29D8" w14:paraId="72C5F321"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40" w:type="dxa"/>
            <w:vMerge/>
            <w:hideMark/>
          </w:tcPr>
          <w:p w14:paraId="0B528AD5"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2244" w:type="dxa"/>
            <w:noWrap/>
            <w:hideMark/>
          </w:tcPr>
          <w:p w14:paraId="78A4C26D"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Pr>
                <w:rFonts w:ascii="Times New Roman" w:eastAsia="Times New Roman" w:hAnsi="Times New Roman"/>
                <w:bCs/>
                <w:color w:val="000000"/>
                <w:sz w:val="20"/>
                <w:szCs w:val="20"/>
                <w:lang w:eastAsia="fr-FR"/>
              </w:rPr>
              <w:t>SOCO E&amp;P RDC</w:t>
            </w:r>
            <w:r>
              <w:rPr>
                <w:rStyle w:val="Appelnotedebasdep"/>
                <w:rFonts w:ascii="Times New Roman" w:eastAsia="Times New Roman" w:hAnsi="Times New Roman"/>
                <w:bCs/>
                <w:color w:val="000000"/>
                <w:sz w:val="20"/>
                <w:szCs w:val="20"/>
                <w:lang w:eastAsia="fr-FR"/>
              </w:rPr>
              <w:footnoteReference w:id="34"/>
            </w:r>
          </w:p>
        </w:tc>
        <w:tc>
          <w:tcPr>
            <w:tcW w:w="1696" w:type="dxa"/>
            <w:noWrap/>
          </w:tcPr>
          <w:p w14:paraId="63C3C083" w14:textId="52FA1A90" w:rsidR="00F000B0" w:rsidRPr="003C29D8" w:rsidRDefault="00B3254B"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Pr>
                <w:rFonts w:ascii="Times New Roman" w:eastAsia="Times New Roman" w:hAnsi="Times New Roman"/>
                <w:bCs/>
                <w:color w:val="000000"/>
                <w:sz w:val="20"/>
                <w:szCs w:val="20"/>
                <w:lang w:eastAsia="fr-FR"/>
              </w:rPr>
              <w:t>Bloc 5</w:t>
            </w:r>
          </w:p>
        </w:tc>
        <w:tc>
          <w:tcPr>
            <w:tcW w:w="1063" w:type="dxa"/>
          </w:tcPr>
          <w:p w14:paraId="67BD579A"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10</w:t>
            </w:r>
          </w:p>
        </w:tc>
        <w:tc>
          <w:tcPr>
            <w:tcW w:w="1241" w:type="dxa"/>
            <w:noWrap/>
            <w:hideMark/>
          </w:tcPr>
          <w:p w14:paraId="65D68C01"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E</w:t>
            </w:r>
            <w:r w:rsidRPr="003C29D8">
              <w:rPr>
                <w:rFonts w:ascii="Times New Roman" w:eastAsia="Times New Roman" w:hAnsi="Times New Roman"/>
                <w:color w:val="000000"/>
                <w:sz w:val="20"/>
                <w:szCs w:val="20"/>
                <w:lang w:eastAsia="fr-FR"/>
              </w:rPr>
              <w:t>xploration</w:t>
            </w:r>
          </w:p>
        </w:tc>
      </w:tr>
    </w:tbl>
    <w:p w14:paraId="2F0D20FD" w14:textId="77777777" w:rsidR="00F000B0" w:rsidRPr="00AA5351" w:rsidRDefault="00F000B0" w:rsidP="00F000B0">
      <w:pPr>
        <w:pStyle w:val="Paragraphedeliste"/>
        <w:jc w:val="both"/>
        <w:rPr>
          <w:rFonts w:ascii="Times New Roman" w:hAnsi="Times New Roman" w:cs="Times New Roman"/>
          <w:sz w:val="24"/>
          <w:szCs w:val="24"/>
        </w:rPr>
      </w:pPr>
    </w:p>
    <w:p w14:paraId="25B7683F" w14:textId="68857707" w:rsidR="00F000B0" w:rsidRPr="00AA5351" w:rsidRDefault="00447514" w:rsidP="00943F67">
      <w:pPr>
        <w:ind w:firstLine="426"/>
        <w:jc w:val="both"/>
        <w:rPr>
          <w:rFonts w:ascii="Times New Roman" w:hAnsi="Times New Roman"/>
          <w:sz w:val="24"/>
          <w:szCs w:val="24"/>
        </w:rPr>
      </w:pPr>
      <w:r>
        <w:rPr>
          <w:rFonts w:ascii="Times New Roman" w:hAnsi="Times New Roman"/>
          <w:b/>
          <w:noProof/>
          <w:sz w:val="24"/>
          <w:szCs w:val="24"/>
          <w:lang w:eastAsia="fr-FR"/>
        </w:rPr>
        <mc:AlternateContent>
          <mc:Choice Requires="wps">
            <w:drawing>
              <wp:anchor distT="0" distB="0" distL="114300" distR="114300" simplePos="0" relativeHeight="251668480" behindDoc="0" locked="0" layoutInCell="1" allowOverlap="1" wp14:anchorId="7F972C57" wp14:editId="297483E9">
                <wp:simplePos x="0" y="0"/>
                <wp:positionH relativeFrom="column">
                  <wp:posOffset>314643</wp:posOffset>
                </wp:positionH>
                <wp:positionV relativeFrom="paragraph">
                  <wp:posOffset>6350</wp:posOffset>
                </wp:positionV>
                <wp:extent cx="5319712" cy="657225"/>
                <wp:effectExtent l="0" t="0" r="14605" b="28575"/>
                <wp:wrapNone/>
                <wp:docPr id="20" name="Zone de texte 20"/>
                <wp:cNvGraphicFramePr/>
                <a:graphic xmlns:a="http://schemas.openxmlformats.org/drawingml/2006/main">
                  <a:graphicData uri="http://schemas.microsoft.com/office/word/2010/wordprocessingShape">
                    <wps:wsp>
                      <wps:cNvSpPr txBox="1"/>
                      <wps:spPr>
                        <a:xfrm>
                          <a:off x="0" y="0"/>
                          <a:ext cx="5319712" cy="657225"/>
                        </a:xfrm>
                        <a:prstGeom prst="rect">
                          <a:avLst/>
                        </a:prstGeom>
                        <a:solidFill>
                          <a:schemeClr val="accent4">
                            <a:lumMod val="20000"/>
                            <a:lumOff val="80000"/>
                          </a:schemeClr>
                        </a:solidFill>
                        <a:ln w="6350">
                          <a:solidFill>
                            <a:schemeClr val="accent4">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7211FC0" w14:textId="77777777" w:rsidR="00E357DF" w:rsidRDefault="00E357DF">
                            <w:pPr>
                              <w:rPr>
                                <w:rFonts w:ascii="Times New Roman" w:hAnsi="Times New Roman"/>
                                <w:sz w:val="24"/>
                                <w:szCs w:val="24"/>
                              </w:rPr>
                            </w:pPr>
                            <w:r w:rsidRPr="003C29D8">
                              <w:rPr>
                                <w:rFonts w:ascii="Times New Roman" w:hAnsi="Times New Roman"/>
                                <w:b/>
                                <w:sz w:val="24"/>
                                <w:szCs w:val="24"/>
                              </w:rPr>
                              <w:t>Note</w:t>
                            </w:r>
                            <w:r>
                              <w:rPr>
                                <w:rFonts w:ascii="Times New Roman" w:hAnsi="Times New Roman"/>
                                <w:sz w:val="24"/>
                                <w:szCs w:val="24"/>
                              </w:rPr>
                              <w:t xml:space="preserve"> : </w:t>
                            </w:r>
                          </w:p>
                          <w:p w14:paraId="4E969774" w14:textId="7CCBF132" w:rsidR="00E357DF" w:rsidRPr="00447514" w:rsidRDefault="00E357DF">
                            <w:r w:rsidRPr="00447514">
                              <w:rPr>
                                <w:rFonts w:ascii="Times New Roman" w:hAnsi="Times New Roman"/>
                                <w:sz w:val="24"/>
                                <w:szCs w:val="24"/>
                              </w:rPr>
                              <w:t>Aucune modification dans la participation n’est intervenue entre 2015 et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972C57" id="Zone de texte 20" o:spid="_x0000_s1040" type="#_x0000_t202" style="position:absolute;left:0;text-align:left;margin-left:24.8pt;margin-top:.5pt;width:418.85pt;height:51.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" fillcolor="#fff2cc [663]" strokecolor="#fff2cc [663]" strokeweight=".5pt">
                <v:textbox>
                  <w:txbxContent>
                    <w:p w14:paraId="67211FC0" w14:textId="77777777" w:rsidR="00E357DF" w:rsidRDefault="00E357DF">
                      <w:pPr>
                        <w:rPr>
                          <w:rFonts w:ascii="Times New Roman" w:hAnsi="Times New Roman"/>
                          <w:sz w:val="24"/>
                          <w:szCs w:val="24"/>
                        </w:rPr>
                      </w:pPr>
                      <w:r w:rsidRPr="003C29D8">
                        <w:rPr>
                          <w:rFonts w:ascii="Times New Roman" w:hAnsi="Times New Roman"/>
                          <w:b/>
                          <w:sz w:val="24"/>
                          <w:szCs w:val="24"/>
                        </w:rPr>
                        <w:t>Note</w:t>
                      </w:r>
                      <w:r>
                        <w:rPr>
                          <w:rFonts w:ascii="Times New Roman" w:hAnsi="Times New Roman"/>
                          <w:sz w:val="24"/>
                          <w:szCs w:val="24"/>
                        </w:rPr>
                        <w:t xml:space="preserve"> : </w:t>
                      </w:r>
                    </w:p>
                    <w:p w14:paraId="4E969774" w14:textId="7CCBF132" w:rsidR="00E357DF" w:rsidRPr="00447514" w:rsidRDefault="00E357DF">
                      <w:r w:rsidRPr="00447514">
                        <w:rPr>
                          <w:rFonts w:ascii="Times New Roman" w:hAnsi="Times New Roman"/>
                          <w:sz w:val="24"/>
                          <w:szCs w:val="24"/>
                        </w:rPr>
                        <w:t>Aucune modification dans la participation n’est intervenue entre 2015 et 2016.</w:t>
                      </w:r>
                    </w:p>
                  </w:txbxContent>
                </v:textbox>
              </v:shape>
            </w:pict>
          </mc:Fallback>
        </mc:AlternateContent>
      </w:r>
    </w:p>
    <w:p w14:paraId="5B9A6385" w14:textId="77777777" w:rsidR="00447514" w:rsidRDefault="00447514">
      <w:pPr>
        <w:rPr>
          <w:rFonts w:ascii="Times New Roman" w:eastAsiaTheme="minorHAnsi" w:hAnsi="Times New Roman"/>
          <w:b/>
          <w:sz w:val="24"/>
          <w:szCs w:val="24"/>
          <w:u w:val="single"/>
        </w:rPr>
      </w:pPr>
      <w:r>
        <w:rPr>
          <w:rFonts w:ascii="Times New Roman" w:hAnsi="Times New Roman"/>
          <w:b/>
          <w:sz w:val="24"/>
          <w:szCs w:val="24"/>
          <w:u w:val="single"/>
        </w:rPr>
        <w:br w:type="page"/>
      </w:r>
    </w:p>
    <w:p w14:paraId="082706AB" w14:textId="506F5EF3" w:rsidR="00F000B0" w:rsidRPr="003C29D8" w:rsidRDefault="00F000B0" w:rsidP="00F000B0">
      <w:pPr>
        <w:pStyle w:val="Paragraphedeliste"/>
        <w:ind w:left="426"/>
        <w:jc w:val="both"/>
        <w:rPr>
          <w:rFonts w:ascii="Times New Roman" w:hAnsi="Times New Roman" w:cs="Times New Roman"/>
          <w:b/>
          <w:sz w:val="24"/>
          <w:szCs w:val="24"/>
          <w:u w:val="single"/>
        </w:rPr>
      </w:pPr>
      <w:r w:rsidRPr="003C29D8">
        <w:rPr>
          <w:rFonts w:ascii="Times New Roman" w:hAnsi="Times New Roman" w:cs="Times New Roman"/>
          <w:b/>
          <w:sz w:val="24"/>
          <w:szCs w:val="24"/>
          <w:u w:val="single"/>
        </w:rPr>
        <w:lastRenderedPageBreak/>
        <w:t>Secteur minier</w:t>
      </w:r>
    </w:p>
    <w:p w14:paraId="5C377010" w14:textId="77777777" w:rsidR="00F000B0" w:rsidRPr="00AA5351" w:rsidRDefault="0028787E" w:rsidP="00F000B0">
      <w:pPr>
        <w:ind w:left="426"/>
        <w:jc w:val="both"/>
        <w:rPr>
          <w:rFonts w:ascii="Times New Roman" w:hAnsi="Times New Roman"/>
          <w:sz w:val="24"/>
          <w:szCs w:val="24"/>
        </w:rPr>
      </w:pPr>
      <w:r w:rsidRPr="00AA5351">
        <w:rPr>
          <w:rFonts w:ascii="Times New Roman" w:hAnsi="Times New Roman"/>
          <w:sz w:val="24"/>
          <w:szCs w:val="24"/>
        </w:rPr>
        <w:t>Les participations communiquées par le Ministère du Portefeuille et les EPE</w:t>
      </w:r>
      <w:r w:rsidR="00F000B0" w:rsidRPr="00AA5351">
        <w:rPr>
          <w:rFonts w:ascii="Times New Roman" w:hAnsi="Times New Roman"/>
          <w:sz w:val="24"/>
          <w:szCs w:val="24"/>
        </w:rPr>
        <w:t xml:space="preserve"> minières  sont résumées dans le tableau suivant : </w:t>
      </w:r>
    </w:p>
    <w:tbl>
      <w:tblPr>
        <w:tblStyle w:val="TableauGrille1Clair1"/>
        <w:tblW w:w="8864" w:type="dxa"/>
        <w:tblInd w:w="675" w:type="dxa"/>
        <w:tblLook w:val="04A0" w:firstRow="1" w:lastRow="0" w:firstColumn="1" w:lastColumn="0" w:noHBand="0" w:noVBand="1"/>
      </w:tblPr>
      <w:tblGrid>
        <w:gridCol w:w="1920"/>
        <w:gridCol w:w="4454"/>
        <w:gridCol w:w="1240"/>
        <w:gridCol w:w="1250"/>
      </w:tblGrid>
      <w:tr w:rsidR="00F000B0" w:rsidRPr="007D6F12" w14:paraId="4170239E" w14:textId="77777777" w:rsidTr="00943F67">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1920" w:type="dxa"/>
            <w:noWrap/>
            <w:vAlign w:val="center"/>
          </w:tcPr>
          <w:p w14:paraId="55D2FA84" w14:textId="77777777" w:rsidR="00F000B0" w:rsidRPr="007D6F12" w:rsidRDefault="00F000B0" w:rsidP="00943F67">
            <w:pPr>
              <w:jc w:val="center"/>
              <w:rPr>
                <w:rFonts w:ascii="Times New Roman" w:eastAsia="Times New Roman" w:hAnsi="Times New Roman"/>
                <w:bCs w:val="0"/>
                <w:color w:val="000000"/>
                <w:sz w:val="20"/>
                <w:szCs w:val="20"/>
                <w:lang w:eastAsia="fr-FR"/>
              </w:rPr>
            </w:pPr>
            <w:r w:rsidRPr="007D6F12">
              <w:rPr>
                <w:rFonts w:ascii="Times New Roman" w:eastAsia="Times New Roman" w:hAnsi="Times New Roman"/>
                <w:bCs w:val="0"/>
                <w:color w:val="000000"/>
                <w:sz w:val="20"/>
                <w:szCs w:val="20"/>
                <w:lang w:eastAsia="fr-FR"/>
              </w:rPr>
              <w:t>Nom de l’EPE</w:t>
            </w:r>
          </w:p>
        </w:tc>
        <w:tc>
          <w:tcPr>
            <w:tcW w:w="4454" w:type="dxa"/>
            <w:noWrap/>
            <w:vAlign w:val="center"/>
          </w:tcPr>
          <w:p w14:paraId="19E17897" w14:textId="77777777" w:rsidR="00F000B0" w:rsidRPr="007D6F12" w:rsidRDefault="00F000B0" w:rsidP="00943F6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color w:val="000000"/>
                <w:sz w:val="20"/>
                <w:szCs w:val="20"/>
                <w:lang w:eastAsia="fr-FR"/>
              </w:rPr>
            </w:pPr>
            <w:r w:rsidRPr="007D6F12">
              <w:rPr>
                <w:rFonts w:ascii="Times New Roman" w:eastAsia="Times New Roman" w:hAnsi="Times New Roman"/>
                <w:bCs w:val="0"/>
                <w:color w:val="000000"/>
                <w:sz w:val="20"/>
                <w:szCs w:val="20"/>
                <w:lang w:eastAsia="fr-FR"/>
              </w:rPr>
              <w:t>Nom de la JV</w:t>
            </w:r>
          </w:p>
        </w:tc>
        <w:tc>
          <w:tcPr>
            <w:tcW w:w="1240" w:type="dxa"/>
            <w:noWrap/>
            <w:vAlign w:val="center"/>
          </w:tcPr>
          <w:p w14:paraId="79DBFC23" w14:textId="77777777" w:rsidR="00F000B0" w:rsidRPr="007D6F12" w:rsidRDefault="00F000B0" w:rsidP="00943F6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color w:val="000000"/>
                <w:sz w:val="20"/>
                <w:szCs w:val="20"/>
                <w:lang w:eastAsia="fr-FR"/>
              </w:rPr>
            </w:pPr>
            <w:r w:rsidRPr="007D6F12">
              <w:rPr>
                <w:rFonts w:ascii="Times New Roman" w:eastAsia="Times New Roman" w:hAnsi="Times New Roman"/>
                <w:bCs w:val="0"/>
                <w:color w:val="000000"/>
                <w:sz w:val="20"/>
                <w:szCs w:val="20"/>
                <w:lang w:eastAsia="fr-FR"/>
              </w:rPr>
              <w:t>Parts détenues</w:t>
            </w:r>
          </w:p>
        </w:tc>
        <w:tc>
          <w:tcPr>
            <w:tcW w:w="1250" w:type="dxa"/>
            <w:vAlign w:val="center"/>
          </w:tcPr>
          <w:p w14:paraId="0764CF44" w14:textId="77777777" w:rsidR="00F000B0" w:rsidRPr="007D6F12" w:rsidRDefault="00F000B0" w:rsidP="00943F6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color w:val="000000"/>
                <w:sz w:val="20"/>
                <w:szCs w:val="20"/>
                <w:lang w:eastAsia="fr-FR"/>
              </w:rPr>
            </w:pPr>
            <w:r w:rsidRPr="007D6F12">
              <w:rPr>
                <w:rFonts w:ascii="Times New Roman" w:eastAsia="Times New Roman" w:hAnsi="Times New Roman"/>
                <w:bCs w:val="0"/>
                <w:color w:val="000000"/>
                <w:sz w:val="20"/>
                <w:szCs w:val="20"/>
                <w:lang w:eastAsia="fr-FR"/>
              </w:rPr>
              <w:t>Phase</w:t>
            </w:r>
          </w:p>
        </w:tc>
      </w:tr>
      <w:tr w:rsidR="00F000B0" w:rsidRPr="003C29D8" w14:paraId="24BA9510"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val="restart"/>
            <w:noWrap/>
            <w:hideMark/>
          </w:tcPr>
          <w:p w14:paraId="06133BEB" w14:textId="77777777" w:rsidR="00F000B0" w:rsidRPr="003C29D8" w:rsidRDefault="00F000B0" w:rsidP="00F000B0">
            <w:pPr>
              <w:jc w:val="both"/>
              <w:rPr>
                <w:rFonts w:ascii="Times New Roman" w:eastAsia="Times New Roman" w:hAnsi="Times New Roman"/>
                <w:b w:val="0"/>
                <w:color w:val="000000"/>
                <w:sz w:val="20"/>
                <w:szCs w:val="20"/>
                <w:lang w:eastAsia="fr-FR"/>
              </w:rPr>
            </w:pPr>
            <w:r w:rsidRPr="003C29D8">
              <w:rPr>
                <w:rFonts w:ascii="Times New Roman" w:eastAsia="Times New Roman" w:hAnsi="Times New Roman"/>
                <w:b w:val="0"/>
                <w:color w:val="000000"/>
                <w:sz w:val="20"/>
                <w:szCs w:val="20"/>
                <w:lang w:eastAsia="fr-FR"/>
              </w:rPr>
              <w:t>GECAMINES</w:t>
            </w:r>
          </w:p>
        </w:tc>
        <w:tc>
          <w:tcPr>
            <w:tcW w:w="4454" w:type="dxa"/>
            <w:noWrap/>
            <w:hideMark/>
          </w:tcPr>
          <w:p w14:paraId="2AEE5FD8"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BOSS MINING</w:t>
            </w:r>
          </w:p>
        </w:tc>
        <w:tc>
          <w:tcPr>
            <w:tcW w:w="1240" w:type="dxa"/>
            <w:noWrap/>
            <w:hideMark/>
          </w:tcPr>
          <w:p w14:paraId="15DFA129"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20</w:t>
            </w:r>
          </w:p>
        </w:tc>
        <w:tc>
          <w:tcPr>
            <w:tcW w:w="1250" w:type="dxa"/>
          </w:tcPr>
          <w:p w14:paraId="3F366482"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Production</w:t>
            </w:r>
          </w:p>
        </w:tc>
      </w:tr>
      <w:tr w:rsidR="00F000B0" w:rsidRPr="003C29D8" w14:paraId="2A3C0D98"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24F54561"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70736769"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SOCIETE D'EXPLOITATION DE SHAMITUMBA</w:t>
            </w:r>
          </w:p>
        </w:tc>
        <w:tc>
          <w:tcPr>
            <w:tcW w:w="1240" w:type="dxa"/>
            <w:noWrap/>
            <w:hideMark/>
          </w:tcPr>
          <w:p w14:paraId="16532ACC"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30</w:t>
            </w:r>
          </w:p>
        </w:tc>
        <w:tc>
          <w:tcPr>
            <w:tcW w:w="1250" w:type="dxa"/>
          </w:tcPr>
          <w:p w14:paraId="0F9D8D22"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Pr>
                <w:rFonts w:ascii="Times New Roman" w:eastAsia="Times New Roman" w:hAnsi="Times New Roman"/>
                <w:bCs/>
                <w:color w:val="000000"/>
                <w:sz w:val="20"/>
                <w:szCs w:val="20"/>
                <w:lang w:eastAsia="fr-FR"/>
              </w:rPr>
              <w:t>E</w:t>
            </w:r>
            <w:r w:rsidRPr="003C29D8">
              <w:rPr>
                <w:rFonts w:ascii="Times New Roman" w:eastAsia="Times New Roman" w:hAnsi="Times New Roman"/>
                <w:bCs/>
                <w:color w:val="000000"/>
                <w:sz w:val="20"/>
                <w:szCs w:val="20"/>
                <w:lang w:eastAsia="fr-FR"/>
              </w:rPr>
              <w:t>xploration</w:t>
            </w:r>
          </w:p>
        </w:tc>
      </w:tr>
      <w:tr w:rsidR="00F000B0" w:rsidRPr="003C29D8" w14:paraId="3D4F9145"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5CE25B8E"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72DF4088"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CMT SPRL</w:t>
            </w:r>
          </w:p>
        </w:tc>
        <w:tc>
          <w:tcPr>
            <w:tcW w:w="1240" w:type="dxa"/>
            <w:noWrap/>
            <w:hideMark/>
          </w:tcPr>
          <w:p w14:paraId="79BB9B76"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30</w:t>
            </w:r>
          </w:p>
        </w:tc>
        <w:tc>
          <w:tcPr>
            <w:tcW w:w="1250" w:type="dxa"/>
          </w:tcPr>
          <w:p w14:paraId="2D47FA06"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Pr>
                <w:rFonts w:ascii="Times New Roman" w:eastAsia="Times New Roman" w:hAnsi="Times New Roman"/>
                <w:bCs/>
                <w:color w:val="000000"/>
                <w:sz w:val="20"/>
                <w:szCs w:val="20"/>
                <w:lang w:eastAsia="fr-FR"/>
              </w:rPr>
              <w:t>E</w:t>
            </w:r>
            <w:r w:rsidRPr="003C29D8">
              <w:rPr>
                <w:rFonts w:ascii="Times New Roman" w:eastAsia="Times New Roman" w:hAnsi="Times New Roman"/>
                <w:bCs/>
                <w:color w:val="000000"/>
                <w:sz w:val="20"/>
                <w:szCs w:val="20"/>
                <w:lang w:eastAsia="fr-FR"/>
              </w:rPr>
              <w:t>xploration</w:t>
            </w:r>
          </w:p>
        </w:tc>
      </w:tr>
      <w:tr w:rsidR="00F000B0" w:rsidRPr="003C29D8" w14:paraId="3FAEF250"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3084DCC8"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7416C0E4"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COMIKA SPRL</w:t>
            </w:r>
          </w:p>
        </w:tc>
        <w:tc>
          <w:tcPr>
            <w:tcW w:w="1240" w:type="dxa"/>
            <w:noWrap/>
            <w:hideMark/>
          </w:tcPr>
          <w:p w14:paraId="27F2DBAC"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30</w:t>
            </w:r>
          </w:p>
        </w:tc>
        <w:tc>
          <w:tcPr>
            <w:tcW w:w="1250" w:type="dxa"/>
          </w:tcPr>
          <w:p w14:paraId="2AE21E3E"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Production</w:t>
            </w:r>
          </w:p>
        </w:tc>
      </w:tr>
      <w:tr w:rsidR="00F000B0" w:rsidRPr="003C29D8" w14:paraId="3E00F423"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3592ACF9"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570291FD"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COMILU SPRL</w:t>
            </w:r>
          </w:p>
        </w:tc>
        <w:tc>
          <w:tcPr>
            <w:tcW w:w="1240" w:type="dxa"/>
            <w:noWrap/>
            <w:hideMark/>
          </w:tcPr>
          <w:p w14:paraId="18A78655"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28</w:t>
            </w:r>
          </w:p>
        </w:tc>
        <w:tc>
          <w:tcPr>
            <w:tcW w:w="1250" w:type="dxa"/>
          </w:tcPr>
          <w:p w14:paraId="6DD9222C"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Production</w:t>
            </w:r>
          </w:p>
        </w:tc>
      </w:tr>
      <w:tr w:rsidR="00F000B0" w:rsidRPr="003C29D8" w14:paraId="23BB0E88"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45A2A9D2"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0C59C598"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COMMUS SPRL</w:t>
            </w:r>
          </w:p>
        </w:tc>
        <w:tc>
          <w:tcPr>
            <w:tcW w:w="1240" w:type="dxa"/>
            <w:noWrap/>
            <w:hideMark/>
          </w:tcPr>
          <w:p w14:paraId="6AFE05B3"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28</w:t>
            </w:r>
          </w:p>
        </w:tc>
        <w:tc>
          <w:tcPr>
            <w:tcW w:w="1250" w:type="dxa"/>
          </w:tcPr>
          <w:p w14:paraId="2E2D87AF"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Exploration</w:t>
            </w:r>
          </w:p>
        </w:tc>
      </w:tr>
      <w:tr w:rsidR="00F000B0" w:rsidRPr="003C29D8" w14:paraId="7D498CF8"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5A293598"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79F9FF47"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GTL SPRL</w:t>
            </w:r>
          </w:p>
        </w:tc>
        <w:tc>
          <w:tcPr>
            <w:tcW w:w="1240" w:type="dxa"/>
            <w:noWrap/>
            <w:hideMark/>
          </w:tcPr>
          <w:p w14:paraId="06C338B0"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30</w:t>
            </w:r>
          </w:p>
        </w:tc>
        <w:tc>
          <w:tcPr>
            <w:tcW w:w="1250" w:type="dxa"/>
          </w:tcPr>
          <w:p w14:paraId="0A626F03"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Production</w:t>
            </w:r>
          </w:p>
        </w:tc>
      </w:tr>
      <w:tr w:rsidR="00F000B0" w:rsidRPr="003C29D8" w14:paraId="03F7FD38"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09B1FFDB"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0CB12E7B"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KCC SARL</w:t>
            </w:r>
          </w:p>
        </w:tc>
        <w:tc>
          <w:tcPr>
            <w:tcW w:w="1240" w:type="dxa"/>
            <w:noWrap/>
            <w:hideMark/>
          </w:tcPr>
          <w:p w14:paraId="0450E7D3"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20</w:t>
            </w:r>
          </w:p>
        </w:tc>
        <w:tc>
          <w:tcPr>
            <w:tcW w:w="1250" w:type="dxa"/>
          </w:tcPr>
          <w:p w14:paraId="2EDA338A"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Production</w:t>
            </w:r>
          </w:p>
        </w:tc>
      </w:tr>
      <w:tr w:rsidR="00F000B0" w:rsidRPr="003C29D8" w14:paraId="1492BCB3"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5BB9F6C7"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083D1B4B"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KICO SARL</w:t>
            </w:r>
          </w:p>
        </w:tc>
        <w:tc>
          <w:tcPr>
            <w:tcW w:w="1240" w:type="dxa"/>
            <w:noWrap/>
            <w:hideMark/>
          </w:tcPr>
          <w:p w14:paraId="2B4CCE69"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32</w:t>
            </w:r>
          </w:p>
        </w:tc>
        <w:tc>
          <w:tcPr>
            <w:tcW w:w="1250" w:type="dxa"/>
          </w:tcPr>
          <w:p w14:paraId="3C975488"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Construction</w:t>
            </w:r>
          </w:p>
        </w:tc>
      </w:tr>
      <w:tr w:rsidR="00F000B0" w:rsidRPr="003C29D8" w14:paraId="0BE66383"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5C5DE9F4"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19E5280F"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KIMIN SPRL</w:t>
            </w:r>
          </w:p>
        </w:tc>
        <w:tc>
          <w:tcPr>
            <w:tcW w:w="1240" w:type="dxa"/>
            <w:noWrap/>
            <w:hideMark/>
          </w:tcPr>
          <w:p w14:paraId="073E88F1"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30</w:t>
            </w:r>
          </w:p>
        </w:tc>
        <w:tc>
          <w:tcPr>
            <w:tcW w:w="1250" w:type="dxa"/>
          </w:tcPr>
          <w:p w14:paraId="05182F97"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Pr>
                <w:rFonts w:ascii="Times New Roman" w:eastAsia="Times New Roman" w:hAnsi="Times New Roman"/>
                <w:bCs/>
                <w:color w:val="000000"/>
                <w:sz w:val="20"/>
                <w:szCs w:val="20"/>
                <w:lang w:eastAsia="fr-FR"/>
              </w:rPr>
              <w:t>P</w:t>
            </w:r>
            <w:r w:rsidRPr="003C29D8">
              <w:rPr>
                <w:rFonts w:ascii="Times New Roman" w:eastAsia="Times New Roman" w:hAnsi="Times New Roman"/>
                <w:bCs/>
                <w:color w:val="000000"/>
                <w:sz w:val="20"/>
                <w:szCs w:val="20"/>
                <w:lang w:eastAsia="fr-FR"/>
              </w:rPr>
              <w:t>roduction</w:t>
            </w:r>
          </w:p>
        </w:tc>
      </w:tr>
      <w:tr w:rsidR="00F000B0" w:rsidRPr="003C29D8" w14:paraId="79F2B677"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20846026"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11695731"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MKM SPRL</w:t>
            </w:r>
          </w:p>
        </w:tc>
        <w:tc>
          <w:tcPr>
            <w:tcW w:w="1240" w:type="dxa"/>
            <w:noWrap/>
            <w:hideMark/>
          </w:tcPr>
          <w:p w14:paraId="1142ADEC"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19,8</w:t>
            </w:r>
          </w:p>
        </w:tc>
        <w:tc>
          <w:tcPr>
            <w:tcW w:w="1250" w:type="dxa"/>
          </w:tcPr>
          <w:p w14:paraId="4616F646"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Production</w:t>
            </w:r>
          </w:p>
        </w:tc>
      </w:tr>
      <w:tr w:rsidR="00F000B0" w:rsidRPr="003C29D8" w14:paraId="3555AAAF"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6F4EE7AB"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411A6F73"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MIKAS</w:t>
            </w:r>
          </w:p>
        </w:tc>
        <w:tc>
          <w:tcPr>
            <w:tcW w:w="1240" w:type="dxa"/>
            <w:noWrap/>
            <w:hideMark/>
          </w:tcPr>
          <w:p w14:paraId="2E327102"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28</w:t>
            </w:r>
          </w:p>
        </w:tc>
        <w:tc>
          <w:tcPr>
            <w:tcW w:w="1250" w:type="dxa"/>
          </w:tcPr>
          <w:p w14:paraId="60263896"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Production</w:t>
            </w:r>
          </w:p>
        </w:tc>
      </w:tr>
      <w:tr w:rsidR="00F000B0" w:rsidRPr="003C29D8" w14:paraId="26372BC2"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3281CD66"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38B18305"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RM SRL</w:t>
            </w:r>
          </w:p>
        </w:tc>
        <w:tc>
          <w:tcPr>
            <w:tcW w:w="1240" w:type="dxa"/>
            <w:noWrap/>
            <w:hideMark/>
          </w:tcPr>
          <w:p w14:paraId="0CFC1CCE"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25</w:t>
            </w:r>
          </w:p>
        </w:tc>
        <w:tc>
          <w:tcPr>
            <w:tcW w:w="1250" w:type="dxa"/>
          </w:tcPr>
          <w:p w14:paraId="3EE9B0FA"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Pr>
                <w:rFonts w:ascii="Times New Roman" w:eastAsia="Times New Roman" w:hAnsi="Times New Roman"/>
                <w:bCs/>
                <w:color w:val="000000"/>
                <w:sz w:val="20"/>
                <w:szCs w:val="20"/>
                <w:lang w:eastAsia="fr-FR"/>
              </w:rPr>
              <w:t>P</w:t>
            </w:r>
            <w:r w:rsidRPr="003C29D8">
              <w:rPr>
                <w:rFonts w:ascii="Times New Roman" w:eastAsia="Times New Roman" w:hAnsi="Times New Roman"/>
                <w:bCs/>
                <w:color w:val="000000"/>
                <w:sz w:val="20"/>
                <w:szCs w:val="20"/>
                <w:lang w:eastAsia="fr-FR"/>
              </w:rPr>
              <w:t>roduction</w:t>
            </w:r>
          </w:p>
        </w:tc>
      </w:tr>
      <w:tr w:rsidR="00F000B0" w:rsidRPr="003C29D8" w14:paraId="466CE26F"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2D966926"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7E4CAF11"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SECAKAT SPRL</w:t>
            </w:r>
          </w:p>
        </w:tc>
        <w:tc>
          <w:tcPr>
            <w:tcW w:w="1240" w:type="dxa"/>
            <w:noWrap/>
            <w:hideMark/>
          </w:tcPr>
          <w:p w14:paraId="5EE51E54"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30</w:t>
            </w:r>
          </w:p>
        </w:tc>
        <w:tc>
          <w:tcPr>
            <w:tcW w:w="1250" w:type="dxa"/>
          </w:tcPr>
          <w:p w14:paraId="16C95FCC"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Pr>
                <w:rFonts w:ascii="Times New Roman" w:eastAsia="Times New Roman" w:hAnsi="Times New Roman"/>
                <w:bCs/>
                <w:color w:val="000000"/>
                <w:sz w:val="20"/>
                <w:szCs w:val="20"/>
                <w:lang w:eastAsia="fr-FR"/>
              </w:rPr>
              <w:t>E</w:t>
            </w:r>
            <w:r w:rsidRPr="003C29D8">
              <w:rPr>
                <w:rFonts w:ascii="Times New Roman" w:eastAsia="Times New Roman" w:hAnsi="Times New Roman"/>
                <w:bCs/>
                <w:color w:val="000000"/>
                <w:sz w:val="20"/>
                <w:szCs w:val="20"/>
                <w:lang w:eastAsia="fr-FR"/>
              </w:rPr>
              <w:t>xploration</w:t>
            </w:r>
          </w:p>
        </w:tc>
      </w:tr>
      <w:tr w:rsidR="00F000B0" w:rsidRPr="003C29D8" w14:paraId="7123FA98"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5A37A78C"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24237CEE"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SICOMNES SARL</w:t>
            </w:r>
          </w:p>
        </w:tc>
        <w:tc>
          <w:tcPr>
            <w:tcW w:w="1240" w:type="dxa"/>
            <w:noWrap/>
            <w:hideMark/>
          </w:tcPr>
          <w:p w14:paraId="007C6C7D"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32</w:t>
            </w:r>
          </w:p>
        </w:tc>
        <w:tc>
          <w:tcPr>
            <w:tcW w:w="1250" w:type="dxa"/>
          </w:tcPr>
          <w:p w14:paraId="405AA976"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Production</w:t>
            </w:r>
          </w:p>
        </w:tc>
      </w:tr>
      <w:tr w:rsidR="00F000B0" w:rsidRPr="003C29D8" w14:paraId="2257ED24"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0C517FA6"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2D9AC278"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SIMCO SPRL</w:t>
            </w:r>
          </w:p>
        </w:tc>
        <w:tc>
          <w:tcPr>
            <w:tcW w:w="1240" w:type="dxa"/>
            <w:noWrap/>
            <w:hideMark/>
          </w:tcPr>
          <w:p w14:paraId="25235428"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99</w:t>
            </w:r>
          </w:p>
        </w:tc>
        <w:tc>
          <w:tcPr>
            <w:tcW w:w="1250" w:type="dxa"/>
          </w:tcPr>
          <w:p w14:paraId="57603ED9"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p>
        </w:tc>
      </w:tr>
      <w:tr w:rsidR="00F000B0" w:rsidRPr="003C29D8" w14:paraId="42B480AB"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22313D8B"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5612D191"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SMCO SPRL</w:t>
            </w:r>
          </w:p>
        </w:tc>
        <w:tc>
          <w:tcPr>
            <w:tcW w:w="1240" w:type="dxa"/>
            <w:noWrap/>
            <w:hideMark/>
          </w:tcPr>
          <w:p w14:paraId="2AFE79E0"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27,5</w:t>
            </w:r>
          </w:p>
        </w:tc>
        <w:tc>
          <w:tcPr>
            <w:tcW w:w="1250" w:type="dxa"/>
          </w:tcPr>
          <w:p w14:paraId="7F9643D0"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Production</w:t>
            </w:r>
          </w:p>
        </w:tc>
      </w:tr>
      <w:tr w:rsidR="00F000B0" w:rsidRPr="003C29D8" w14:paraId="6F2A7A72"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21B8EE93"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4EA537B2"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SMK</w:t>
            </w:r>
          </w:p>
        </w:tc>
        <w:tc>
          <w:tcPr>
            <w:tcW w:w="1240" w:type="dxa"/>
            <w:noWrap/>
            <w:hideMark/>
          </w:tcPr>
          <w:p w14:paraId="33568DA4"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99</w:t>
            </w:r>
          </w:p>
        </w:tc>
        <w:tc>
          <w:tcPr>
            <w:tcW w:w="1250" w:type="dxa"/>
          </w:tcPr>
          <w:p w14:paraId="1A84AE96"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Pr>
                <w:rFonts w:ascii="Times New Roman" w:eastAsia="Times New Roman" w:hAnsi="Times New Roman"/>
                <w:bCs/>
                <w:color w:val="000000"/>
                <w:sz w:val="20"/>
                <w:szCs w:val="20"/>
                <w:lang w:eastAsia="fr-FR"/>
              </w:rPr>
              <w:t>F</w:t>
            </w:r>
            <w:r w:rsidRPr="003C29D8">
              <w:rPr>
                <w:rFonts w:ascii="Times New Roman" w:eastAsia="Times New Roman" w:hAnsi="Times New Roman"/>
                <w:bCs/>
                <w:color w:val="000000"/>
                <w:sz w:val="20"/>
                <w:szCs w:val="20"/>
                <w:lang w:eastAsia="fr-FR"/>
              </w:rPr>
              <w:t>aisabilité</w:t>
            </w:r>
          </w:p>
        </w:tc>
      </w:tr>
      <w:tr w:rsidR="00F000B0" w:rsidRPr="003C29D8" w14:paraId="3203A9F1"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4BA84BF8"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127739F2"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SOMIDEZ</w:t>
            </w:r>
          </w:p>
        </w:tc>
        <w:tc>
          <w:tcPr>
            <w:tcW w:w="1240" w:type="dxa"/>
            <w:noWrap/>
            <w:hideMark/>
          </w:tcPr>
          <w:p w14:paraId="02F6AC05"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p>
        </w:tc>
        <w:tc>
          <w:tcPr>
            <w:tcW w:w="1250" w:type="dxa"/>
          </w:tcPr>
          <w:p w14:paraId="4C31EAA5"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Faisabilité</w:t>
            </w:r>
          </w:p>
        </w:tc>
      </w:tr>
      <w:tr w:rsidR="00F000B0" w:rsidRPr="003C29D8" w14:paraId="68F31346"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519B3F8B"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4BE18BCA"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STL SPRL</w:t>
            </w:r>
          </w:p>
        </w:tc>
        <w:tc>
          <w:tcPr>
            <w:tcW w:w="1240" w:type="dxa"/>
            <w:noWrap/>
            <w:hideMark/>
          </w:tcPr>
          <w:p w14:paraId="26BCAB7C"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24</w:t>
            </w:r>
          </w:p>
        </w:tc>
        <w:tc>
          <w:tcPr>
            <w:tcW w:w="1250" w:type="dxa"/>
          </w:tcPr>
          <w:p w14:paraId="2F0B8B7D"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p>
        </w:tc>
      </w:tr>
      <w:tr w:rsidR="00F000B0" w:rsidRPr="003C29D8" w14:paraId="5F962E57"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50374E9A"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74CF528B"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SWANMINES SPRL</w:t>
            </w:r>
          </w:p>
        </w:tc>
        <w:tc>
          <w:tcPr>
            <w:tcW w:w="1240" w:type="dxa"/>
            <w:noWrap/>
            <w:hideMark/>
          </w:tcPr>
          <w:p w14:paraId="509E8E37"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25</w:t>
            </w:r>
          </w:p>
        </w:tc>
        <w:tc>
          <w:tcPr>
            <w:tcW w:w="1250" w:type="dxa"/>
          </w:tcPr>
          <w:p w14:paraId="6DC2A739"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Construction</w:t>
            </w:r>
          </w:p>
        </w:tc>
      </w:tr>
      <w:tr w:rsidR="00F000B0" w:rsidRPr="003C29D8" w14:paraId="754A42E5"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1F7CAA88"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0CA6DE9A"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TFM SAR</w:t>
            </w:r>
          </w:p>
        </w:tc>
        <w:tc>
          <w:tcPr>
            <w:tcW w:w="1240" w:type="dxa"/>
            <w:noWrap/>
            <w:hideMark/>
          </w:tcPr>
          <w:p w14:paraId="78B68073"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20</w:t>
            </w:r>
          </w:p>
        </w:tc>
        <w:tc>
          <w:tcPr>
            <w:tcW w:w="1250" w:type="dxa"/>
          </w:tcPr>
          <w:p w14:paraId="0C6AB910"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Production</w:t>
            </w:r>
          </w:p>
        </w:tc>
      </w:tr>
      <w:tr w:rsidR="00F000B0" w:rsidRPr="003C29D8" w14:paraId="0ED1AE24"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3CF55236"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2A5FC7BF"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KAMBOVE MINING</w:t>
            </w:r>
          </w:p>
        </w:tc>
        <w:tc>
          <w:tcPr>
            <w:tcW w:w="1240" w:type="dxa"/>
            <w:noWrap/>
            <w:hideMark/>
          </w:tcPr>
          <w:p w14:paraId="377EB3F8"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p>
        </w:tc>
        <w:tc>
          <w:tcPr>
            <w:tcW w:w="1250" w:type="dxa"/>
          </w:tcPr>
          <w:p w14:paraId="12CAF2CF"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Faisabilité</w:t>
            </w:r>
          </w:p>
        </w:tc>
      </w:tr>
      <w:tr w:rsidR="00F000B0" w:rsidRPr="003C29D8" w14:paraId="4C9A97DA"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1D1264BC"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65AF48FA"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LUALABA MINING R</w:t>
            </w:r>
          </w:p>
        </w:tc>
        <w:tc>
          <w:tcPr>
            <w:tcW w:w="1240" w:type="dxa"/>
            <w:noWrap/>
            <w:hideMark/>
          </w:tcPr>
          <w:p w14:paraId="108F8001"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p>
        </w:tc>
        <w:tc>
          <w:tcPr>
            <w:tcW w:w="1250" w:type="dxa"/>
          </w:tcPr>
          <w:p w14:paraId="6C2E7064"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Faisabilité</w:t>
            </w:r>
          </w:p>
        </w:tc>
      </w:tr>
      <w:tr w:rsidR="00F000B0" w:rsidRPr="003C29D8" w14:paraId="2412441B"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61C052D8"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2A3721B4"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SAKIMA SA</w:t>
            </w:r>
          </w:p>
        </w:tc>
        <w:tc>
          <w:tcPr>
            <w:tcW w:w="1240" w:type="dxa"/>
            <w:noWrap/>
            <w:hideMark/>
          </w:tcPr>
          <w:p w14:paraId="2014CC30"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0,01</w:t>
            </w:r>
          </w:p>
        </w:tc>
        <w:tc>
          <w:tcPr>
            <w:tcW w:w="1250" w:type="dxa"/>
          </w:tcPr>
          <w:p w14:paraId="58EA0016"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Exploration</w:t>
            </w:r>
          </w:p>
        </w:tc>
      </w:tr>
      <w:tr w:rsidR="00F000B0" w:rsidRPr="003C29D8" w14:paraId="1162472A"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6BCB79CD"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780C9DF0"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METALKOL</w:t>
            </w:r>
          </w:p>
        </w:tc>
        <w:tc>
          <w:tcPr>
            <w:tcW w:w="1240" w:type="dxa"/>
            <w:noWrap/>
            <w:hideMark/>
          </w:tcPr>
          <w:p w14:paraId="1713F2C1"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20</w:t>
            </w:r>
          </w:p>
        </w:tc>
        <w:tc>
          <w:tcPr>
            <w:tcW w:w="1250" w:type="dxa"/>
          </w:tcPr>
          <w:p w14:paraId="7354A59C"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Construction</w:t>
            </w:r>
          </w:p>
        </w:tc>
      </w:tr>
      <w:tr w:rsidR="00F000B0" w:rsidRPr="003C29D8" w14:paraId="42155A0E"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val="restart"/>
            <w:noWrap/>
            <w:hideMark/>
          </w:tcPr>
          <w:p w14:paraId="0250C28B" w14:textId="77777777" w:rsidR="00F000B0" w:rsidRPr="003C29D8" w:rsidRDefault="00F000B0" w:rsidP="00F000B0">
            <w:pPr>
              <w:jc w:val="both"/>
              <w:rPr>
                <w:rFonts w:ascii="Times New Roman" w:eastAsia="Times New Roman" w:hAnsi="Times New Roman"/>
                <w:b w:val="0"/>
                <w:color w:val="000000"/>
                <w:sz w:val="20"/>
                <w:szCs w:val="20"/>
                <w:lang w:eastAsia="fr-FR"/>
              </w:rPr>
            </w:pPr>
            <w:r w:rsidRPr="003C29D8">
              <w:rPr>
                <w:rFonts w:ascii="Times New Roman" w:eastAsia="Times New Roman" w:hAnsi="Times New Roman"/>
                <w:b w:val="0"/>
                <w:color w:val="000000"/>
                <w:sz w:val="20"/>
                <w:szCs w:val="20"/>
                <w:lang w:eastAsia="fr-FR"/>
              </w:rPr>
              <w:t>SODIMICO</w:t>
            </w:r>
          </w:p>
        </w:tc>
        <w:tc>
          <w:tcPr>
            <w:tcW w:w="4454" w:type="dxa"/>
            <w:noWrap/>
            <w:hideMark/>
          </w:tcPr>
          <w:p w14:paraId="6F440F62"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KICC SA</w:t>
            </w:r>
          </w:p>
        </w:tc>
        <w:tc>
          <w:tcPr>
            <w:tcW w:w="1240" w:type="dxa"/>
            <w:noWrap/>
            <w:hideMark/>
          </w:tcPr>
          <w:p w14:paraId="210F07FC"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23</w:t>
            </w:r>
          </w:p>
        </w:tc>
        <w:tc>
          <w:tcPr>
            <w:tcW w:w="1250" w:type="dxa"/>
          </w:tcPr>
          <w:p w14:paraId="58B20FCF"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Construction</w:t>
            </w:r>
          </w:p>
        </w:tc>
      </w:tr>
      <w:tr w:rsidR="00F000B0" w:rsidRPr="003C29D8" w14:paraId="42E5171F"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482CAD77"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75079B06"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SODIMIKA SA</w:t>
            </w:r>
          </w:p>
        </w:tc>
        <w:tc>
          <w:tcPr>
            <w:tcW w:w="1240" w:type="dxa"/>
            <w:noWrap/>
            <w:hideMark/>
          </w:tcPr>
          <w:p w14:paraId="3FD32B7E"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30</w:t>
            </w:r>
          </w:p>
        </w:tc>
        <w:tc>
          <w:tcPr>
            <w:tcW w:w="1250" w:type="dxa"/>
          </w:tcPr>
          <w:p w14:paraId="2338536C"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Exploration</w:t>
            </w:r>
          </w:p>
        </w:tc>
      </w:tr>
      <w:tr w:rsidR="00F000B0" w:rsidRPr="003C29D8" w14:paraId="6DBC62E6"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69B4E5A3"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5BDA9533"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EMM SA*</w:t>
            </w:r>
          </w:p>
        </w:tc>
        <w:tc>
          <w:tcPr>
            <w:tcW w:w="1240" w:type="dxa"/>
            <w:noWrap/>
            <w:hideMark/>
          </w:tcPr>
          <w:p w14:paraId="6B9AB073"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p>
        </w:tc>
        <w:tc>
          <w:tcPr>
            <w:tcW w:w="1250" w:type="dxa"/>
          </w:tcPr>
          <w:p w14:paraId="28700D56"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Non précisé</w:t>
            </w:r>
          </w:p>
        </w:tc>
      </w:tr>
      <w:tr w:rsidR="00F000B0" w:rsidRPr="003C29D8" w14:paraId="016ED4B3"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6F2AF668"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5E3BE080"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SAKIMA SA</w:t>
            </w:r>
          </w:p>
        </w:tc>
        <w:tc>
          <w:tcPr>
            <w:tcW w:w="1240" w:type="dxa"/>
            <w:noWrap/>
            <w:hideMark/>
          </w:tcPr>
          <w:p w14:paraId="3A207DEB"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1</w:t>
            </w:r>
          </w:p>
        </w:tc>
        <w:tc>
          <w:tcPr>
            <w:tcW w:w="1250" w:type="dxa"/>
          </w:tcPr>
          <w:p w14:paraId="0B8B7E09"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Exploration</w:t>
            </w:r>
          </w:p>
        </w:tc>
      </w:tr>
      <w:tr w:rsidR="00F000B0" w:rsidRPr="003C29D8" w14:paraId="4A280DA0"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val="restart"/>
            <w:noWrap/>
            <w:hideMark/>
          </w:tcPr>
          <w:p w14:paraId="13E277B3" w14:textId="77777777" w:rsidR="00F000B0" w:rsidRPr="003C29D8" w:rsidRDefault="00F000B0" w:rsidP="00F000B0">
            <w:pPr>
              <w:jc w:val="both"/>
              <w:rPr>
                <w:rFonts w:ascii="Times New Roman" w:eastAsia="Times New Roman" w:hAnsi="Times New Roman"/>
                <w:b w:val="0"/>
                <w:color w:val="000000"/>
                <w:sz w:val="20"/>
                <w:szCs w:val="20"/>
                <w:lang w:eastAsia="fr-FR"/>
              </w:rPr>
            </w:pPr>
            <w:r w:rsidRPr="003C29D8">
              <w:rPr>
                <w:rFonts w:ascii="Times New Roman" w:eastAsia="Times New Roman" w:hAnsi="Times New Roman"/>
                <w:b w:val="0"/>
                <w:color w:val="000000"/>
                <w:sz w:val="20"/>
                <w:szCs w:val="20"/>
                <w:lang w:eastAsia="fr-FR"/>
              </w:rPr>
              <w:t>SOKIMO</w:t>
            </w:r>
          </w:p>
        </w:tc>
        <w:tc>
          <w:tcPr>
            <w:tcW w:w="4454" w:type="dxa"/>
            <w:noWrap/>
            <w:hideMark/>
          </w:tcPr>
          <w:p w14:paraId="7216C8FF"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MGM</w:t>
            </w:r>
          </w:p>
        </w:tc>
        <w:tc>
          <w:tcPr>
            <w:tcW w:w="1240" w:type="dxa"/>
            <w:noWrap/>
            <w:hideMark/>
          </w:tcPr>
          <w:p w14:paraId="6F29C21A"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13,78</w:t>
            </w:r>
          </w:p>
        </w:tc>
        <w:tc>
          <w:tcPr>
            <w:tcW w:w="1250" w:type="dxa"/>
          </w:tcPr>
          <w:p w14:paraId="3008516A"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Construction</w:t>
            </w:r>
          </w:p>
        </w:tc>
      </w:tr>
      <w:tr w:rsidR="00F000B0" w:rsidRPr="003C29D8" w14:paraId="00DF4EE9"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7D9F7CDA"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6A85AD35"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KIBALI GOLD MINES</w:t>
            </w:r>
          </w:p>
        </w:tc>
        <w:tc>
          <w:tcPr>
            <w:tcW w:w="1240" w:type="dxa"/>
            <w:noWrap/>
            <w:hideMark/>
          </w:tcPr>
          <w:p w14:paraId="2552A764"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10</w:t>
            </w:r>
          </w:p>
        </w:tc>
        <w:tc>
          <w:tcPr>
            <w:tcW w:w="1250" w:type="dxa"/>
          </w:tcPr>
          <w:p w14:paraId="6EEC78B3"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Production</w:t>
            </w:r>
          </w:p>
        </w:tc>
      </w:tr>
      <w:tr w:rsidR="00F000B0" w:rsidRPr="003C29D8" w14:paraId="5AE78983"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11E2F912"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4B79D266"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MIZAKO</w:t>
            </w:r>
          </w:p>
        </w:tc>
        <w:tc>
          <w:tcPr>
            <w:tcW w:w="1240" w:type="dxa"/>
            <w:noWrap/>
            <w:hideMark/>
          </w:tcPr>
          <w:p w14:paraId="1B897480"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20</w:t>
            </w:r>
          </w:p>
        </w:tc>
        <w:tc>
          <w:tcPr>
            <w:tcW w:w="1250" w:type="dxa"/>
          </w:tcPr>
          <w:p w14:paraId="034721C7"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Non précisé</w:t>
            </w:r>
          </w:p>
        </w:tc>
      </w:tr>
      <w:tr w:rsidR="00F000B0" w:rsidRPr="003C29D8" w14:paraId="35A338FF"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7F934599"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4FE1FBB6"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WMC</w:t>
            </w:r>
          </w:p>
        </w:tc>
        <w:tc>
          <w:tcPr>
            <w:tcW w:w="1240" w:type="dxa"/>
            <w:noWrap/>
            <w:hideMark/>
          </w:tcPr>
          <w:p w14:paraId="2B825C25"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20</w:t>
            </w:r>
          </w:p>
        </w:tc>
        <w:tc>
          <w:tcPr>
            <w:tcW w:w="1250" w:type="dxa"/>
          </w:tcPr>
          <w:p w14:paraId="4315C7EA"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En veilleuse</w:t>
            </w:r>
          </w:p>
        </w:tc>
      </w:tr>
      <w:tr w:rsidR="00F000B0" w:rsidRPr="003C29D8" w14:paraId="744AE4C8"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51CE5212"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732F68A8"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SMB</w:t>
            </w:r>
          </w:p>
        </w:tc>
        <w:tc>
          <w:tcPr>
            <w:tcW w:w="1240" w:type="dxa"/>
            <w:noWrap/>
            <w:hideMark/>
          </w:tcPr>
          <w:p w14:paraId="7CCEF95A"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35</w:t>
            </w:r>
          </w:p>
        </w:tc>
        <w:tc>
          <w:tcPr>
            <w:tcW w:w="1250" w:type="dxa"/>
          </w:tcPr>
          <w:p w14:paraId="2B40E982"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Non précisé</w:t>
            </w:r>
          </w:p>
        </w:tc>
      </w:tr>
      <w:tr w:rsidR="00F000B0" w:rsidRPr="003C29D8" w14:paraId="0264C3C4"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7837D493"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10E2F86D"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GIRO GOLDFIELDS</w:t>
            </w:r>
          </w:p>
        </w:tc>
        <w:tc>
          <w:tcPr>
            <w:tcW w:w="1240" w:type="dxa"/>
            <w:noWrap/>
            <w:hideMark/>
          </w:tcPr>
          <w:p w14:paraId="6E612C29"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35</w:t>
            </w:r>
          </w:p>
        </w:tc>
        <w:tc>
          <w:tcPr>
            <w:tcW w:w="1250" w:type="dxa"/>
          </w:tcPr>
          <w:p w14:paraId="20E81470"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Non précisé</w:t>
            </w:r>
          </w:p>
        </w:tc>
      </w:tr>
      <w:tr w:rsidR="00F000B0" w:rsidRPr="003C29D8" w14:paraId="29ED1BB4"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val="restart"/>
            <w:noWrap/>
            <w:hideMark/>
          </w:tcPr>
          <w:p w14:paraId="6EB6D6B8" w14:textId="77777777" w:rsidR="00F000B0" w:rsidRPr="003C29D8" w:rsidRDefault="00F000B0" w:rsidP="00F000B0">
            <w:pPr>
              <w:jc w:val="both"/>
              <w:rPr>
                <w:rFonts w:ascii="Times New Roman" w:eastAsia="Times New Roman" w:hAnsi="Times New Roman"/>
                <w:b w:val="0"/>
                <w:color w:val="000000"/>
                <w:sz w:val="20"/>
                <w:szCs w:val="20"/>
                <w:lang w:eastAsia="fr-FR"/>
              </w:rPr>
            </w:pPr>
            <w:r w:rsidRPr="003C29D8">
              <w:rPr>
                <w:rFonts w:ascii="Times New Roman" w:eastAsia="Times New Roman" w:hAnsi="Times New Roman"/>
                <w:b w:val="0"/>
                <w:color w:val="000000"/>
                <w:sz w:val="20"/>
                <w:szCs w:val="20"/>
                <w:lang w:eastAsia="fr-FR"/>
              </w:rPr>
              <w:t>SCMK-Mn</w:t>
            </w:r>
          </w:p>
        </w:tc>
        <w:tc>
          <w:tcPr>
            <w:tcW w:w="4454" w:type="dxa"/>
            <w:noWrap/>
            <w:hideMark/>
          </w:tcPr>
          <w:p w14:paraId="77584A9A"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SIMCO SAS*</w:t>
            </w:r>
          </w:p>
        </w:tc>
        <w:tc>
          <w:tcPr>
            <w:tcW w:w="1240" w:type="dxa"/>
            <w:noWrap/>
            <w:hideMark/>
          </w:tcPr>
          <w:p w14:paraId="1132ED29"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1</w:t>
            </w:r>
          </w:p>
        </w:tc>
        <w:tc>
          <w:tcPr>
            <w:tcW w:w="1250" w:type="dxa"/>
          </w:tcPr>
          <w:p w14:paraId="69C0F111"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p>
        </w:tc>
      </w:tr>
      <w:tr w:rsidR="00F000B0" w:rsidRPr="003C29D8" w14:paraId="71D2A9C6"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084C8BE8"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7B9FE9A4"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MDDK SARL</w:t>
            </w:r>
          </w:p>
        </w:tc>
        <w:tc>
          <w:tcPr>
            <w:tcW w:w="1240" w:type="dxa"/>
            <w:noWrap/>
            <w:hideMark/>
          </w:tcPr>
          <w:p w14:paraId="40D338C8"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20</w:t>
            </w:r>
          </w:p>
        </w:tc>
        <w:tc>
          <w:tcPr>
            <w:tcW w:w="1250" w:type="dxa"/>
          </w:tcPr>
          <w:p w14:paraId="02362268"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Faisabilité</w:t>
            </w:r>
          </w:p>
        </w:tc>
      </w:tr>
      <w:tr w:rsidR="00F000B0" w:rsidRPr="003C29D8" w14:paraId="35627C38"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val="restart"/>
            <w:noWrap/>
            <w:hideMark/>
          </w:tcPr>
          <w:p w14:paraId="39C80166" w14:textId="77777777" w:rsidR="00F000B0" w:rsidRPr="003C29D8" w:rsidRDefault="00F000B0" w:rsidP="00F000B0">
            <w:pPr>
              <w:jc w:val="both"/>
              <w:rPr>
                <w:rFonts w:ascii="Times New Roman" w:eastAsia="Times New Roman" w:hAnsi="Times New Roman"/>
                <w:b w:val="0"/>
                <w:color w:val="000000"/>
                <w:sz w:val="20"/>
                <w:szCs w:val="20"/>
                <w:lang w:eastAsia="fr-FR"/>
              </w:rPr>
            </w:pPr>
            <w:r w:rsidRPr="003C29D8">
              <w:rPr>
                <w:rFonts w:ascii="Times New Roman" w:eastAsia="Times New Roman" w:hAnsi="Times New Roman"/>
                <w:b w:val="0"/>
                <w:color w:val="000000"/>
                <w:sz w:val="20"/>
                <w:szCs w:val="20"/>
                <w:lang w:eastAsia="fr-FR"/>
              </w:rPr>
              <w:t>COMINIERE</w:t>
            </w:r>
          </w:p>
        </w:tc>
        <w:tc>
          <w:tcPr>
            <w:tcW w:w="4454" w:type="dxa"/>
            <w:noWrap/>
            <w:hideMark/>
          </w:tcPr>
          <w:p w14:paraId="48EA892F"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MANOMIN SPRL</w:t>
            </w:r>
          </w:p>
        </w:tc>
        <w:tc>
          <w:tcPr>
            <w:tcW w:w="1240" w:type="dxa"/>
            <w:noWrap/>
            <w:hideMark/>
          </w:tcPr>
          <w:p w14:paraId="689DB5D3"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32</w:t>
            </w:r>
          </w:p>
        </w:tc>
        <w:tc>
          <w:tcPr>
            <w:tcW w:w="1250" w:type="dxa"/>
          </w:tcPr>
          <w:p w14:paraId="0555531F"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Pr>
                <w:rFonts w:ascii="Times New Roman" w:eastAsia="Times New Roman" w:hAnsi="Times New Roman"/>
                <w:bCs/>
                <w:color w:val="000000"/>
                <w:sz w:val="20"/>
                <w:szCs w:val="20"/>
                <w:lang w:eastAsia="fr-FR"/>
              </w:rPr>
              <w:t>E</w:t>
            </w:r>
            <w:r w:rsidRPr="003C29D8">
              <w:rPr>
                <w:rFonts w:ascii="Times New Roman" w:eastAsia="Times New Roman" w:hAnsi="Times New Roman"/>
                <w:bCs/>
                <w:color w:val="000000"/>
                <w:sz w:val="20"/>
                <w:szCs w:val="20"/>
                <w:lang w:eastAsia="fr-FR"/>
              </w:rPr>
              <w:t>xploration</w:t>
            </w:r>
          </w:p>
        </w:tc>
      </w:tr>
      <w:tr w:rsidR="00F000B0" w:rsidRPr="003C29D8" w14:paraId="240ABA60"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1E442D6A"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388EF068"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SEGMAL SPRL</w:t>
            </w:r>
          </w:p>
        </w:tc>
        <w:tc>
          <w:tcPr>
            <w:tcW w:w="1240" w:type="dxa"/>
            <w:noWrap/>
            <w:hideMark/>
          </w:tcPr>
          <w:p w14:paraId="5EA9A8C3"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32</w:t>
            </w:r>
          </w:p>
        </w:tc>
        <w:tc>
          <w:tcPr>
            <w:tcW w:w="1250" w:type="dxa"/>
          </w:tcPr>
          <w:p w14:paraId="2DBC18A8"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Pr>
                <w:rFonts w:ascii="Times New Roman" w:eastAsia="Times New Roman" w:hAnsi="Times New Roman"/>
                <w:bCs/>
                <w:color w:val="000000"/>
                <w:sz w:val="20"/>
                <w:szCs w:val="20"/>
                <w:lang w:eastAsia="fr-FR"/>
              </w:rPr>
              <w:t>C</w:t>
            </w:r>
            <w:r w:rsidRPr="003C29D8">
              <w:rPr>
                <w:rFonts w:ascii="Times New Roman" w:eastAsia="Times New Roman" w:hAnsi="Times New Roman"/>
                <w:bCs/>
                <w:color w:val="000000"/>
                <w:sz w:val="20"/>
                <w:szCs w:val="20"/>
                <w:lang w:eastAsia="fr-FR"/>
              </w:rPr>
              <w:t>onstruction</w:t>
            </w:r>
          </w:p>
        </w:tc>
      </w:tr>
      <w:tr w:rsidR="00F000B0" w:rsidRPr="003C29D8" w14:paraId="0214BF25"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4A9CCA71"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7C0F3B85"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SOMIMI</w:t>
            </w:r>
          </w:p>
        </w:tc>
        <w:tc>
          <w:tcPr>
            <w:tcW w:w="1240" w:type="dxa"/>
            <w:noWrap/>
            <w:hideMark/>
          </w:tcPr>
          <w:p w14:paraId="6F6B61C9"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28</w:t>
            </w:r>
          </w:p>
        </w:tc>
        <w:tc>
          <w:tcPr>
            <w:tcW w:w="1250" w:type="dxa"/>
          </w:tcPr>
          <w:p w14:paraId="0593619F"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Exploration</w:t>
            </w:r>
          </w:p>
        </w:tc>
      </w:tr>
      <w:tr w:rsidR="00F000B0" w:rsidRPr="003C29D8" w14:paraId="6C6FA445"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70F5B2A0"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1CD28935"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TANGANIKA SPRL</w:t>
            </w:r>
          </w:p>
        </w:tc>
        <w:tc>
          <w:tcPr>
            <w:tcW w:w="1240" w:type="dxa"/>
            <w:noWrap/>
            <w:hideMark/>
          </w:tcPr>
          <w:p w14:paraId="53E68201"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32</w:t>
            </w:r>
          </w:p>
        </w:tc>
        <w:tc>
          <w:tcPr>
            <w:tcW w:w="1250" w:type="dxa"/>
          </w:tcPr>
          <w:p w14:paraId="4D1652B4"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Exploration</w:t>
            </w:r>
          </w:p>
        </w:tc>
      </w:tr>
      <w:tr w:rsidR="00F000B0" w:rsidRPr="003C29D8" w14:paraId="26CE69D5"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11FDE5F4"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546B70EB"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TANTALE et NOBIUM</w:t>
            </w:r>
          </w:p>
        </w:tc>
        <w:tc>
          <w:tcPr>
            <w:tcW w:w="1240" w:type="dxa"/>
            <w:noWrap/>
            <w:hideMark/>
          </w:tcPr>
          <w:p w14:paraId="38D7D8D0"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32</w:t>
            </w:r>
          </w:p>
        </w:tc>
        <w:tc>
          <w:tcPr>
            <w:tcW w:w="1250" w:type="dxa"/>
          </w:tcPr>
          <w:p w14:paraId="4BA57D8D"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Exploration</w:t>
            </w:r>
          </w:p>
        </w:tc>
      </w:tr>
      <w:tr w:rsidR="00F000B0" w:rsidRPr="003C29D8" w14:paraId="358C779D"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57BEE186"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50DEC704"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DATHCOM</w:t>
            </w:r>
          </w:p>
        </w:tc>
        <w:tc>
          <w:tcPr>
            <w:tcW w:w="1240" w:type="dxa"/>
            <w:noWrap/>
            <w:hideMark/>
          </w:tcPr>
          <w:p w14:paraId="0D85CF87"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p>
        </w:tc>
        <w:tc>
          <w:tcPr>
            <w:tcW w:w="1250" w:type="dxa"/>
          </w:tcPr>
          <w:p w14:paraId="6177372C"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Non précisé</w:t>
            </w:r>
          </w:p>
        </w:tc>
      </w:tr>
      <w:tr w:rsidR="00F000B0" w:rsidRPr="003C29D8" w14:paraId="54374ADF"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68D599B3"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657655CC"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TALMUD</w:t>
            </w:r>
          </w:p>
        </w:tc>
        <w:tc>
          <w:tcPr>
            <w:tcW w:w="1240" w:type="dxa"/>
            <w:noWrap/>
            <w:hideMark/>
          </w:tcPr>
          <w:p w14:paraId="07C650EC"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p>
        </w:tc>
        <w:tc>
          <w:tcPr>
            <w:tcW w:w="1250" w:type="dxa"/>
          </w:tcPr>
          <w:p w14:paraId="5E1B3118"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Non précisé</w:t>
            </w:r>
          </w:p>
        </w:tc>
      </w:tr>
      <w:tr w:rsidR="00F000B0" w:rsidRPr="003C29D8" w14:paraId="1DB252C5"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68402F17"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015B7CA5"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UNITED COMINERE</w:t>
            </w:r>
          </w:p>
        </w:tc>
        <w:tc>
          <w:tcPr>
            <w:tcW w:w="1240" w:type="dxa"/>
            <w:noWrap/>
            <w:hideMark/>
          </w:tcPr>
          <w:p w14:paraId="2DC98003"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p>
        </w:tc>
        <w:tc>
          <w:tcPr>
            <w:tcW w:w="1250" w:type="dxa"/>
          </w:tcPr>
          <w:p w14:paraId="2640C42A"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Non précisé</w:t>
            </w:r>
          </w:p>
        </w:tc>
      </w:tr>
      <w:tr w:rsidR="00F000B0" w:rsidRPr="003C29D8" w14:paraId="0E46EC81"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5D1E00AE"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630D02BD"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MURUMBI MINERAL</w:t>
            </w:r>
          </w:p>
        </w:tc>
        <w:tc>
          <w:tcPr>
            <w:tcW w:w="1240" w:type="dxa"/>
            <w:noWrap/>
            <w:hideMark/>
          </w:tcPr>
          <w:p w14:paraId="052F07FF"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10</w:t>
            </w:r>
          </w:p>
        </w:tc>
        <w:tc>
          <w:tcPr>
            <w:tcW w:w="1250" w:type="dxa"/>
          </w:tcPr>
          <w:p w14:paraId="7852745C"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Non précisé</w:t>
            </w:r>
          </w:p>
        </w:tc>
      </w:tr>
      <w:tr w:rsidR="00F000B0" w:rsidRPr="003C29D8" w14:paraId="10498689"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noWrap/>
            <w:hideMark/>
          </w:tcPr>
          <w:p w14:paraId="51EBC6BC" w14:textId="77777777" w:rsidR="00F000B0" w:rsidRPr="003C29D8" w:rsidRDefault="00F000B0" w:rsidP="00F000B0">
            <w:pPr>
              <w:jc w:val="both"/>
              <w:rPr>
                <w:rFonts w:ascii="Times New Roman" w:eastAsia="Times New Roman" w:hAnsi="Times New Roman"/>
                <w:b w:val="0"/>
                <w:color w:val="000000"/>
                <w:sz w:val="20"/>
                <w:szCs w:val="20"/>
                <w:lang w:eastAsia="fr-FR"/>
              </w:rPr>
            </w:pPr>
            <w:r w:rsidRPr="003C29D8">
              <w:rPr>
                <w:rFonts w:ascii="Times New Roman" w:eastAsia="Times New Roman" w:hAnsi="Times New Roman"/>
                <w:b w:val="0"/>
                <w:color w:val="000000"/>
                <w:sz w:val="20"/>
                <w:szCs w:val="20"/>
                <w:lang w:eastAsia="fr-FR"/>
              </w:rPr>
              <w:t>MIBA</w:t>
            </w:r>
          </w:p>
        </w:tc>
        <w:tc>
          <w:tcPr>
            <w:tcW w:w="4454" w:type="dxa"/>
            <w:noWrap/>
            <w:hideMark/>
          </w:tcPr>
          <w:p w14:paraId="5D340B23"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SMDL</w:t>
            </w:r>
          </w:p>
        </w:tc>
        <w:tc>
          <w:tcPr>
            <w:tcW w:w="1240" w:type="dxa"/>
            <w:noWrap/>
            <w:hideMark/>
          </w:tcPr>
          <w:p w14:paraId="309C2CAF"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49</w:t>
            </w:r>
          </w:p>
        </w:tc>
        <w:tc>
          <w:tcPr>
            <w:tcW w:w="1250" w:type="dxa"/>
          </w:tcPr>
          <w:p w14:paraId="726B0FC9"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p>
        </w:tc>
      </w:tr>
    </w:tbl>
    <w:p w14:paraId="6FBAFAA0" w14:textId="225F0791" w:rsidR="00F000B0" w:rsidRPr="007D6F12" w:rsidRDefault="00F000B0" w:rsidP="00943F67">
      <w:pPr>
        <w:ind w:firstLine="708"/>
        <w:jc w:val="both"/>
        <w:rPr>
          <w:rFonts w:ascii="Times New Roman" w:hAnsi="Times New Roman"/>
          <w:sz w:val="18"/>
          <w:szCs w:val="18"/>
        </w:rPr>
      </w:pPr>
      <w:r w:rsidRPr="007D6F12">
        <w:rPr>
          <w:rFonts w:ascii="Times New Roman" w:hAnsi="Times New Roman"/>
          <w:sz w:val="18"/>
          <w:szCs w:val="18"/>
        </w:rPr>
        <w:t>Sources : Ministère du PF et les données des EPE</w:t>
      </w:r>
    </w:p>
    <w:p w14:paraId="732DC98D" w14:textId="18F48D2D" w:rsidR="00F000B0" w:rsidRPr="007D6F12" w:rsidRDefault="00F000B0" w:rsidP="00943F67">
      <w:pPr>
        <w:ind w:left="567"/>
        <w:jc w:val="both"/>
        <w:rPr>
          <w:rFonts w:ascii="Times New Roman" w:hAnsi="Times New Roman"/>
          <w:sz w:val="18"/>
          <w:szCs w:val="18"/>
        </w:rPr>
      </w:pPr>
      <w:r w:rsidRPr="00AA5351">
        <w:rPr>
          <w:rFonts w:ascii="Times New Roman" w:hAnsi="Times New Roman"/>
          <w:sz w:val="24"/>
          <w:szCs w:val="24"/>
        </w:rPr>
        <w:t>*</w:t>
      </w:r>
      <w:r>
        <w:rPr>
          <w:rFonts w:ascii="Times New Roman" w:hAnsi="Times New Roman"/>
          <w:sz w:val="24"/>
          <w:szCs w:val="24"/>
        </w:rPr>
        <w:t xml:space="preserve"> </w:t>
      </w:r>
      <w:r w:rsidRPr="007D6F12">
        <w:rPr>
          <w:rFonts w:ascii="Times New Roman" w:hAnsi="Times New Roman"/>
          <w:sz w:val="18"/>
          <w:szCs w:val="18"/>
        </w:rPr>
        <w:t xml:space="preserve">La  société EMM a indiqué  que la SODIMICO lui a retiré  les titres. La motivation de  ce retrait n’a pas  été </w:t>
      </w:r>
      <w:r w:rsidR="0028787E" w:rsidRPr="007D6F12">
        <w:rPr>
          <w:rFonts w:ascii="Times New Roman" w:hAnsi="Times New Roman"/>
          <w:sz w:val="18"/>
          <w:szCs w:val="18"/>
        </w:rPr>
        <w:t>précisée</w:t>
      </w:r>
      <w:r w:rsidRPr="007D6F12">
        <w:rPr>
          <w:rFonts w:ascii="Times New Roman" w:hAnsi="Times New Roman"/>
          <w:sz w:val="18"/>
          <w:szCs w:val="18"/>
        </w:rPr>
        <w:t xml:space="preserve"> par cette dernière.</w:t>
      </w:r>
      <w:r w:rsidR="0028787E">
        <w:rPr>
          <w:rFonts w:ascii="Times New Roman" w:hAnsi="Times New Roman"/>
          <w:sz w:val="18"/>
          <w:szCs w:val="18"/>
        </w:rPr>
        <w:t xml:space="preserve"> La SODIMICO sera approchée pour confirmer ou infirmer cette information.</w:t>
      </w:r>
    </w:p>
    <w:p w14:paraId="3B2870B0" w14:textId="78D8C798" w:rsidR="00F000B0" w:rsidRPr="00943F67" w:rsidRDefault="00EF425B" w:rsidP="00DD6B8C">
      <w:pPr>
        <w:ind w:left="567"/>
        <w:jc w:val="both"/>
        <w:rPr>
          <w:rFonts w:ascii="Times New Roman" w:hAnsi="Times New Roman"/>
          <w:sz w:val="24"/>
          <w:szCs w:val="24"/>
        </w:rPr>
      </w:pPr>
      <w:r>
        <w:rPr>
          <w:noProof/>
          <w:lang w:eastAsia="fr-FR"/>
        </w:rPr>
        <mc:AlternateContent>
          <mc:Choice Requires="wps">
            <w:drawing>
              <wp:anchor distT="0" distB="0" distL="114300" distR="114300" simplePos="0" relativeHeight="251680768" behindDoc="0" locked="0" layoutInCell="1" allowOverlap="1" wp14:anchorId="13721600" wp14:editId="1875AAEF">
                <wp:simplePos x="0" y="0"/>
                <wp:positionH relativeFrom="column">
                  <wp:posOffset>368636</wp:posOffset>
                </wp:positionH>
                <wp:positionV relativeFrom="paragraph">
                  <wp:posOffset>790575</wp:posOffset>
                </wp:positionV>
                <wp:extent cx="5781675" cy="1219200"/>
                <wp:effectExtent l="0" t="0" r="28575" b="19050"/>
                <wp:wrapNone/>
                <wp:docPr id="26" name="Zone de texte 26"/>
                <wp:cNvGraphicFramePr/>
                <a:graphic xmlns:a="http://schemas.openxmlformats.org/drawingml/2006/main">
                  <a:graphicData uri="http://schemas.microsoft.com/office/word/2010/wordprocessingShape">
                    <wps:wsp>
                      <wps:cNvSpPr txBox="1"/>
                      <wps:spPr>
                        <a:xfrm>
                          <a:off x="0" y="0"/>
                          <a:ext cx="5781675" cy="1219200"/>
                        </a:xfrm>
                        <a:prstGeom prst="rect">
                          <a:avLst/>
                        </a:prstGeom>
                        <a:solidFill>
                          <a:schemeClr val="accent1">
                            <a:lumMod val="20000"/>
                            <a:lumOff val="80000"/>
                          </a:schemeClr>
                        </a:solidFill>
                        <a:ln w="6350">
                          <a:solidFill>
                            <a:schemeClr val="accent1">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03FBC21B" w14:textId="1FEC5E1D" w:rsidR="00E357DF" w:rsidRPr="00753E9A" w:rsidRDefault="00E357DF" w:rsidP="00EF425B">
                            <w:pPr>
                              <w:rPr>
                                <w:rFonts w:ascii="Times New Roman" w:hAnsi="Times New Roman"/>
                                <w:b/>
                                <w:color w:val="1F3864" w:themeColor="accent5" w:themeShade="80"/>
                                <w:sz w:val="24"/>
                                <w:szCs w:val="24"/>
                                <w:u w:val="single"/>
                              </w:rPr>
                            </w:pPr>
                            <w:r>
                              <w:rPr>
                                <w:rFonts w:ascii="Times New Roman" w:hAnsi="Times New Roman"/>
                                <w:b/>
                                <w:color w:val="1F3864" w:themeColor="accent5" w:themeShade="80"/>
                                <w:sz w:val="24"/>
                                <w:szCs w:val="24"/>
                                <w:u w:val="single"/>
                              </w:rPr>
                              <w:t>Recommandation</w:t>
                            </w:r>
                            <w:r w:rsidRPr="00D256CC">
                              <w:rPr>
                                <w:rFonts w:ascii="Times New Roman" w:hAnsi="Times New Roman"/>
                                <w:b/>
                                <w:color w:val="44546A" w:themeColor="text2"/>
                                <w:sz w:val="24"/>
                                <w:szCs w:val="24"/>
                              </w:rPr>
                              <w:t xml:space="preserve"> </w:t>
                            </w:r>
                            <w:r>
                              <w:rPr>
                                <w:rFonts w:ascii="Times New Roman" w:hAnsi="Times New Roman"/>
                                <w:b/>
                                <w:color w:val="44546A" w:themeColor="text2"/>
                                <w:sz w:val="24"/>
                                <w:szCs w:val="24"/>
                              </w:rPr>
                              <w:t xml:space="preserve">: </w:t>
                            </w:r>
                            <w:r w:rsidRPr="00F32693">
                              <w:rPr>
                                <w:rFonts w:ascii="Times New Roman" w:hAnsi="Times New Roman"/>
                                <w:i/>
                                <w:color w:val="44546A" w:themeColor="text2"/>
                                <w:sz w:val="24"/>
                                <w:szCs w:val="24"/>
                              </w:rPr>
                              <w:t>(</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p>
                          <w:p w14:paraId="79E1BC81" w14:textId="77777777" w:rsidR="00E357DF" w:rsidRPr="00EF425B" w:rsidRDefault="00E357DF" w:rsidP="00EF425B">
                            <w:pPr>
                              <w:rPr>
                                <w:rFonts w:ascii="Times New Roman" w:hAnsi="Times New Roman"/>
                                <w:b/>
                                <w:color w:val="404040" w:themeColor="text1" w:themeTint="BF"/>
                                <w:sz w:val="24"/>
                                <w:szCs w:val="24"/>
                              </w:rPr>
                            </w:pPr>
                            <w:r w:rsidRPr="00EF425B">
                              <w:rPr>
                                <w:rFonts w:ascii="Times New Roman" w:hAnsi="Times New Roman"/>
                                <w:b/>
                                <w:color w:val="404040" w:themeColor="text1" w:themeTint="BF"/>
                                <w:sz w:val="24"/>
                                <w:szCs w:val="24"/>
                              </w:rPr>
                              <w:t>Au Comité Exécutif de :</w:t>
                            </w:r>
                          </w:p>
                          <w:p w14:paraId="64099A3F" w14:textId="77777777" w:rsidR="00E357DF" w:rsidRPr="00753E9A" w:rsidRDefault="00E357DF" w:rsidP="00EF425B">
                            <w:pPr>
                              <w:jc w:val="both"/>
                              <w:rPr>
                                <w:rFonts w:ascii="Times New Roman" w:hAnsi="Times New Roman"/>
                                <w:color w:val="404040" w:themeColor="text1" w:themeTint="BF"/>
                                <w:sz w:val="24"/>
                                <w:szCs w:val="24"/>
                              </w:rPr>
                            </w:pPr>
                            <w:r w:rsidRPr="00753E9A">
                              <w:rPr>
                                <w:rFonts w:ascii="Times New Roman" w:hAnsi="Times New Roman"/>
                                <w:color w:val="404040" w:themeColor="text1" w:themeTint="BF"/>
                                <w:sz w:val="24"/>
                                <w:szCs w:val="24"/>
                              </w:rPr>
                              <w:t>Approcher</w:t>
                            </w:r>
                            <w:r>
                              <w:rPr>
                                <w:rFonts w:ascii="Times New Roman" w:hAnsi="Times New Roman"/>
                                <w:color w:val="404040" w:themeColor="text1" w:themeTint="BF"/>
                                <w:sz w:val="24"/>
                                <w:szCs w:val="24"/>
                              </w:rPr>
                              <w:t xml:space="preserve"> le</w:t>
                            </w:r>
                            <w:r w:rsidRPr="00753E9A">
                              <w:rPr>
                                <w:rFonts w:ascii="Times New Roman" w:hAnsi="Times New Roman"/>
                                <w:color w:val="404040" w:themeColor="text1" w:themeTint="BF"/>
                                <w:sz w:val="24"/>
                                <w:szCs w:val="24"/>
                              </w:rPr>
                              <w:t xml:space="preserve"> Ministère </w:t>
                            </w:r>
                            <w:r>
                              <w:rPr>
                                <w:rFonts w:ascii="Times New Roman" w:hAnsi="Times New Roman"/>
                                <w:color w:val="404040" w:themeColor="text1" w:themeTint="BF"/>
                                <w:sz w:val="24"/>
                                <w:szCs w:val="24"/>
                              </w:rPr>
                              <w:t>du</w:t>
                            </w:r>
                            <w:r w:rsidRPr="00753E9A">
                              <w:rPr>
                                <w:rFonts w:ascii="Times New Roman" w:hAnsi="Times New Roman"/>
                                <w:color w:val="404040" w:themeColor="text1" w:themeTint="BF"/>
                                <w:sz w:val="24"/>
                                <w:szCs w:val="24"/>
                              </w:rPr>
                              <w:t xml:space="preserve"> Portefeuille et la GECAMINES pour obtenir plus de clarifications au sujet du statut exact de l’entreprise  SIMCO.</w:t>
                            </w:r>
                          </w:p>
                          <w:p w14:paraId="5F6F469D" w14:textId="77777777" w:rsidR="00E357DF" w:rsidRDefault="00E357DF" w:rsidP="00EF425B">
                            <w:pPr>
                              <w:pStyle w:val="Paragraphedeliste"/>
                              <w:ind w:left="284"/>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721600" id="Zone de texte 26" o:spid="_x0000_s1041" type="#_x0000_t202" style="position:absolute;left:0;text-align:left;margin-left:29.05pt;margin-top:62.25pt;width:455.25pt;height:9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" fillcolor="#deeaf6 [660]" strokecolor="#deeaf6 [660]" strokeweight=".5pt">
                <v:textbox>
                  <w:txbxContent>
                    <w:p w14:paraId="03FBC21B" w14:textId="1FEC5E1D" w:rsidR="00E357DF" w:rsidRPr="00753E9A" w:rsidRDefault="00E357DF" w:rsidP="00EF425B">
                      <w:pPr>
                        <w:rPr>
                          <w:rFonts w:ascii="Times New Roman" w:hAnsi="Times New Roman"/>
                          <w:b/>
                          <w:color w:val="1F3864" w:themeColor="accent5" w:themeShade="80"/>
                          <w:sz w:val="24"/>
                          <w:szCs w:val="24"/>
                          <w:u w:val="single"/>
                        </w:rPr>
                      </w:pPr>
                      <w:r>
                        <w:rPr>
                          <w:rFonts w:ascii="Times New Roman" w:hAnsi="Times New Roman"/>
                          <w:b/>
                          <w:color w:val="1F3864" w:themeColor="accent5" w:themeShade="80"/>
                          <w:sz w:val="24"/>
                          <w:szCs w:val="24"/>
                          <w:u w:val="single"/>
                        </w:rPr>
                        <w:t>Recommandation</w:t>
                      </w:r>
                      <w:r w:rsidRPr="00D256CC">
                        <w:rPr>
                          <w:rFonts w:ascii="Times New Roman" w:hAnsi="Times New Roman"/>
                          <w:b/>
                          <w:color w:val="44546A" w:themeColor="text2"/>
                          <w:sz w:val="24"/>
                          <w:szCs w:val="24"/>
                        </w:rPr>
                        <w:t xml:space="preserve"> </w:t>
                      </w:r>
                      <w:r>
                        <w:rPr>
                          <w:rFonts w:ascii="Times New Roman" w:hAnsi="Times New Roman"/>
                          <w:b/>
                          <w:color w:val="44546A" w:themeColor="text2"/>
                          <w:sz w:val="24"/>
                          <w:szCs w:val="24"/>
                        </w:rPr>
                        <w:t xml:space="preserve">: </w:t>
                      </w:r>
                      <w:r w:rsidRPr="00F32693">
                        <w:rPr>
                          <w:rFonts w:ascii="Times New Roman" w:hAnsi="Times New Roman"/>
                          <w:i/>
                          <w:color w:val="44546A" w:themeColor="text2"/>
                          <w:sz w:val="24"/>
                          <w:szCs w:val="24"/>
                        </w:rPr>
                        <w:t>(</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p>
                    <w:p w14:paraId="79E1BC81" w14:textId="77777777" w:rsidR="00E357DF" w:rsidRPr="00EF425B" w:rsidRDefault="00E357DF" w:rsidP="00EF425B">
                      <w:pPr>
                        <w:rPr>
                          <w:rFonts w:ascii="Times New Roman" w:hAnsi="Times New Roman"/>
                          <w:b/>
                          <w:color w:val="404040" w:themeColor="text1" w:themeTint="BF"/>
                          <w:sz w:val="24"/>
                          <w:szCs w:val="24"/>
                        </w:rPr>
                      </w:pPr>
                      <w:r w:rsidRPr="00EF425B">
                        <w:rPr>
                          <w:rFonts w:ascii="Times New Roman" w:hAnsi="Times New Roman"/>
                          <w:b/>
                          <w:color w:val="404040" w:themeColor="text1" w:themeTint="BF"/>
                          <w:sz w:val="24"/>
                          <w:szCs w:val="24"/>
                        </w:rPr>
                        <w:t>Au Comité Exécutif de :</w:t>
                      </w:r>
                    </w:p>
                    <w:p w14:paraId="64099A3F" w14:textId="77777777" w:rsidR="00E357DF" w:rsidRPr="00753E9A" w:rsidRDefault="00E357DF" w:rsidP="00EF425B">
                      <w:pPr>
                        <w:jc w:val="both"/>
                        <w:rPr>
                          <w:rFonts w:ascii="Times New Roman" w:hAnsi="Times New Roman"/>
                          <w:color w:val="404040" w:themeColor="text1" w:themeTint="BF"/>
                          <w:sz w:val="24"/>
                          <w:szCs w:val="24"/>
                        </w:rPr>
                      </w:pPr>
                      <w:r w:rsidRPr="00753E9A">
                        <w:rPr>
                          <w:rFonts w:ascii="Times New Roman" w:hAnsi="Times New Roman"/>
                          <w:color w:val="404040" w:themeColor="text1" w:themeTint="BF"/>
                          <w:sz w:val="24"/>
                          <w:szCs w:val="24"/>
                        </w:rPr>
                        <w:t>Approcher</w:t>
                      </w:r>
                      <w:r>
                        <w:rPr>
                          <w:rFonts w:ascii="Times New Roman" w:hAnsi="Times New Roman"/>
                          <w:color w:val="404040" w:themeColor="text1" w:themeTint="BF"/>
                          <w:sz w:val="24"/>
                          <w:szCs w:val="24"/>
                        </w:rPr>
                        <w:t xml:space="preserve"> le</w:t>
                      </w:r>
                      <w:r w:rsidRPr="00753E9A">
                        <w:rPr>
                          <w:rFonts w:ascii="Times New Roman" w:hAnsi="Times New Roman"/>
                          <w:color w:val="404040" w:themeColor="text1" w:themeTint="BF"/>
                          <w:sz w:val="24"/>
                          <w:szCs w:val="24"/>
                        </w:rPr>
                        <w:t xml:space="preserve"> Ministère </w:t>
                      </w:r>
                      <w:r>
                        <w:rPr>
                          <w:rFonts w:ascii="Times New Roman" w:hAnsi="Times New Roman"/>
                          <w:color w:val="404040" w:themeColor="text1" w:themeTint="BF"/>
                          <w:sz w:val="24"/>
                          <w:szCs w:val="24"/>
                        </w:rPr>
                        <w:t>du</w:t>
                      </w:r>
                      <w:r w:rsidRPr="00753E9A">
                        <w:rPr>
                          <w:rFonts w:ascii="Times New Roman" w:hAnsi="Times New Roman"/>
                          <w:color w:val="404040" w:themeColor="text1" w:themeTint="BF"/>
                          <w:sz w:val="24"/>
                          <w:szCs w:val="24"/>
                        </w:rPr>
                        <w:t xml:space="preserve"> Portefeuille et la GECAMINES pour obtenir plus de clarifications au sujet du statut exact de l’entreprise  SIMCO.</w:t>
                      </w:r>
                    </w:p>
                    <w:p w14:paraId="5F6F469D" w14:textId="77777777" w:rsidR="00E357DF" w:rsidRDefault="00E357DF" w:rsidP="00EF425B">
                      <w:pPr>
                        <w:pStyle w:val="Paragraphedeliste"/>
                        <w:ind w:left="284"/>
                      </w:pPr>
                    </w:p>
                  </w:txbxContent>
                </v:textbox>
              </v:shape>
            </w:pict>
          </mc:Fallback>
        </mc:AlternateContent>
      </w:r>
      <w:r w:rsidR="00F000B0" w:rsidRPr="007D6F12">
        <w:rPr>
          <w:rFonts w:ascii="Times New Roman" w:hAnsi="Times New Roman"/>
          <w:sz w:val="18"/>
          <w:szCs w:val="18"/>
        </w:rPr>
        <w:t>* SIMCO est une entreprise immobilière  détenue par la GECAMINES (99%) et la SCMK-Mn (1%). Elle détient des participations dans KCC et dans SICOMINES.  C’est sur cette base qu’elle participe aux déclarations ITIE.</w:t>
      </w:r>
      <w:r w:rsidR="000E4FC8">
        <w:rPr>
          <w:rFonts w:ascii="Times New Roman" w:hAnsi="Times New Roman"/>
          <w:sz w:val="18"/>
          <w:szCs w:val="18"/>
        </w:rPr>
        <w:t xml:space="preserve"> Cependant, s</w:t>
      </w:r>
      <w:r w:rsidR="00F000B0" w:rsidRPr="007D6F12">
        <w:rPr>
          <w:rFonts w:ascii="Times New Roman" w:hAnsi="Times New Roman"/>
          <w:sz w:val="18"/>
          <w:szCs w:val="18"/>
        </w:rPr>
        <w:t>es participations  n’ont</w:t>
      </w:r>
      <w:r w:rsidR="00DD6B8C">
        <w:rPr>
          <w:rFonts w:ascii="Times New Roman" w:hAnsi="Times New Roman"/>
          <w:sz w:val="18"/>
          <w:szCs w:val="18"/>
        </w:rPr>
        <w:t xml:space="preserve"> pas été renseignées en 2016. </w:t>
      </w:r>
      <w:r w:rsidR="00F000B0" w:rsidRPr="00DD6B8C">
        <w:rPr>
          <w:rFonts w:ascii="Times New Roman" w:hAnsi="Times New Roman"/>
          <w:sz w:val="18"/>
          <w:szCs w:val="18"/>
        </w:rPr>
        <w:t>En effet, le Procès-verbal  reçu du Ministère du Portefeuille sanctionnant les travaux de mise à jour des participations effectués par le Conseil  Supérieur du Portefeuille et les experts de la  SCMK-Mn,  indique que   la GECAMINES  a repris la gestion immobilière confiée à SIMCO</w:t>
      </w:r>
      <w:r w:rsidR="003F1E24" w:rsidRPr="00DD6B8C">
        <w:rPr>
          <w:rFonts w:ascii="Times New Roman" w:hAnsi="Times New Roman"/>
          <w:sz w:val="18"/>
          <w:szCs w:val="18"/>
        </w:rPr>
        <w:t>,</w:t>
      </w:r>
      <w:r w:rsidR="00F000B0" w:rsidRPr="00DD6B8C">
        <w:rPr>
          <w:rFonts w:ascii="Times New Roman" w:hAnsi="Times New Roman"/>
          <w:sz w:val="18"/>
          <w:szCs w:val="18"/>
        </w:rPr>
        <w:t xml:space="preserve"> à l’exception</w:t>
      </w:r>
      <w:r w:rsidR="003F1E24" w:rsidRPr="00DD6B8C">
        <w:rPr>
          <w:rFonts w:ascii="Times New Roman" w:hAnsi="Times New Roman"/>
          <w:sz w:val="18"/>
          <w:szCs w:val="18"/>
        </w:rPr>
        <w:t xml:space="preserve"> des participations.</w:t>
      </w:r>
    </w:p>
    <w:p w14:paraId="6FAE222C" w14:textId="2FF4280C" w:rsidR="00943F67" w:rsidRDefault="00943F67" w:rsidP="001E22F7">
      <w:pPr>
        <w:jc w:val="both"/>
        <w:rPr>
          <w:rFonts w:ascii="Times New Roman" w:hAnsi="Times New Roman"/>
          <w:color w:val="385623" w:themeColor="accent6" w:themeShade="80"/>
          <w:sz w:val="24"/>
          <w:szCs w:val="24"/>
        </w:rPr>
      </w:pPr>
    </w:p>
    <w:p w14:paraId="49E422CC" w14:textId="77777777" w:rsidR="00EF425B" w:rsidRDefault="00EF425B" w:rsidP="001E22F7">
      <w:pPr>
        <w:jc w:val="both"/>
        <w:rPr>
          <w:rFonts w:ascii="Times New Roman" w:hAnsi="Times New Roman"/>
          <w:color w:val="385623" w:themeColor="accent6" w:themeShade="80"/>
          <w:sz w:val="24"/>
          <w:szCs w:val="24"/>
        </w:rPr>
      </w:pPr>
    </w:p>
    <w:p w14:paraId="6F5D67A6" w14:textId="77777777" w:rsidR="00EF425B" w:rsidRDefault="00EF425B" w:rsidP="001E22F7">
      <w:pPr>
        <w:jc w:val="both"/>
        <w:rPr>
          <w:rFonts w:ascii="Times New Roman" w:hAnsi="Times New Roman"/>
          <w:color w:val="385623" w:themeColor="accent6" w:themeShade="80"/>
          <w:sz w:val="24"/>
          <w:szCs w:val="24"/>
        </w:rPr>
      </w:pPr>
    </w:p>
    <w:p w14:paraId="6D5E39AC" w14:textId="77777777" w:rsidR="00EF425B" w:rsidRDefault="00EF425B" w:rsidP="001E22F7">
      <w:pPr>
        <w:jc w:val="both"/>
        <w:rPr>
          <w:rFonts w:ascii="Times New Roman" w:hAnsi="Times New Roman"/>
          <w:color w:val="385623" w:themeColor="accent6" w:themeShade="80"/>
          <w:sz w:val="24"/>
          <w:szCs w:val="24"/>
        </w:rPr>
      </w:pPr>
    </w:p>
    <w:p w14:paraId="52D76AC1" w14:textId="77777777" w:rsidR="00EF425B" w:rsidRPr="00EF425B" w:rsidRDefault="00EF425B" w:rsidP="001E22F7">
      <w:pPr>
        <w:jc w:val="both"/>
        <w:rPr>
          <w:rFonts w:ascii="Times New Roman" w:hAnsi="Times New Roman"/>
          <w:color w:val="385623" w:themeColor="accent6" w:themeShade="80"/>
          <w:sz w:val="24"/>
          <w:szCs w:val="24"/>
        </w:rPr>
      </w:pPr>
    </w:p>
    <w:p w14:paraId="0661D3EB" w14:textId="41ABF473" w:rsidR="00F000B0" w:rsidRPr="00C47879" w:rsidRDefault="00553B37" w:rsidP="000738D3">
      <w:pPr>
        <w:pStyle w:val="Titre2"/>
        <w:numPr>
          <w:ilvl w:val="0"/>
          <w:numId w:val="54"/>
        </w:numPr>
        <w:ind w:left="284"/>
        <w:jc w:val="center"/>
        <w:rPr>
          <w:rFonts w:ascii="Times New Roman" w:hAnsi="Times New Roman" w:cs="Times New Roman"/>
          <w:color w:val="3B3838" w:themeColor="background2" w:themeShade="40"/>
          <w:sz w:val="28"/>
          <w:szCs w:val="28"/>
        </w:rPr>
      </w:pPr>
      <w:bookmarkStart w:id="187" w:name="_Toc518468108"/>
      <w:r w:rsidRPr="00C47879">
        <w:rPr>
          <w:rFonts w:ascii="Times New Roman" w:hAnsi="Times New Roman" w:cs="Times New Roman"/>
          <w:caps w:val="0"/>
          <w:color w:val="3B3838" w:themeColor="background2" w:themeShade="40"/>
          <w:sz w:val="28"/>
          <w:szCs w:val="28"/>
        </w:rPr>
        <w:t xml:space="preserve">Considérations particulières sur </w:t>
      </w:r>
      <w:r>
        <w:rPr>
          <w:rFonts w:ascii="Times New Roman" w:hAnsi="Times New Roman" w:cs="Times New Roman"/>
          <w:caps w:val="0"/>
          <w:color w:val="3B3838" w:themeColor="background2" w:themeShade="40"/>
          <w:sz w:val="28"/>
          <w:szCs w:val="28"/>
        </w:rPr>
        <w:t>l</w:t>
      </w:r>
      <w:r w:rsidRPr="00C47879">
        <w:rPr>
          <w:rFonts w:ascii="Times New Roman" w:hAnsi="Times New Roman" w:cs="Times New Roman"/>
          <w:caps w:val="0"/>
          <w:color w:val="3B3838" w:themeColor="background2" w:themeShade="40"/>
          <w:sz w:val="28"/>
          <w:szCs w:val="28"/>
        </w:rPr>
        <w:t>es EPE.</w:t>
      </w:r>
      <w:bookmarkEnd w:id="187"/>
    </w:p>
    <w:p w14:paraId="433CE89B" w14:textId="2F74E086" w:rsidR="00F000B0" w:rsidRPr="00DA26B6" w:rsidRDefault="00C47879" w:rsidP="000738D3">
      <w:pPr>
        <w:pStyle w:val="Titre3"/>
        <w:keepNext w:val="0"/>
        <w:keepLines w:val="0"/>
        <w:numPr>
          <w:ilvl w:val="0"/>
          <w:numId w:val="47"/>
        </w:numPr>
        <w:ind w:hanging="218"/>
        <w:contextualSpacing w:val="0"/>
        <w:jc w:val="both"/>
        <w:rPr>
          <w:rFonts w:ascii="Times New Roman" w:hAnsi="Times New Roman" w:cs="Times New Roman"/>
          <w:color w:val="2F5496" w:themeColor="accent5" w:themeShade="BF"/>
          <w:sz w:val="24"/>
          <w:szCs w:val="24"/>
        </w:rPr>
      </w:pPr>
      <w:r w:rsidRPr="00C47879">
        <w:rPr>
          <w:rFonts w:ascii="Times New Roman" w:hAnsi="Times New Roman" w:cs="Times New Roman"/>
          <w:b/>
          <w:color w:val="2F5496" w:themeColor="accent5" w:themeShade="BF"/>
          <w:sz w:val="24"/>
          <w:szCs w:val="24"/>
        </w:rPr>
        <w:t xml:space="preserve"> </w:t>
      </w:r>
      <w:bookmarkStart w:id="188" w:name="_Toc518468109"/>
      <w:r w:rsidR="00F000B0" w:rsidRPr="00DA26B6">
        <w:rPr>
          <w:rFonts w:ascii="Times New Roman" w:hAnsi="Times New Roman" w:cs="Times New Roman"/>
          <w:color w:val="2F5496" w:themeColor="accent5" w:themeShade="BF"/>
          <w:sz w:val="24"/>
          <w:szCs w:val="24"/>
        </w:rPr>
        <w:t>Fiche signalétique des EPE</w:t>
      </w:r>
      <w:bookmarkEnd w:id="188"/>
    </w:p>
    <w:p w14:paraId="12B44EAA" w14:textId="1F04CF6D" w:rsidR="00F000B0" w:rsidRPr="00AA5351" w:rsidRDefault="00F000B0" w:rsidP="00C47879">
      <w:pPr>
        <w:ind w:left="644"/>
        <w:jc w:val="both"/>
        <w:rPr>
          <w:rFonts w:ascii="Times New Roman" w:hAnsi="Times New Roman"/>
          <w:sz w:val="24"/>
          <w:szCs w:val="24"/>
        </w:rPr>
      </w:pPr>
      <w:r w:rsidRPr="00C47879">
        <w:rPr>
          <w:rFonts w:ascii="Times New Roman" w:hAnsi="Times New Roman"/>
          <w:sz w:val="24"/>
          <w:szCs w:val="24"/>
        </w:rPr>
        <w:t>Voir tableau en annexe</w:t>
      </w:r>
      <w:r w:rsidR="00C47879">
        <w:rPr>
          <w:rFonts w:ascii="Times New Roman" w:hAnsi="Times New Roman"/>
          <w:sz w:val="24"/>
          <w:szCs w:val="24"/>
        </w:rPr>
        <w:t>.</w:t>
      </w:r>
    </w:p>
    <w:p w14:paraId="22508064" w14:textId="20400BE6" w:rsidR="00F000B0" w:rsidRPr="00DD6B8C" w:rsidRDefault="00C47879" w:rsidP="000738D3">
      <w:pPr>
        <w:pStyle w:val="Titre3"/>
        <w:keepNext w:val="0"/>
        <w:keepLines w:val="0"/>
        <w:numPr>
          <w:ilvl w:val="0"/>
          <w:numId w:val="47"/>
        </w:numPr>
        <w:ind w:hanging="218"/>
        <w:contextualSpacing w:val="0"/>
        <w:jc w:val="both"/>
        <w:rPr>
          <w:rFonts w:ascii="Times New Roman" w:hAnsi="Times New Roman" w:cs="Times New Roman"/>
          <w:color w:val="2F5496" w:themeColor="accent5" w:themeShade="BF"/>
          <w:sz w:val="24"/>
          <w:szCs w:val="24"/>
        </w:rPr>
      </w:pPr>
      <w:r>
        <w:rPr>
          <w:b/>
          <w:color w:val="2F5496" w:themeColor="accent5" w:themeShade="BF"/>
          <w:sz w:val="24"/>
          <w:szCs w:val="24"/>
        </w:rPr>
        <w:t xml:space="preserve"> </w:t>
      </w:r>
      <w:bookmarkStart w:id="189" w:name="_Toc518468110"/>
      <w:r w:rsidR="00F000B0" w:rsidRPr="00DD6B8C">
        <w:rPr>
          <w:rFonts w:ascii="Times New Roman" w:hAnsi="Times New Roman" w:cs="Times New Roman"/>
          <w:color w:val="2F5496" w:themeColor="accent5" w:themeShade="BF"/>
          <w:sz w:val="24"/>
          <w:szCs w:val="24"/>
        </w:rPr>
        <w:t>Règles et pratiques de la relation financière entre les EPE, l’Etat  et les JV</w:t>
      </w:r>
      <w:bookmarkEnd w:id="189"/>
      <w:r w:rsidR="00F000B0" w:rsidRPr="00DD6B8C">
        <w:rPr>
          <w:rFonts w:ascii="Times New Roman" w:hAnsi="Times New Roman" w:cs="Times New Roman"/>
          <w:color w:val="2F5496" w:themeColor="accent5" w:themeShade="BF"/>
          <w:sz w:val="24"/>
          <w:szCs w:val="24"/>
        </w:rPr>
        <w:t xml:space="preserve"> </w:t>
      </w:r>
    </w:p>
    <w:p w14:paraId="055A53D9" w14:textId="77777777" w:rsidR="00F000B0" w:rsidRPr="00AA5351" w:rsidRDefault="003F1E24" w:rsidP="00C47879">
      <w:pPr>
        <w:pStyle w:val="Paragraphedeliste"/>
        <w:ind w:left="644"/>
        <w:jc w:val="both"/>
        <w:rPr>
          <w:rFonts w:ascii="Times New Roman" w:hAnsi="Times New Roman" w:cs="Times New Roman"/>
          <w:sz w:val="24"/>
          <w:szCs w:val="24"/>
        </w:rPr>
      </w:pPr>
      <w:r>
        <w:rPr>
          <w:rFonts w:ascii="Times New Roman" w:hAnsi="Times New Roman" w:cs="Times New Roman"/>
          <w:sz w:val="24"/>
          <w:szCs w:val="24"/>
        </w:rPr>
        <w:t>Ces informations seront contenues dans le rapport de revue des états financiers des EPE en cours d’élaboration.</w:t>
      </w:r>
    </w:p>
    <w:p w14:paraId="2775CC4E" w14:textId="767DB917" w:rsidR="00F000B0" w:rsidRPr="00DD6B8C" w:rsidRDefault="00C47879" w:rsidP="000738D3">
      <w:pPr>
        <w:pStyle w:val="Titre3"/>
        <w:keepNext w:val="0"/>
        <w:keepLines w:val="0"/>
        <w:numPr>
          <w:ilvl w:val="0"/>
          <w:numId w:val="47"/>
        </w:numPr>
        <w:ind w:hanging="218"/>
        <w:contextualSpacing w:val="0"/>
        <w:jc w:val="both"/>
        <w:rPr>
          <w:rFonts w:ascii="Times New Roman" w:hAnsi="Times New Roman" w:cs="Times New Roman"/>
          <w:color w:val="2F5496" w:themeColor="accent5" w:themeShade="BF"/>
          <w:sz w:val="24"/>
          <w:szCs w:val="24"/>
        </w:rPr>
      </w:pPr>
      <w:bookmarkStart w:id="190" w:name="_Toc518468111"/>
      <w:r w:rsidRPr="00DD6B8C">
        <w:rPr>
          <w:rFonts w:ascii="Times New Roman" w:hAnsi="Times New Roman" w:cs="Times New Roman"/>
          <w:color w:val="2F5496" w:themeColor="accent5" w:themeShade="BF"/>
          <w:sz w:val="24"/>
          <w:szCs w:val="24"/>
        </w:rPr>
        <w:t>T</w:t>
      </w:r>
      <w:r w:rsidR="00F000B0" w:rsidRPr="00DD6B8C">
        <w:rPr>
          <w:rFonts w:ascii="Times New Roman" w:hAnsi="Times New Roman" w:cs="Times New Roman"/>
          <w:color w:val="2F5496" w:themeColor="accent5" w:themeShade="BF"/>
          <w:sz w:val="24"/>
          <w:szCs w:val="24"/>
        </w:rPr>
        <w:t>ransactions des EPE</w:t>
      </w:r>
      <w:bookmarkEnd w:id="190"/>
    </w:p>
    <w:p w14:paraId="161E47D5" w14:textId="77777777" w:rsidR="008E309D" w:rsidRPr="00AA5351" w:rsidRDefault="00F000B0" w:rsidP="008E309D">
      <w:pPr>
        <w:pStyle w:val="Paragraphedeliste"/>
        <w:ind w:left="644"/>
        <w:jc w:val="both"/>
        <w:rPr>
          <w:rFonts w:ascii="Times New Roman" w:hAnsi="Times New Roman" w:cs="Times New Roman"/>
          <w:sz w:val="24"/>
          <w:szCs w:val="24"/>
        </w:rPr>
      </w:pPr>
      <w:r w:rsidRPr="008E309D">
        <w:rPr>
          <w:rFonts w:ascii="Times New Roman" w:hAnsi="Times New Roman" w:cs="Times New Roman"/>
          <w:sz w:val="24"/>
          <w:szCs w:val="24"/>
        </w:rPr>
        <w:t xml:space="preserve">Cette partie sera complétée par </w:t>
      </w:r>
      <w:r w:rsidR="008E309D" w:rsidRPr="008E309D">
        <w:rPr>
          <w:rFonts w:ascii="Times New Roman" w:hAnsi="Times New Roman" w:cs="Times New Roman"/>
          <w:sz w:val="24"/>
          <w:szCs w:val="24"/>
        </w:rPr>
        <w:t>le</w:t>
      </w:r>
      <w:r w:rsidR="008E309D">
        <w:rPr>
          <w:rFonts w:ascii="Times New Roman" w:hAnsi="Times New Roman" w:cs="Times New Roman"/>
          <w:sz w:val="24"/>
          <w:szCs w:val="24"/>
        </w:rPr>
        <w:t xml:space="preserve"> rapport de revue des états financiers des EPE en cours d’élaboration.</w:t>
      </w:r>
    </w:p>
    <w:p w14:paraId="22B66E81" w14:textId="4BBA1737" w:rsidR="008E309D" w:rsidRDefault="008E309D">
      <w:pPr>
        <w:rPr>
          <w:rFonts w:ascii="Times New Roman" w:eastAsiaTheme="minorHAnsi" w:hAnsi="Times New Roman"/>
          <w:sz w:val="24"/>
          <w:szCs w:val="24"/>
        </w:rPr>
      </w:pPr>
      <w:r>
        <w:rPr>
          <w:rFonts w:ascii="Times New Roman" w:hAnsi="Times New Roman"/>
          <w:sz w:val="24"/>
          <w:szCs w:val="24"/>
        </w:rPr>
        <w:br w:type="page"/>
      </w:r>
    </w:p>
    <w:p w14:paraId="1FB6662D" w14:textId="77777777" w:rsidR="008E309D" w:rsidRDefault="008E309D" w:rsidP="008E309D">
      <w:pPr>
        <w:pStyle w:val="Paragraphedeliste"/>
        <w:ind w:left="644"/>
        <w:jc w:val="both"/>
        <w:rPr>
          <w:rFonts w:ascii="Times New Roman" w:hAnsi="Times New Roman" w:cs="Times New Roman"/>
          <w:sz w:val="24"/>
          <w:szCs w:val="24"/>
        </w:rPr>
        <w:sectPr w:rsidR="008E309D" w:rsidSect="00EB516D">
          <w:headerReference w:type="default" r:id="rId55"/>
          <w:footerReference w:type="default" r:id="rId56"/>
          <w:pgSz w:w="11906" w:h="16838"/>
          <w:pgMar w:top="1417" w:right="849" w:bottom="1417" w:left="1417" w:header="708" w:footer="708" w:gutter="0"/>
          <w:pgNumType w:start="0"/>
          <w:cols w:space="708"/>
          <w:titlePg/>
          <w:docGrid w:linePitch="360"/>
        </w:sectPr>
      </w:pPr>
    </w:p>
    <w:p w14:paraId="3D197657" w14:textId="62B39DB7" w:rsidR="008E309D" w:rsidRDefault="008E309D" w:rsidP="008E309D">
      <w:pPr>
        <w:pStyle w:val="Paragraphedeliste"/>
        <w:ind w:left="644"/>
        <w:jc w:val="both"/>
        <w:rPr>
          <w:rFonts w:ascii="Times New Roman" w:hAnsi="Times New Roman" w:cs="Times New Roman"/>
          <w:sz w:val="24"/>
          <w:szCs w:val="24"/>
        </w:rPr>
      </w:pPr>
    </w:p>
    <w:p w14:paraId="6D2BA01B" w14:textId="03029BC3" w:rsidR="00F000B0" w:rsidRPr="00AA5351" w:rsidRDefault="00F000B0" w:rsidP="00F000B0">
      <w:pPr>
        <w:pStyle w:val="Paragraphedeliste"/>
        <w:rPr>
          <w:rFonts w:ascii="Times New Roman" w:hAnsi="Times New Roman" w:cs="Times New Roman"/>
          <w:sz w:val="24"/>
          <w:szCs w:val="24"/>
        </w:rPr>
      </w:pPr>
    </w:p>
    <w:tbl>
      <w:tblPr>
        <w:tblW w:w="16018" w:type="dxa"/>
        <w:tblInd w:w="-709" w:type="dxa"/>
        <w:tblLayout w:type="fixed"/>
        <w:tblCellMar>
          <w:left w:w="70" w:type="dxa"/>
          <w:right w:w="70" w:type="dxa"/>
        </w:tblCellMar>
        <w:tblLook w:val="04A0" w:firstRow="1" w:lastRow="0" w:firstColumn="1" w:lastColumn="0" w:noHBand="0" w:noVBand="1"/>
      </w:tblPr>
      <w:tblGrid>
        <w:gridCol w:w="1560"/>
        <w:gridCol w:w="1276"/>
        <w:gridCol w:w="1134"/>
        <w:gridCol w:w="1134"/>
        <w:gridCol w:w="992"/>
        <w:gridCol w:w="1134"/>
        <w:gridCol w:w="1134"/>
        <w:gridCol w:w="1134"/>
        <w:gridCol w:w="1134"/>
        <w:gridCol w:w="992"/>
        <w:gridCol w:w="1134"/>
        <w:gridCol w:w="992"/>
        <w:gridCol w:w="993"/>
        <w:gridCol w:w="1275"/>
      </w:tblGrid>
      <w:tr w:rsidR="00F000B0" w:rsidRPr="00AA5351" w14:paraId="015916B2" w14:textId="77777777" w:rsidTr="00F000B0">
        <w:trPr>
          <w:trHeight w:val="288"/>
        </w:trPr>
        <w:tc>
          <w:tcPr>
            <w:tcW w:w="1560" w:type="dxa"/>
            <w:tcBorders>
              <w:top w:val="nil"/>
              <w:left w:val="nil"/>
              <w:bottom w:val="nil"/>
              <w:right w:val="nil"/>
            </w:tcBorders>
            <w:shd w:val="clear" w:color="auto" w:fill="auto"/>
            <w:noWrap/>
            <w:vAlign w:val="bottom"/>
            <w:hideMark/>
          </w:tcPr>
          <w:p w14:paraId="3DAA1F80" w14:textId="77777777" w:rsidR="00F000B0" w:rsidRPr="00AA5351" w:rsidRDefault="00F000B0" w:rsidP="00F000B0">
            <w:pPr>
              <w:spacing w:after="0" w:line="240" w:lineRule="auto"/>
              <w:rPr>
                <w:rFonts w:ascii="Times New Roman" w:eastAsia="Times New Roman" w:hAnsi="Times New Roman"/>
                <w:sz w:val="24"/>
                <w:szCs w:val="24"/>
                <w:lang w:eastAsia="fr-FR"/>
              </w:rPr>
            </w:pPr>
          </w:p>
        </w:tc>
        <w:tc>
          <w:tcPr>
            <w:tcW w:w="7938" w:type="dxa"/>
            <w:gridSpan w:val="7"/>
            <w:tcBorders>
              <w:top w:val="nil"/>
              <w:left w:val="nil"/>
              <w:bottom w:val="nil"/>
              <w:right w:val="nil"/>
            </w:tcBorders>
            <w:shd w:val="clear" w:color="auto" w:fill="auto"/>
            <w:noWrap/>
            <w:vAlign w:val="bottom"/>
            <w:hideMark/>
          </w:tcPr>
          <w:p w14:paraId="4287365C" w14:textId="31DDF2EA" w:rsidR="00F000B0" w:rsidRPr="00AA5351" w:rsidRDefault="00F000B0" w:rsidP="00F000B0">
            <w:pPr>
              <w:spacing w:after="0" w:line="240" w:lineRule="auto"/>
              <w:jc w:val="center"/>
              <w:rPr>
                <w:rFonts w:ascii="Times New Roman" w:eastAsia="Times New Roman" w:hAnsi="Times New Roman"/>
                <w:b/>
                <w:bCs/>
                <w:color w:val="000000"/>
                <w:sz w:val="24"/>
                <w:szCs w:val="24"/>
                <w:lang w:eastAsia="fr-FR"/>
              </w:rPr>
            </w:pPr>
            <w:r w:rsidRPr="00AA5351">
              <w:rPr>
                <w:rFonts w:ascii="Times New Roman" w:eastAsia="Times New Roman" w:hAnsi="Times New Roman"/>
                <w:b/>
                <w:bCs/>
                <w:color w:val="000000"/>
                <w:sz w:val="24"/>
                <w:szCs w:val="24"/>
                <w:lang w:eastAsia="fr-FR"/>
              </w:rPr>
              <w:t>TYPES DE FLUX PERÇUS PAR LES EP</w:t>
            </w:r>
            <w:r w:rsidR="00DD6B8C">
              <w:rPr>
                <w:rFonts w:ascii="Times New Roman" w:eastAsia="Times New Roman" w:hAnsi="Times New Roman"/>
                <w:b/>
                <w:bCs/>
                <w:color w:val="000000"/>
                <w:sz w:val="24"/>
                <w:szCs w:val="24"/>
                <w:lang w:eastAsia="fr-FR"/>
              </w:rPr>
              <w:t>E</w:t>
            </w:r>
            <w:r w:rsidRPr="00AA5351">
              <w:rPr>
                <w:rFonts w:ascii="Times New Roman" w:eastAsia="Times New Roman" w:hAnsi="Times New Roman"/>
                <w:b/>
                <w:bCs/>
                <w:color w:val="000000"/>
                <w:sz w:val="24"/>
                <w:szCs w:val="24"/>
                <w:lang w:eastAsia="fr-FR"/>
              </w:rPr>
              <w:t xml:space="preserve"> EN 2016(en $USD)</w:t>
            </w:r>
          </w:p>
          <w:p w14:paraId="583D3E7D" w14:textId="77777777" w:rsidR="00F000B0" w:rsidRPr="00AA5351" w:rsidRDefault="00F000B0" w:rsidP="00F000B0">
            <w:pPr>
              <w:spacing w:after="0" w:line="240" w:lineRule="auto"/>
              <w:jc w:val="center"/>
              <w:rPr>
                <w:rFonts w:ascii="Times New Roman" w:eastAsia="Times New Roman" w:hAnsi="Times New Roman"/>
                <w:b/>
                <w:bCs/>
                <w:color w:val="000000"/>
                <w:sz w:val="24"/>
                <w:szCs w:val="24"/>
                <w:lang w:eastAsia="fr-FR"/>
              </w:rPr>
            </w:pPr>
          </w:p>
        </w:tc>
        <w:tc>
          <w:tcPr>
            <w:tcW w:w="1134" w:type="dxa"/>
            <w:tcBorders>
              <w:top w:val="nil"/>
              <w:left w:val="nil"/>
              <w:bottom w:val="nil"/>
              <w:right w:val="nil"/>
            </w:tcBorders>
            <w:shd w:val="clear" w:color="auto" w:fill="auto"/>
            <w:noWrap/>
            <w:vAlign w:val="bottom"/>
            <w:hideMark/>
          </w:tcPr>
          <w:p w14:paraId="40931DCC" w14:textId="77777777" w:rsidR="00F000B0" w:rsidRPr="00AA5351" w:rsidRDefault="00F000B0" w:rsidP="00F000B0">
            <w:pPr>
              <w:spacing w:after="0" w:line="240" w:lineRule="auto"/>
              <w:jc w:val="center"/>
              <w:rPr>
                <w:rFonts w:ascii="Times New Roman" w:eastAsia="Times New Roman" w:hAnsi="Times New Roman"/>
                <w:b/>
                <w:bCs/>
                <w:color w:val="000000"/>
                <w:sz w:val="24"/>
                <w:szCs w:val="24"/>
                <w:lang w:eastAsia="fr-FR"/>
              </w:rPr>
            </w:pPr>
          </w:p>
        </w:tc>
        <w:tc>
          <w:tcPr>
            <w:tcW w:w="992" w:type="dxa"/>
            <w:tcBorders>
              <w:top w:val="nil"/>
              <w:left w:val="nil"/>
              <w:bottom w:val="nil"/>
              <w:right w:val="nil"/>
            </w:tcBorders>
            <w:shd w:val="clear" w:color="auto" w:fill="auto"/>
            <w:noWrap/>
            <w:vAlign w:val="bottom"/>
            <w:hideMark/>
          </w:tcPr>
          <w:p w14:paraId="66EAF386" w14:textId="77777777" w:rsidR="00F000B0" w:rsidRPr="00AA5351" w:rsidRDefault="00F000B0" w:rsidP="00F000B0">
            <w:pPr>
              <w:spacing w:after="0" w:line="240" w:lineRule="auto"/>
              <w:rPr>
                <w:rFonts w:ascii="Times New Roman" w:eastAsia="Times New Roman" w:hAnsi="Times New Roman"/>
                <w:sz w:val="24"/>
                <w:szCs w:val="24"/>
                <w:lang w:eastAsia="fr-FR"/>
              </w:rPr>
            </w:pPr>
          </w:p>
        </w:tc>
        <w:tc>
          <w:tcPr>
            <w:tcW w:w="1134" w:type="dxa"/>
            <w:tcBorders>
              <w:top w:val="nil"/>
              <w:left w:val="nil"/>
              <w:bottom w:val="nil"/>
              <w:right w:val="nil"/>
            </w:tcBorders>
            <w:shd w:val="clear" w:color="auto" w:fill="auto"/>
            <w:noWrap/>
            <w:vAlign w:val="bottom"/>
            <w:hideMark/>
          </w:tcPr>
          <w:p w14:paraId="5E8D4268" w14:textId="77777777" w:rsidR="00F000B0" w:rsidRPr="00AA5351" w:rsidRDefault="00F000B0" w:rsidP="00F000B0">
            <w:pPr>
              <w:spacing w:after="0" w:line="240" w:lineRule="auto"/>
              <w:rPr>
                <w:rFonts w:ascii="Times New Roman" w:eastAsia="Times New Roman" w:hAnsi="Times New Roman"/>
                <w:sz w:val="24"/>
                <w:szCs w:val="24"/>
                <w:lang w:eastAsia="fr-FR"/>
              </w:rPr>
            </w:pPr>
          </w:p>
        </w:tc>
        <w:tc>
          <w:tcPr>
            <w:tcW w:w="992" w:type="dxa"/>
            <w:tcBorders>
              <w:top w:val="nil"/>
              <w:left w:val="nil"/>
              <w:bottom w:val="nil"/>
              <w:right w:val="nil"/>
            </w:tcBorders>
            <w:shd w:val="clear" w:color="auto" w:fill="auto"/>
            <w:noWrap/>
            <w:vAlign w:val="bottom"/>
            <w:hideMark/>
          </w:tcPr>
          <w:p w14:paraId="6C396ABE" w14:textId="77777777" w:rsidR="00F000B0" w:rsidRPr="00AA5351" w:rsidRDefault="00F000B0" w:rsidP="00F000B0">
            <w:pPr>
              <w:spacing w:after="0" w:line="240" w:lineRule="auto"/>
              <w:rPr>
                <w:rFonts w:ascii="Times New Roman" w:eastAsia="Times New Roman" w:hAnsi="Times New Roman"/>
                <w:sz w:val="24"/>
                <w:szCs w:val="24"/>
                <w:lang w:eastAsia="fr-FR"/>
              </w:rPr>
            </w:pPr>
          </w:p>
        </w:tc>
        <w:tc>
          <w:tcPr>
            <w:tcW w:w="993" w:type="dxa"/>
            <w:tcBorders>
              <w:top w:val="nil"/>
              <w:left w:val="nil"/>
              <w:bottom w:val="nil"/>
              <w:right w:val="nil"/>
            </w:tcBorders>
            <w:shd w:val="clear" w:color="auto" w:fill="auto"/>
            <w:noWrap/>
            <w:vAlign w:val="bottom"/>
            <w:hideMark/>
          </w:tcPr>
          <w:p w14:paraId="71C0E87E" w14:textId="77777777" w:rsidR="00F000B0" w:rsidRPr="00AA5351" w:rsidRDefault="00F000B0" w:rsidP="00F000B0">
            <w:pPr>
              <w:spacing w:after="0" w:line="240" w:lineRule="auto"/>
              <w:rPr>
                <w:rFonts w:ascii="Times New Roman" w:eastAsia="Times New Roman" w:hAnsi="Times New Roman"/>
                <w:sz w:val="24"/>
                <w:szCs w:val="24"/>
                <w:lang w:eastAsia="fr-FR"/>
              </w:rPr>
            </w:pPr>
          </w:p>
        </w:tc>
        <w:tc>
          <w:tcPr>
            <w:tcW w:w="1275" w:type="dxa"/>
            <w:tcBorders>
              <w:top w:val="nil"/>
              <w:left w:val="nil"/>
              <w:bottom w:val="nil"/>
              <w:right w:val="nil"/>
            </w:tcBorders>
            <w:shd w:val="clear" w:color="auto" w:fill="auto"/>
            <w:noWrap/>
            <w:vAlign w:val="bottom"/>
            <w:hideMark/>
          </w:tcPr>
          <w:p w14:paraId="10A41227" w14:textId="77777777" w:rsidR="00F000B0" w:rsidRPr="00AA5351" w:rsidRDefault="00F000B0" w:rsidP="00F000B0">
            <w:pPr>
              <w:spacing w:after="0" w:line="240" w:lineRule="auto"/>
              <w:rPr>
                <w:rFonts w:ascii="Times New Roman" w:eastAsia="Times New Roman" w:hAnsi="Times New Roman"/>
                <w:sz w:val="24"/>
                <w:szCs w:val="24"/>
                <w:lang w:eastAsia="fr-FR"/>
              </w:rPr>
            </w:pPr>
          </w:p>
        </w:tc>
      </w:tr>
      <w:tr w:rsidR="00F000B0" w:rsidRPr="00CE60CF" w14:paraId="7025108A" w14:textId="77777777" w:rsidTr="00F000B0">
        <w:trPr>
          <w:trHeight w:val="2040"/>
        </w:trPr>
        <w:tc>
          <w:tcPr>
            <w:tcW w:w="1560"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51C86ACD"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Nom de l'EPE</w:t>
            </w:r>
          </w:p>
        </w:tc>
        <w:tc>
          <w:tcPr>
            <w:tcW w:w="1276" w:type="dxa"/>
            <w:tcBorders>
              <w:top w:val="single" w:sz="4" w:space="0" w:color="auto"/>
              <w:left w:val="nil"/>
              <w:bottom w:val="single" w:sz="4" w:space="0" w:color="auto"/>
              <w:right w:val="single" w:sz="4" w:space="0" w:color="auto"/>
            </w:tcBorders>
            <w:shd w:val="clear" w:color="auto" w:fill="FFF2CC" w:themeFill="accent4" w:themeFillTint="33"/>
            <w:noWrap/>
            <w:textDirection w:val="btLr"/>
            <w:vAlign w:val="bottom"/>
            <w:hideMark/>
          </w:tcPr>
          <w:p w14:paraId="10B626E6"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Cession d'actifs</w:t>
            </w:r>
          </w:p>
        </w:tc>
        <w:tc>
          <w:tcPr>
            <w:tcW w:w="1134" w:type="dxa"/>
            <w:tcBorders>
              <w:top w:val="single" w:sz="4" w:space="0" w:color="auto"/>
              <w:left w:val="nil"/>
              <w:bottom w:val="single" w:sz="4" w:space="0" w:color="auto"/>
              <w:right w:val="single" w:sz="4" w:space="0" w:color="auto"/>
            </w:tcBorders>
            <w:shd w:val="clear" w:color="auto" w:fill="FFF2CC" w:themeFill="accent4" w:themeFillTint="33"/>
            <w:noWrap/>
            <w:textDirection w:val="btLr"/>
            <w:vAlign w:val="bottom"/>
            <w:hideMark/>
          </w:tcPr>
          <w:p w14:paraId="36FEFE20"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Frais de Consultance</w:t>
            </w:r>
          </w:p>
        </w:tc>
        <w:tc>
          <w:tcPr>
            <w:tcW w:w="1134" w:type="dxa"/>
            <w:tcBorders>
              <w:top w:val="single" w:sz="4" w:space="0" w:color="auto"/>
              <w:left w:val="nil"/>
              <w:bottom w:val="single" w:sz="4" w:space="0" w:color="auto"/>
              <w:right w:val="single" w:sz="4" w:space="0" w:color="auto"/>
            </w:tcBorders>
            <w:shd w:val="clear" w:color="auto" w:fill="FFF2CC" w:themeFill="accent4" w:themeFillTint="33"/>
            <w:noWrap/>
            <w:textDirection w:val="btLr"/>
            <w:vAlign w:val="bottom"/>
            <w:hideMark/>
          </w:tcPr>
          <w:p w14:paraId="6F67F0C8"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Loyer amodiation</w:t>
            </w:r>
          </w:p>
        </w:tc>
        <w:tc>
          <w:tcPr>
            <w:tcW w:w="992" w:type="dxa"/>
            <w:tcBorders>
              <w:top w:val="single" w:sz="4" w:space="0" w:color="auto"/>
              <w:left w:val="nil"/>
              <w:bottom w:val="single" w:sz="4" w:space="0" w:color="auto"/>
              <w:right w:val="single" w:sz="4" w:space="0" w:color="auto"/>
            </w:tcBorders>
            <w:shd w:val="clear" w:color="auto" w:fill="FFF2CC" w:themeFill="accent4" w:themeFillTint="33"/>
            <w:noWrap/>
            <w:textDirection w:val="btLr"/>
            <w:vAlign w:val="bottom"/>
            <w:hideMark/>
          </w:tcPr>
          <w:p w14:paraId="018D1CB9"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paiement contractuel</w:t>
            </w:r>
          </w:p>
        </w:tc>
        <w:tc>
          <w:tcPr>
            <w:tcW w:w="1134" w:type="dxa"/>
            <w:tcBorders>
              <w:top w:val="single" w:sz="4" w:space="0" w:color="auto"/>
              <w:left w:val="nil"/>
              <w:bottom w:val="single" w:sz="4" w:space="0" w:color="auto"/>
              <w:right w:val="single" w:sz="4" w:space="0" w:color="auto"/>
            </w:tcBorders>
            <w:shd w:val="clear" w:color="auto" w:fill="FFF2CC" w:themeFill="accent4" w:themeFillTint="33"/>
            <w:noWrap/>
            <w:textDirection w:val="btLr"/>
            <w:vAlign w:val="bottom"/>
            <w:hideMark/>
          </w:tcPr>
          <w:p w14:paraId="1D93A69F"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Pas de porte</w:t>
            </w:r>
          </w:p>
        </w:tc>
        <w:tc>
          <w:tcPr>
            <w:tcW w:w="1134" w:type="dxa"/>
            <w:tcBorders>
              <w:top w:val="single" w:sz="4" w:space="0" w:color="auto"/>
              <w:left w:val="nil"/>
              <w:bottom w:val="single" w:sz="4" w:space="0" w:color="auto"/>
              <w:right w:val="single" w:sz="4" w:space="0" w:color="auto"/>
            </w:tcBorders>
            <w:shd w:val="clear" w:color="auto" w:fill="FFF2CC" w:themeFill="accent4" w:themeFillTint="33"/>
            <w:noWrap/>
            <w:textDirection w:val="btLr"/>
            <w:vAlign w:val="bottom"/>
            <w:hideMark/>
          </w:tcPr>
          <w:p w14:paraId="446BEB31"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Prestation service</w:t>
            </w:r>
          </w:p>
        </w:tc>
        <w:tc>
          <w:tcPr>
            <w:tcW w:w="1134" w:type="dxa"/>
            <w:tcBorders>
              <w:top w:val="single" w:sz="4" w:space="0" w:color="auto"/>
              <w:left w:val="nil"/>
              <w:bottom w:val="single" w:sz="4" w:space="0" w:color="auto"/>
              <w:right w:val="single" w:sz="4" w:space="0" w:color="auto"/>
            </w:tcBorders>
            <w:shd w:val="clear" w:color="auto" w:fill="FFF2CC" w:themeFill="accent4" w:themeFillTint="33"/>
            <w:noWrap/>
            <w:textDirection w:val="btLr"/>
            <w:vAlign w:val="bottom"/>
            <w:hideMark/>
          </w:tcPr>
          <w:p w14:paraId="7B2A9C70"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Royalties</w:t>
            </w:r>
          </w:p>
        </w:tc>
        <w:tc>
          <w:tcPr>
            <w:tcW w:w="1134" w:type="dxa"/>
            <w:tcBorders>
              <w:top w:val="single" w:sz="4" w:space="0" w:color="auto"/>
              <w:left w:val="nil"/>
              <w:bottom w:val="single" w:sz="4" w:space="0" w:color="auto"/>
              <w:right w:val="single" w:sz="4" w:space="0" w:color="auto"/>
            </w:tcBorders>
            <w:shd w:val="clear" w:color="auto" w:fill="FFF2CC" w:themeFill="accent4" w:themeFillTint="33"/>
            <w:noWrap/>
            <w:textDirection w:val="btLr"/>
            <w:vAlign w:val="bottom"/>
            <w:hideMark/>
          </w:tcPr>
          <w:p w14:paraId="2CC070EC"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dividendes</w:t>
            </w:r>
          </w:p>
        </w:tc>
        <w:tc>
          <w:tcPr>
            <w:tcW w:w="992" w:type="dxa"/>
            <w:tcBorders>
              <w:top w:val="single" w:sz="4" w:space="0" w:color="auto"/>
              <w:left w:val="nil"/>
              <w:bottom w:val="single" w:sz="4" w:space="0" w:color="auto"/>
              <w:right w:val="single" w:sz="4" w:space="0" w:color="auto"/>
            </w:tcBorders>
            <w:shd w:val="clear" w:color="auto" w:fill="FFF2CC" w:themeFill="accent4" w:themeFillTint="33"/>
            <w:noWrap/>
            <w:textDirection w:val="btLr"/>
            <w:vAlign w:val="bottom"/>
            <w:hideMark/>
          </w:tcPr>
          <w:p w14:paraId="6DB8C780"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frais de formation</w:t>
            </w:r>
          </w:p>
        </w:tc>
        <w:tc>
          <w:tcPr>
            <w:tcW w:w="1134" w:type="dxa"/>
            <w:tcBorders>
              <w:top w:val="single" w:sz="4" w:space="0" w:color="auto"/>
              <w:left w:val="nil"/>
              <w:bottom w:val="single" w:sz="4" w:space="0" w:color="auto"/>
              <w:right w:val="single" w:sz="4" w:space="0" w:color="auto"/>
            </w:tcBorders>
            <w:shd w:val="clear" w:color="auto" w:fill="FFF2CC" w:themeFill="accent4" w:themeFillTint="33"/>
            <w:noWrap/>
            <w:textDirection w:val="btLr"/>
            <w:vAlign w:val="bottom"/>
            <w:hideMark/>
          </w:tcPr>
          <w:p w14:paraId="64CA7B6C"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Vente scories</w:t>
            </w:r>
          </w:p>
        </w:tc>
        <w:tc>
          <w:tcPr>
            <w:tcW w:w="992" w:type="dxa"/>
            <w:tcBorders>
              <w:top w:val="single" w:sz="4" w:space="0" w:color="auto"/>
              <w:left w:val="nil"/>
              <w:bottom w:val="single" w:sz="4" w:space="0" w:color="auto"/>
              <w:right w:val="single" w:sz="4" w:space="0" w:color="auto"/>
            </w:tcBorders>
            <w:shd w:val="clear" w:color="auto" w:fill="FFF2CC" w:themeFill="accent4" w:themeFillTint="33"/>
            <w:noWrap/>
            <w:textDirection w:val="btLr"/>
            <w:vAlign w:val="bottom"/>
            <w:hideMark/>
          </w:tcPr>
          <w:p w14:paraId="46EDDD3D"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Bonus de découverte</w:t>
            </w:r>
          </w:p>
        </w:tc>
        <w:tc>
          <w:tcPr>
            <w:tcW w:w="993" w:type="dxa"/>
            <w:tcBorders>
              <w:top w:val="single" w:sz="4" w:space="0" w:color="auto"/>
              <w:left w:val="nil"/>
              <w:bottom w:val="single" w:sz="4" w:space="0" w:color="auto"/>
              <w:right w:val="single" w:sz="4" w:space="0" w:color="auto"/>
            </w:tcBorders>
            <w:shd w:val="clear" w:color="auto" w:fill="FFF2CC" w:themeFill="accent4" w:themeFillTint="33"/>
            <w:noWrap/>
            <w:textDirection w:val="btLr"/>
            <w:vAlign w:val="bottom"/>
            <w:hideMark/>
          </w:tcPr>
          <w:p w14:paraId="2E4D426E"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Indemnité forfaitaire</w:t>
            </w:r>
          </w:p>
        </w:tc>
        <w:tc>
          <w:tcPr>
            <w:tcW w:w="127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64FA448F"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Total</w:t>
            </w:r>
          </w:p>
        </w:tc>
      </w:tr>
      <w:tr w:rsidR="00F000B0" w:rsidRPr="00CE60CF" w14:paraId="422D2B5A" w14:textId="77777777" w:rsidTr="00F000B0">
        <w:trPr>
          <w:trHeight w:val="288"/>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58F8823B"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GECAMINES</w:t>
            </w:r>
          </w:p>
        </w:tc>
        <w:tc>
          <w:tcPr>
            <w:tcW w:w="1276" w:type="dxa"/>
            <w:tcBorders>
              <w:top w:val="nil"/>
              <w:left w:val="nil"/>
              <w:bottom w:val="single" w:sz="4" w:space="0" w:color="auto"/>
              <w:right w:val="single" w:sz="4" w:space="0" w:color="auto"/>
            </w:tcBorders>
            <w:shd w:val="clear" w:color="auto" w:fill="auto"/>
            <w:noWrap/>
            <w:vAlign w:val="bottom"/>
            <w:hideMark/>
          </w:tcPr>
          <w:p w14:paraId="50A8F443"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110 000 000</w:t>
            </w:r>
          </w:p>
        </w:tc>
        <w:tc>
          <w:tcPr>
            <w:tcW w:w="1134" w:type="dxa"/>
            <w:tcBorders>
              <w:top w:val="nil"/>
              <w:left w:val="nil"/>
              <w:bottom w:val="single" w:sz="4" w:space="0" w:color="auto"/>
              <w:right w:val="single" w:sz="4" w:space="0" w:color="auto"/>
            </w:tcBorders>
            <w:shd w:val="clear" w:color="auto" w:fill="auto"/>
            <w:noWrap/>
            <w:vAlign w:val="bottom"/>
            <w:hideMark/>
          </w:tcPr>
          <w:p w14:paraId="7CAF9E94"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14 260 282</w:t>
            </w:r>
          </w:p>
        </w:tc>
        <w:tc>
          <w:tcPr>
            <w:tcW w:w="1134" w:type="dxa"/>
            <w:tcBorders>
              <w:top w:val="nil"/>
              <w:left w:val="nil"/>
              <w:bottom w:val="single" w:sz="4" w:space="0" w:color="auto"/>
              <w:right w:val="single" w:sz="4" w:space="0" w:color="auto"/>
            </w:tcBorders>
            <w:shd w:val="clear" w:color="auto" w:fill="auto"/>
            <w:noWrap/>
            <w:vAlign w:val="bottom"/>
            <w:hideMark/>
          </w:tcPr>
          <w:p w14:paraId="786397B6"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16 433 913</w:t>
            </w:r>
          </w:p>
        </w:tc>
        <w:tc>
          <w:tcPr>
            <w:tcW w:w="992" w:type="dxa"/>
            <w:tcBorders>
              <w:top w:val="nil"/>
              <w:left w:val="nil"/>
              <w:bottom w:val="single" w:sz="4" w:space="0" w:color="auto"/>
              <w:right w:val="single" w:sz="4" w:space="0" w:color="auto"/>
            </w:tcBorders>
            <w:shd w:val="clear" w:color="auto" w:fill="auto"/>
            <w:noWrap/>
            <w:vAlign w:val="bottom"/>
            <w:hideMark/>
          </w:tcPr>
          <w:p w14:paraId="1FC01C60"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793 820</w:t>
            </w:r>
          </w:p>
        </w:tc>
        <w:tc>
          <w:tcPr>
            <w:tcW w:w="1134" w:type="dxa"/>
            <w:tcBorders>
              <w:top w:val="nil"/>
              <w:left w:val="nil"/>
              <w:bottom w:val="single" w:sz="4" w:space="0" w:color="auto"/>
              <w:right w:val="single" w:sz="4" w:space="0" w:color="auto"/>
            </w:tcBorders>
            <w:shd w:val="clear" w:color="auto" w:fill="auto"/>
            <w:noWrap/>
            <w:vAlign w:val="bottom"/>
            <w:hideMark/>
          </w:tcPr>
          <w:p w14:paraId="280D6113"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19 297 680</w:t>
            </w:r>
          </w:p>
        </w:tc>
        <w:tc>
          <w:tcPr>
            <w:tcW w:w="1134" w:type="dxa"/>
            <w:tcBorders>
              <w:top w:val="nil"/>
              <w:left w:val="nil"/>
              <w:bottom w:val="single" w:sz="4" w:space="0" w:color="auto"/>
              <w:right w:val="single" w:sz="4" w:space="0" w:color="auto"/>
            </w:tcBorders>
            <w:shd w:val="clear" w:color="auto" w:fill="auto"/>
            <w:noWrap/>
            <w:vAlign w:val="bottom"/>
            <w:hideMark/>
          </w:tcPr>
          <w:p w14:paraId="2451D358"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2 047 239</w:t>
            </w:r>
          </w:p>
        </w:tc>
        <w:tc>
          <w:tcPr>
            <w:tcW w:w="1134" w:type="dxa"/>
            <w:tcBorders>
              <w:top w:val="nil"/>
              <w:left w:val="nil"/>
              <w:bottom w:val="single" w:sz="4" w:space="0" w:color="auto"/>
              <w:right w:val="single" w:sz="4" w:space="0" w:color="auto"/>
            </w:tcBorders>
            <w:shd w:val="clear" w:color="auto" w:fill="auto"/>
            <w:noWrap/>
            <w:vAlign w:val="bottom"/>
            <w:hideMark/>
          </w:tcPr>
          <w:p w14:paraId="7225AEB5"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12 493 448</w:t>
            </w:r>
          </w:p>
        </w:tc>
        <w:tc>
          <w:tcPr>
            <w:tcW w:w="1134" w:type="dxa"/>
            <w:tcBorders>
              <w:top w:val="nil"/>
              <w:left w:val="nil"/>
              <w:bottom w:val="single" w:sz="4" w:space="0" w:color="auto"/>
              <w:right w:val="single" w:sz="4" w:space="0" w:color="auto"/>
            </w:tcBorders>
            <w:shd w:val="clear" w:color="auto" w:fill="auto"/>
            <w:noWrap/>
            <w:vAlign w:val="bottom"/>
            <w:hideMark/>
          </w:tcPr>
          <w:p w14:paraId="2AAC4A7E"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2EB29D9D"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155561B6"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89 322 253</w:t>
            </w:r>
          </w:p>
        </w:tc>
        <w:tc>
          <w:tcPr>
            <w:tcW w:w="992" w:type="dxa"/>
            <w:tcBorders>
              <w:top w:val="nil"/>
              <w:left w:val="nil"/>
              <w:bottom w:val="single" w:sz="4" w:space="0" w:color="auto"/>
              <w:right w:val="single" w:sz="4" w:space="0" w:color="auto"/>
            </w:tcBorders>
            <w:shd w:val="clear" w:color="auto" w:fill="auto"/>
            <w:noWrap/>
            <w:vAlign w:val="bottom"/>
            <w:hideMark/>
          </w:tcPr>
          <w:p w14:paraId="07923626"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3" w:type="dxa"/>
            <w:tcBorders>
              <w:top w:val="nil"/>
              <w:left w:val="nil"/>
              <w:bottom w:val="single" w:sz="4" w:space="0" w:color="auto"/>
              <w:right w:val="single" w:sz="4" w:space="0" w:color="auto"/>
            </w:tcBorders>
            <w:shd w:val="clear" w:color="auto" w:fill="auto"/>
            <w:noWrap/>
            <w:vAlign w:val="bottom"/>
            <w:hideMark/>
          </w:tcPr>
          <w:p w14:paraId="0F33F7AB"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275" w:type="dxa"/>
            <w:tcBorders>
              <w:top w:val="nil"/>
              <w:left w:val="nil"/>
              <w:bottom w:val="single" w:sz="4" w:space="0" w:color="auto"/>
              <w:right w:val="single" w:sz="4" w:space="0" w:color="auto"/>
            </w:tcBorders>
            <w:shd w:val="clear" w:color="auto" w:fill="auto"/>
            <w:noWrap/>
            <w:vAlign w:val="bottom"/>
            <w:hideMark/>
          </w:tcPr>
          <w:p w14:paraId="57B126DF" w14:textId="77777777" w:rsidR="00F000B0" w:rsidRPr="00CE60CF" w:rsidRDefault="00F000B0" w:rsidP="00F000B0">
            <w:pPr>
              <w:spacing w:after="0" w:line="240" w:lineRule="auto"/>
              <w:jc w:val="right"/>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264 648 635</w:t>
            </w:r>
          </w:p>
        </w:tc>
      </w:tr>
      <w:tr w:rsidR="00F000B0" w:rsidRPr="00CE60CF" w14:paraId="3D7379FA" w14:textId="77777777" w:rsidTr="00F000B0">
        <w:trPr>
          <w:trHeight w:val="288"/>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59E4FC94"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SODIMICO</w:t>
            </w:r>
          </w:p>
        </w:tc>
        <w:tc>
          <w:tcPr>
            <w:tcW w:w="1276" w:type="dxa"/>
            <w:tcBorders>
              <w:top w:val="nil"/>
              <w:left w:val="nil"/>
              <w:bottom w:val="single" w:sz="4" w:space="0" w:color="auto"/>
              <w:right w:val="single" w:sz="4" w:space="0" w:color="auto"/>
            </w:tcBorders>
            <w:shd w:val="clear" w:color="auto" w:fill="auto"/>
            <w:noWrap/>
            <w:vAlign w:val="bottom"/>
            <w:hideMark/>
          </w:tcPr>
          <w:p w14:paraId="40BA8E49"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4FF15C29"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79698255"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223 570</w:t>
            </w:r>
          </w:p>
        </w:tc>
        <w:tc>
          <w:tcPr>
            <w:tcW w:w="992" w:type="dxa"/>
            <w:tcBorders>
              <w:top w:val="nil"/>
              <w:left w:val="nil"/>
              <w:bottom w:val="single" w:sz="4" w:space="0" w:color="auto"/>
              <w:right w:val="single" w:sz="4" w:space="0" w:color="auto"/>
            </w:tcBorders>
            <w:shd w:val="clear" w:color="auto" w:fill="auto"/>
            <w:noWrap/>
            <w:vAlign w:val="bottom"/>
            <w:hideMark/>
          </w:tcPr>
          <w:p w14:paraId="5FB9F73B"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7C4E721D"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687CC103"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1505814F"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1 309 373</w:t>
            </w:r>
          </w:p>
        </w:tc>
        <w:tc>
          <w:tcPr>
            <w:tcW w:w="1134" w:type="dxa"/>
            <w:tcBorders>
              <w:top w:val="nil"/>
              <w:left w:val="nil"/>
              <w:bottom w:val="single" w:sz="4" w:space="0" w:color="auto"/>
              <w:right w:val="single" w:sz="4" w:space="0" w:color="auto"/>
            </w:tcBorders>
            <w:shd w:val="clear" w:color="auto" w:fill="auto"/>
            <w:noWrap/>
            <w:vAlign w:val="bottom"/>
            <w:hideMark/>
          </w:tcPr>
          <w:p w14:paraId="0F3E78C9"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6AAC7CA0"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7635FC82"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10250722"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3" w:type="dxa"/>
            <w:tcBorders>
              <w:top w:val="nil"/>
              <w:left w:val="nil"/>
              <w:bottom w:val="single" w:sz="4" w:space="0" w:color="auto"/>
              <w:right w:val="single" w:sz="4" w:space="0" w:color="auto"/>
            </w:tcBorders>
            <w:shd w:val="clear" w:color="auto" w:fill="auto"/>
            <w:noWrap/>
            <w:vAlign w:val="bottom"/>
            <w:hideMark/>
          </w:tcPr>
          <w:p w14:paraId="778F5939"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275" w:type="dxa"/>
            <w:tcBorders>
              <w:top w:val="nil"/>
              <w:left w:val="nil"/>
              <w:bottom w:val="single" w:sz="4" w:space="0" w:color="auto"/>
              <w:right w:val="single" w:sz="4" w:space="0" w:color="auto"/>
            </w:tcBorders>
            <w:shd w:val="clear" w:color="auto" w:fill="auto"/>
            <w:noWrap/>
            <w:vAlign w:val="bottom"/>
            <w:hideMark/>
          </w:tcPr>
          <w:p w14:paraId="515ED08C" w14:textId="77777777" w:rsidR="00F000B0" w:rsidRPr="00CE60CF" w:rsidRDefault="00F000B0" w:rsidP="00F000B0">
            <w:pPr>
              <w:spacing w:after="0" w:line="240" w:lineRule="auto"/>
              <w:jc w:val="right"/>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1 532 943</w:t>
            </w:r>
          </w:p>
        </w:tc>
      </w:tr>
      <w:tr w:rsidR="00F000B0" w:rsidRPr="00CE60CF" w14:paraId="1B4B3C59" w14:textId="77777777" w:rsidTr="00F000B0">
        <w:trPr>
          <w:trHeight w:val="288"/>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21B53F9"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SOKIMO</w:t>
            </w:r>
          </w:p>
        </w:tc>
        <w:tc>
          <w:tcPr>
            <w:tcW w:w="1276" w:type="dxa"/>
            <w:tcBorders>
              <w:top w:val="nil"/>
              <w:left w:val="nil"/>
              <w:bottom w:val="single" w:sz="4" w:space="0" w:color="auto"/>
              <w:right w:val="single" w:sz="4" w:space="0" w:color="auto"/>
            </w:tcBorders>
            <w:shd w:val="clear" w:color="auto" w:fill="auto"/>
            <w:noWrap/>
            <w:vAlign w:val="bottom"/>
            <w:hideMark/>
          </w:tcPr>
          <w:p w14:paraId="3D713D5E"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3C4C04AF"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4B5C76A1"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2 800 880</w:t>
            </w:r>
          </w:p>
        </w:tc>
        <w:tc>
          <w:tcPr>
            <w:tcW w:w="992" w:type="dxa"/>
            <w:tcBorders>
              <w:top w:val="nil"/>
              <w:left w:val="nil"/>
              <w:bottom w:val="single" w:sz="4" w:space="0" w:color="auto"/>
              <w:right w:val="single" w:sz="4" w:space="0" w:color="auto"/>
            </w:tcBorders>
            <w:shd w:val="clear" w:color="auto" w:fill="auto"/>
            <w:noWrap/>
            <w:vAlign w:val="bottom"/>
            <w:hideMark/>
          </w:tcPr>
          <w:p w14:paraId="353FDC26"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6DED7997"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4A5E8340"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26DE0F95"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30089F19"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55CC3EFF"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1799B054"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7E0E4B5F"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500 000</w:t>
            </w:r>
          </w:p>
        </w:tc>
        <w:tc>
          <w:tcPr>
            <w:tcW w:w="993" w:type="dxa"/>
            <w:tcBorders>
              <w:top w:val="nil"/>
              <w:left w:val="nil"/>
              <w:bottom w:val="single" w:sz="4" w:space="0" w:color="auto"/>
              <w:right w:val="single" w:sz="4" w:space="0" w:color="auto"/>
            </w:tcBorders>
            <w:shd w:val="clear" w:color="auto" w:fill="auto"/>
            <w:noWrap/>
            <w:vAlign w:val="bottom"/>
            <w:hideMark/>
          </w:tcPr>
          <w:p w14:paraId="056E78F2"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334 313</w:t>
            </w:r>
          </w:p>
        </w:tc>
        <w:tc>
          <w:tcPr>
            <w:tcW w:w="1275" w:type="dxa"/>
            <w:tcBorders>
              <w:top w:val="nil"/>
              <w:left w:val="nil"/>
              <w:bottom w:val="single" w:sz="4" w:space="0" w:color="auto"/>
              <w:right w:val="single" w:sz="4" w:space="0" w:color="auto"/>
            </w:tcBorders>
            <w:shd w:val="clear" w:color="auto" w:fill="auto"/>
            <w:noWrap/>
            <w:vAlign w:val="bottom"/>
            <w:hideMark/>
          </w:tcPr>
          <w:p w14:paraId="7A229216" w14:textId="77777777" w:rsidR="00F000B0" w:rsidRPr="00CE60CF" w:rsidRDefault="00F000B0" w:rsidP="00F000B0">
            <w:pPr>
              <w:spacing w:after="0" w:line="240" w:lineRule="auto"/>
              <w:jc w:val="right"/>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3 635 193</w:t>
            </w:r>
          </w:p>
        </w:tc>
      </w:tr>
      <w:tr w:rsidR="00F000B0" w:rsidRPr="00CE60CF" w14:paraId="34D6F48D" w14:textId="77777777" w:rsidTr="00F000B0">
        <w:trPr>
          <w:trHeight w:val="288"/>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3056DA9B"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COMINIERE</w:t>
            </w:r>
          </w:p>
        </w:tc>
        <w:tc>
          <w:tcPr>
            <w:tcW w:w="1276" w:type="dxa"/>
            <w:tcBorders>
              <w:top w:val="nil"/>
              <w:left w:val="nil"/>
              <w:bottom w:val="single" w:sz="4" w:space="0" w:color="auto"/>
              <w:right w:val="single" w:sz="4" w:space="0" w:color="auto"/>
            </w:tcBorders>
            <w:shd w:val="clear" w:color="auto" w:fill="auto"/>
            <w:noWrap/>
            <w:vAlign w:val="bottom"/>
            <w:hideMark/>
          </w:tcPr>
          <w:p w14:paraId="0F0D2F99"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07E7B868"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5F9A2D9E"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38D4FD4F"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5E06A3A7"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3FC12359"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6F75D376"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163E56AC"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708FC140"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55F59A00"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4A21E59D"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3" w:type="dxa"/>
            <w:tcBorders>
              <w:top w:val="nil"/>
              <w:left w:val="nil"/>
              <w:bottom w:val="single" w:sz="4" w:space="0" w:color="auto"/>
              <w:right w:val="single" w:sz="4" w:space="0" w:color="auto"/>
            </w:tcBorders>
            <w:shd w:val="clear" w:color="auto" w:fill="auto"/>
            <w:noWrap/>
            <w:vAlign w:val="bottom"/>
            <w:hideMark/>
          </w:tcPr>
          <w:p w14:paraId="11729C4B"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275" w:type="dxa"/>
            <w:tcBorders>
              <w:top w:val="nil"/>
              <w:left w:val="nil"/>
              <w:bottom w:val="single" w:sz="4" w:space="0" w:color="auto"/>
              <w:right w:val="single" w:sz="4" w:space="0" w:color="auto"/>
            </w:tcBorders>
            <w:shd w:val="clear" w:color="auto" w:fill="auto"/>
            <w:noWrap/>
            <w:vAlign w:val="bottom"/>
            <w:hideMark/>
          </w:tcPr>
          <w:p w14:paraId="74E29E11"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 </w:t>
            </w:r>
          </w:p>
        </w:tc>
      </w:tr>
      <w:tr w:rsidR="00F000B0" w:rsidRPr="00CE60CF" w14:paraId="226FEEC8" w14:textId="77777777" w:rsidTr="00F000B0">
        <w:trPr>
          <w:trHeight w:val="288"/>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3570A129"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MIBA</w:t>
            </w:r>
          </w:p>
        </w:tc>
        <w:tc>
          <w:tcPr>
            <w:tcW w:w="1276" w:type="dxa"/>
            <w:tcBorders>
              <w:top w:val="nil"/>
              <w:left w:val="nil"/>
              <w:bottom w:val="single" w:sz="4" w:space="0" w:color="auto"/>
              <w:right w:val="single" w:sz="4" w:space="0" w:color="auto"/>
            </w:tcBorders>
            <w:shd w:val="clear" w:color="auto" w:fill="auto"/>
            <w:noWrap/>
            <w:vAlign w:val="bottom"/>
            <w:hideMark/>
          </w:tcPr>
          <w:p w14:paraId="3CE376DD"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7D53D55F"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142D9C98"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215 000</w:t>
            </w:r>
          </w:p>
        </w:tc>
        <w:tc>
          <w:tcPr>
            <w:tcW w:w="992" w:type="dxa"/>
            <w:tcBorders>
              <w:top w:val="nil"/>
              <w:left w:val="nil"/>
              <w:bottom w:val="single" w:sz="4" w:space="0" w:color="auto"/>
              <w:right w:val="single" w:sz="4" w:space="0" w:color="auto"/>
            </w:tcBorders>
            <w:shd w:val="clear" w:color="auto" w:fill="auto"/>
            <w:noWrap/>
            <w:vAlign w:val="bottom"/>
            <w:hideMark/>
          </w:tcPr>
          <w:p w14:paraId="34DD2918"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237E4833"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3EA49522"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4AFA1391"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18 235</w:t>
            </w:r>
          </w:p>
        </w:tc>
        <w:tc>
          <w:tcPr>
            <w:tcW w:w="1134" w:type="dxa"/>
            <w:tcBorders>
              <w:top w:val="nil"/>
              <w:left w:val="nil"/>
              <w:bottom w:val="single" w:sz="4" w:space="0" w:color="auto"/>
              <w:right w:val="single" w:sz="4" w:space="0" w:color="auto"/>
            </w:tcBorders>
            <w:shd w:val="clear" w:color="auto" w:fill="auto"/>
            <w:noWrap/>
            <w:vAlign w:val="bottom"/>
            <w:hideMark/>
          </w:tcPr>
          <w:p w14:paraId="76CD6FD3"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4247DCCD"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59EE74B8"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2C00A54A"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3" w:type="dxa"/>
            <w:tcBorders>
              <w:top w:val="nil"/>
              <w:left w:val="nil"/>
              <w:bottom w:val="single" w:sz="4" w:space="0" w:color="auto"/>
              <w:right w:val="single" w:sz="4" w:space="0" w:color="auto"/>
            </w:tcBorders>
            <w:shd w:val="clear" w:color="auto" w:fill="auto"/>
            <w:noWrap/>
            <w:vAlign w:val="bottom"/>
            <w:hideMark/>
          </w:tcPr>
          <w:p w14:paraId="2FD1D7AF"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275" w:type="dxa"/>
            <w:tcBorders>
              <w:top w:val="nil"/>
              <w:left w:val="nil"/>
              <w:bottom w:val="single" w:sz="4" w:space="0" w:color="auto"/>
              <w:right w:val="single" w:sz="4" w:space="0" w:color="auto"/>
            </w:tcBorders>
            <w:shd w:val="clear" w:color="auto" w:fill="auto"/>
            <w:noWrap/>
            <w:vAlign w:val="bottom"/>
            <w:hideMark/>
          </w:tcPr>
          <w:p w14:paraId="204C1936" w14:textId="77777777" w:rsidR="00F000B0" w:rsidRPr="00CE60CF" w:rsidRDefault="00F000B0" w:rsidP="00F000B0">
            <w:pPr>
              <w:spacing w:after="0" w:line="240" w:lineRule="auto"/>
              <w:jc w:val="right"/>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233 235</w:t>
            </w:r>
          </w:p>
        </w:tc>
      </w:tr>
      <w:tr w:rsidR="00F000B0" w:rsidRPr="00CE60CF" w14:paraId="19D2CE0B" w14:textId="77777777" w:rsidTr="00F000B0">
        <w:trPr>
          <w:trHeight w:val="288"/>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3B28310B"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SAKIMA</w:t>
            </w:r>
          </w:p>
        </w:tc>
        <w:tc>
          <w:tcPr>
            <w:tcW w:w="1276" w:type="dxa"/>
            <w:tcBorders>
              <w:top w:val="nil"/>
              <w:left w:val="nil"/>
              <w:bottom w:val="single" w:sz="4" w:space="0" w:color="auto"/>
              <w:right w:val="single" w:sz="4" w:space="0" w:color="auto"/>
            </w:tcBorders>
            <w:shd w:val="clear" w:color="auto" w:fill="auto"/>
            <w:noWrap/>
            <w:vAlign w:val="bottom"/>
            <w:hideMark/>
          </w:tcPr>
          <w:p w14:paraId="0FEE4A4A"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43A4C3D0"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22F8CE9E"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3E1B44E3"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372E88DD"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0F455C4E"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72F2E3E4"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6B1D8D93"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67CD2208"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439F80D2"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591DD20D"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3" w:type="dxa"/>
            <w:tcBorders>
              <w:top w:val="nil"/>
              <w:left w:val="nil"/>
              <w:bottom w:val="single" w:sz="4" w:space="0" w:color="auto"/>
              <w:right w:val="single" w:sz="4" w:space="0" w:color="auto"/>
            </w:tcBorders>
            <w:shd w:val="clear" w:color="auto" w:fill="auto"/>
            <w:noWrap/>
            <w:vAlign w:val="bottom"/>
            <w:hideMark/>
          </w:tcPr>
          <w:p w14:paraId="68102DCA"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275" w:type="dxa"/>
            <w:tcBorders>
              <w:top w:val="nil"/>
              <w:left w:val="nil"/>
              <w:bottom w:val="single" w:sz="4" w:space="0" w:color="auto"/>
              <w:right w:val="single" w:sz="4" w:space="0" w:color="auto"/>
            </w:tcBorders>
            <w:shd w:val="clear" w:color="auto" w:fill="auto"/>
            <w:noWrap/>
            <w:vAlign w:val="bottom"/>
            <w:hideMark/>
          </w:tcPr>
          <w:p w14:paraId="4FB97BE5"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 </w:t>
            </w:r>
          </w:p>
        </w:tc>
      </w:tr>
      <w:tr w:rsidR="00F000B0" w:rsidRPr="00CE60CF" w14:paraId="3FD502AC" w14:textId="77777777" w:rsidTr="00F000B0">
        <w:trPr>
          <w:trHeight w:val="288"/>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47374B45"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SACIM</w:t>
            </w:r>
          </w:p>
        </w:tc>
        <w:tc>
          <w:tcPr>
            <w:tcW w:w="1276" w:type="dxa"/>
            <w:tcBorders>
              <w:top w:val="nil"/>
              <w:left w:val="nil"/>
              <w:bottom w:val="single" w:sz="4" w:space="0" w:color="auto"/>
              <w:right w:val="single" w:sz="4" w:space="0" w:color="auto"/>
            </w:tcBorders>
            <w:shd w:val="clear" w:color="auto" w:fill="auto"/>
            <w:noWrap/>
            <w:vAlign w:val="bottom"/>
            <w:hideMark/>
          </w:tcPr>
          <w:p w14:paraId="2F4F76A6"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16879D51"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6BAAEC30"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1733DD62"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3BC0BA77"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6BBE341B"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7AE1D795"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45185EFF"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53013DD1"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71AD6B51"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24FAEDF3"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3" w:type="dxa"/>
            <w:tcBorders>
              <w:top w:val="nil"/>
              <w:left w:val="nil"/>
              <w:bottom w:val="single" w:sz="4" w:space="0" w:color="auto"/>
              <w:right w:val="single" w:sz="4" w:space="0" w:color="auto"/>
            </w:tcBorders>
            <w:shd w:val="clear" w:color="auto" w:fill="auto"/>
            <w:noWrap/>
            <w:vAlign w:val="bottom"/>
            <w:hideMark/>
          </w:tcPr>
          <w:p w14:paraId="49874FEE"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275" w:type="dxa"/>
            <w:tcBorders>
              <w:top w:val="nil"/>
              <w:left w:val="nil"/>
              <w:bottom w:val="single" w:sz="4" w:space="0" w:color="auto"/>
              <w:right w:val="single" w:sz="4" w:space="0" w:color="auto"/>
            </w:tcBorders>
            <w:shd w:val="clear" w:color="auto" w:fill="auto"/>
            <w:noWrap/>
            <w:vAlign w:val="bottom"/>
            <w:hideMark/>
          </w:tcPr>
          <w:p w14:paraId="67123054"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 </w:t>
            </w:r>
          </w:p>
        </w:tc>
      </w:tr>
      <w:tr w:rsidR="00F000B0" w:rsidRPr="00CE60CF" w14:paraId="6A8B1536" w14:textId="77777777" w:rsidTr="00F000B0">
        <w:trPr>
          <w:trHeight w:val="288"/>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69D4597F"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SCMK-Mn</w:t>
            </w:r>
          </w:p>
        </w:tc>
        <w:tc>
          <w:tcPr>
            <w:tcW w:w="1276" w:type="dxa"/>
            <w:tcBorders>
              <w:top w:val="nil"/>
              <w:left w:val="nil"/>
              <w:bottom w:val="single" w:sz="4" w:space="0" w:color="auto"/>
              <w:right w:val="single" w:sz="4" w:space="0" w:color="auto"/>
            </w:tcBorders>
            <w:shd w:val="clear" w:color="auto" w:fill="auto"/>
            <w:noWrap/>
            <w:vAlign w:val="bottom"/>
            <w:hideMark/>
          </w:tcPr>
          <w:p w14:paraId="127A5540"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7A25323E"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000564FF"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6A003079"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245087BF"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40748068"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506EDD56"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482E17FD"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2B5B2665"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62DCB03B"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4761A279"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3" w:type="dxa"/>
            <w:tcBorders>
              <w:top w:val="nil"/>
              <w:left w:val="nil"/>
              <w:bottom w:val="single" w:sz="4" w:space="0" w:color="auto"/>
              <w:right w:val="single" w:sz="4" w:space="0" w:color="auto"/>
            </w:tcBorders>
            <w:shd w:val="clear" w:color="auto" w:fill="auto"/>
            <w:noWrap/>
            <w:vAlign w:val="bottom"/>
            <w:hideMark/>
          </w:tcPr>
          <w:p w14:paraId="07A2CA09"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275" w:type="dxa"/>
            <w:tcBorders>
              <w:top w:val="nil"/>
              <w:left w:val="nil"/>
              <w:bottom w:val="single" w:sz="4" w:space="0" w:color="auto"/>
              <w:right w:val="single" w:sz="4" w:space="0" w:color="auto"/>
            </w:tcBorders>
            <w:shd w:val="clear" w:color="auto" w:fill="auto"/>
            <w:noWrap/>
            <w:vAlign w:val="bottom"/>
            <w:hideMark/>
          </w:tcPr>
          <w:p w14:paraId="0B2D7917"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 </w:t>
            </w:r>
          </w:p>
        </w:tc>
      </w:tr>
      <w:tr w:rsidR="00F000B0" w:rsidRPr="00CE60CF" w14:paraId="1FFD7587" w14:textId="77777777" w:rsidTr="00F000B0">
        <w:trPr>
          <w:trHeight w:val="288"/>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74B998BF"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SONAHYDROC</w:t>
            </w:r>
          </w:p>
        </w:tc>
        <w:tc>
          <w:tcPr>
            <w:tcW w:w="1276" w:type="dxa"/>
            <w:tcBorders>
              <w:top w:val="nil"/>
              <w:left w:val="nil"/>
              <w:bottom w:val="single" w:sz="4" w:space="0" w:color="auto"/>
              <w:right w:val="single" w:sz="4" w:space="0" w:color="auto"/>
            </w:tcBorders>
            <w:shd w:val="clear" w:color="auto" w:fill="auto"/>
            <w:noWrap/>
            <w:vAlign w:val="bottom"/>
            <w:hideMark/>
          </w:tcPr>
          <w:p w14:paraId="0F25D951"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3A0EAAB4"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5FB790A8"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203571FF"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3D630BDE"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1BCB2163"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5ACC8F5B"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74A47F54"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1 542 376</w:t>
            </w:r>
          </w:p>
        </w:tc>
        <w:tc>
          <w:tcPr>
            <w:tcW w:w="992" w:type="dxa"/>
            <w:tcBorders>
              <w:top w:val="nil"/>
              <w:left w:val="nil"/>
              <w:bottom w:val="single" w:sz="4" w:space="0" w:color="auto"/>
              <w:right w:val="single" w:sz="4" w:space="0" w:color="auto"/>
            </w:tcBorders>
            <w:shd w:val="clear" w:color="auto" w:fill="auto"/>
            <w:noWrap/>
            <w:vAlign w:val="bottom"/>
            <w:hideMark/>
          </w:tcPr>
          <w:p w14:paraId="65B5C195"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148 101</w:t>
            </w:r>
          </w:p>
        </w:tc>
        <w:tc>
          <w:tcPr>
            <w:tcW w:w="1134" w:type="dxa"/>
            <w:tcBorders>
              <w:top w:val="nil"/>
              <w:left w:val="nil"/>
              <w:bottom w:val="single" w:sz="4" w:space="0" w:color="auto"/>
              <w:right w:val="single" w:sz="4" w:space="0" w:color="auto"/>
            </w:tcBorders>
            <w:shd w:val="clear" w:color="auto" w:fill="auto"/>
            <w:noWrap/>
            <w:vAlign w:val="bottom"/>
            <w:hideMark/>
          </w:tcPr>
          <w:p w14:paraId="08D06BF1"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3EC9A4DD"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3" w:type="dxa"/>
            <w:tcBorders>
              <w:top w:val="nil"/>
              <w:left w:val="nil"/>
              <w:bottom w:val="single" w:sz="4" w:space="0" w:color="auto"/>
              <w:right w:val="single" w:sz="4" w:space="0" w:color="auto"/>
            </w:tcBorders>
            <w:shd w:val="clear" w:color="auto" w:fill="auto"/>
            <w:noWrap/>
            <w:vAlign w:val="bottom"/>
            <w:hideMark/>
          </w:tcPr>
          <w:p w14:paraId="58C6817C"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275" w:type="dxa"/>
            <w:tcBorders>
              <w:top w:val="nil"/>
              <w:left w:val="nil"/>
              <w:bottom w:val="single" w:sz="4" w:space="0" w:color="auto"/>
              <w:right w:val="single" w:sz="4" w:space="0" w:color="auto"/>
            </w:tcBorders>
            <w:shd w:val="clear" w:color="auto" w:fill="auto"/>
            <w:noWrap/>
            <w:vAlign w:val="bottom"/>
            <w:hideMark/>
          </w:tcPr>
          <w:p w14:paraId="52624BA9" w14:textId="77777777" w:rsidR="00F000B0" w:rsidRPr="00CE60CF" w:rsidRDefault="00F000B0" w:rsidP="00F000B0">
            <w:pPr>
              <w:spacing w:after="0" w:line="240" w:lineRule="auto"/>
              <w:jc w:val="right"/>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1 690 477</w:t>
            </w:r>
          </w:p>
        </w:tc>
      </w:tr>
      <w:tr w:rsidR="00F000B0" w:rsidRPr="00CE60CF" w14:paraId="12735F20" w14:textId="77777777" w:rsidTr="00F000B0">
        <w:trPr>
          <w:trHeight w:val="288"/>
        </w:trPr>
        <w:tc>
          <w:tcPr>
            <w:tcW w:w="1560" w:type="dxa"/>
            <w:tcBorders>
              <w:top w:val="nil"/>
              <w:left w:val="single" w:sz="4" w:space="0" w:color="auto"/>
              <w:bottom w:val="single" w:sz="4" w:space="0" w:color="auto"/>
              <w:right w:val="single" w:sz="4" w:space="0" w:color="auto"/>
            </w:tcBorders>
            <w:shd w:val="clear" w:color="auto" w:fill="FFE599" w:themeFill="accent4" w:themeFillTint="66"/>
            <w:noWrap/>
            <w:vAlign w:val="bottom"/>
            <w:hideMark/>
          </w:tcPr>
          <w:p w14:paraId="59927B6E" w14:textId="77777777" w:rsidR="00F000B0" w:rsidRPr="00CE60CF" w:rsidRDefault="00F000B0" w:rsidP="00F000B0">
            <w:pPr>
              <w:spacing w:after="0" w:line="240" w:lineRule="auto"/>
              <w:rPr>
                <w:rFonts w:ascii="Times New Roman" w:eastAsia="Times New Roman" w:hAnsi="Times New Roman"/>
                <w:b/>
                <w:bCs/>
                <w:color w:val="1F4E79" w:themeColor="accent1" w:themeShade="80"/>
                <w:sz w:val="20"/>
                <w:szCs w:val="20"/>
                <w:lang w:eastAsia="fr-FR"/>
              </w:rPr>
            </w:pPr>
            <w:r w:rsidRPr="00CE60CF">
              <w:rPr>
                <w:rFonts w:ascii="Times New Roman" w:eastAsia="Times New Roman" w:hAnsi="Times New Roman"/>
                <w:b/>
                <w:bCs/>
                <w:color w:val="1F4E79" w:themeColor="accent1" w:themeShade="80"/>
                <w:sz w:val="20"/>
                <w:szCs w:val="20"/>
                <w:lang w:eastAsia="fr-FR"/>
              </w:rPr>
              <w:t>TOTAL</w:t>
            </w:r>
          </w:p>
        </w:tc>
        <w:tc>
          <w:tcPr>
            <w:tcW w:w="1276" w:type="dxa"/>
            <w:tcBorders>
              <w:top w:val="nil"/>
              <w:left w:val="nil"/>
              <w:bottom w:val="single" w:sz="4" w:space="0" w:color="auto"/>
              <w:right w:val="single" w:sz="4" w:space="0" w:color="auto"/>
            </w:tcBorders>
            <w:shd w:val="clear" w:color="auto" w:fill="FFE599" w:themeFill="accent4" w:themeFillTint="66"/>
            <w:noWrap/>
            <w:vAlign w:val="bottom"/>
            <w:hideMark/>
          </w:tcPr>
          <w:p w14:paraId="63961E6C" w14:textId="77777777" w:rsidR="00F000B0" w:rsidRPr="00CE60CF" w:rsidRDefault="00F000B0" w:rsidP="00F000B0">
            <w:pPr>
              <w:spacing w:after="0" w:line="240" w:lineRule="auto"/>
              <w:jc w:val="right"/>
              <w:rPr>
                <w:rFonts w:ascii="Times New Roman" w:eastAsia="Times New Roman" w:hAnsi="Times New Roman"/>
                <w:b/>
                <w:bCs/>
                <w:color w:val="1F4E79" w:themeColor="accent1" w:themeShade="80"/>
                <w:sz w:val="20"/>
                <w:szCs w:val="20"/>
                <w:lang w:eastAsia="fr-FR"/>
              </w:rPr>
            </w:pPr>
            <w:r w:rsidRPr="00CE60CF">
              <w:rPr>
                <w:rFonts w:ascii="Times New Roman" w:eastAsia="Times New Roman" w:hAnsi="Times New Roman"/>
                <w:b/>
                <w:bCs/>
                <w:color w:val="1F4E79" w:themeColor="accent1" w:themeShade="80"/>
                <w:sz w:val="20"/>
                <w:szCs w:val="20"/>
                <w:lang w:eastAsia="fr-FR"/>
              </w:rPr>
              <w:t>110 000 000</w:t>
            </w:r>
          </w:p>
        </w:tc>
        <w:tc>
          <w:tcPr>
            <w:tcW w:w="1134" w:type="dxa"/>
            <w:tcBorders>
              <w:top w:val="nil"/>
              <w:left w:val="nil"/>
              <w:bottom w:val="single" w:sz="4" w:space="0" w:color="auto"/>
              <w:right w:val="single" w:sz="4" w:space="0" w:color="auto"/>
            </w:tcBorders>
            <w:shd w:val="clear" w:color="auto" w:fill="FFE599" w:themeFill="accent4" w:themeFillTint="66"/>
            <w:noWrap/>
            <w:vAlign w:val="bottom"/>
            <w:hideMark/>
          </w:tcPr>
          <w:p w14:paraId="111A11EB" w14:textId="77777777" w:rsidR="00F000B0" w:rsidRPr="00CE60CF" w:rsidRDefault="00F000B0" w:rsidP="00F000B0">
            <w:pPr>
              <w:spacing w:after="0" w:line="240" w:lineRule="auto"/>
              <w:jc w:val="right"/>
              <w:rPr>
                <w:rFonts w:ascii="Times New Roman" w:eastAsia="Times New Roman" w:hAnsi="Times New Roman"/>
                <w:b/>
                <w:bCs/>
                <w:color w:val="1F4E79" w:themeColor="accent1" w:themeShade="80"/>
                <w:sz w:val="20"/>
                <w:szCs w:val="20"/>
                <w:lang w:eastAsia="fr-FR"/>
              </w:rPr>
            </w:pPr>
            <w:r w:rsidRPr="00CE60CF">
              <w:rPr>
                <w:rFonts w:ascii="Times New Roman" w:eastAsia="Times New Roman" w:hAnsi="Times New Roman"/>
                <w:b/>
                <w:bCs/>
                <w:color w:val="1F4E79" w:themeColor="accent1" w:themeShade="80"/>
                <w:sz w:val="20"/>
                <w:szCs w:val="20"/>
                <w:lang w:eastAsia="fr-FR"/>
              </w:rPr>
              <w:t>14 260 282</w:t>
            </w:r>
          </w:p>
        </w:tc>
        <w:tc>
          <w:tcPr>
            <w:tcW w:w="1134" w:type="dxa"/>
            <w:tcBorders>
              <w:top w:val="nil"/>
              <w:left w:val="nil"/>
              <w:bottom w:val="single" w:sz="4" w:space="0" w:color="auto"/>
              <w:right w:val="single" w:sz="4" w:space="0" w:color="auto"/>
            </w:tcBorders>
            <w:shd w:val="clear" w:color="auto" w:fill="FFE599" w:themeFill="accent4" w:themeFillTint="66"/>
            <w:noWrap/>
            <w:vAlign w:val="bottom"/>
            <w:hideMark/>
          </w:tcPr>
          <w:p w14:paraId="302E2170" w14:textId="77777777" w:rsidR="00F000B0" w:rsidRPr="00CE60CF" w:rsidRDefault="00F000B0" w:rsidP="00F000B0">
            <w:pPr>
              <w:spacing w:after="0" w:line="240" w:lineRule="auto"/>
              <w:jc w:val="right"/>
              <w:rPr>
                <w:rFonts w:ascii="Times New Roman" w:eastAsia="Times New Roman" w:hAnsi="Times New Roman"/>
                <w:b/>
                <w:bCs/>
                <w:color w:val="1F4E79" w:themeColor="accent1" w:themeShade="80"/>
                <w:sz w:val="20"/>
                <w:szCs w:val="20"/>
                <w:lang w:eastAsia="fr-FR"/>
              </w:rPr>
            </w:pPr>
            <w:r w:rsidRPr="00CE60CF">
              <w:rPr>
                <w:rFonts w:ascii="Times New Roman" w:eastAsia="Times New Roman" w:hAnsi="Times New Roman"/>
                <w:b/>
                <w:bCs/>
                <w:color w:val="1F4E79" w:themeColor="accent1" w:themeShade="80"/>
                <w:sz w:val="20"/>
                <w:szCs w:val="20"/>
                <w:lang w:eastAsia="fr-FR"/>
              </w:rPr>
              <w:t>19 673 363</w:t>
            </w:r>
          </w:p>
        </w:tc>
        <w:tc>
          <w:tcPr>
            <w:tcW w:w="992" w:type="dxa"/>
            <w:tcBorders>
              <w:top w:val="nil"/>
              <w:left w:val="nil"/>
              <w:bottom w:val="single" w:sz="4" w:space="0" w:color="auto"/>
              <w:right w:val="single" w:sz="4" w:space="0" w:color="auto"/>
            </w:tcBorders>
            <w:shd w:val="clear" w:color="auto" w:fill="FFE599" w:themeFill="accent4" w:themeFillTint="66"/>
            <w:noWrap/>
            <w:vAlign w:val="bottom"/>
            <w:hideMark/>
          </w:tcPr>
          <w:p w14:paraId="74C5A0F2" w14:textId="77777777" w:rsidR="00F000B0" w:rsidRPr="00CE60CF" w:rsidRDefault="00F000B0" w:rsidP="00F000B0">
            <w:pPr>
              <w:spacing w:after="0" w:line="240" w:lineRule="auto"/>
              <w:jc w:val="right"/>
              <w:rPr>
                <w:rFonts w:ascii="Times New Roman" w:eastAsia="Times New Roman" w:hAnsi="Times New Roman"/>
                <w:b/>
                <w:bCs/>
                <w:color w:val="1F4E79" w:themeColor="accent1" w:themeShade="80"/>
                <w:sz w:val="20"/>
                <w:szCs w:val="20"/>
                <w:lang w:eastAsia="fr-FR"/>
              </w:rPr>
            </w:pPr>
            <w:r w:rsidRPr="00CE60CF">
              <w:rPr>
                <w:rFonts w:ascii="Times New Roman" w:eastAsia="Times New Roman" w:hAnsi="Times New Roman"/>
                <w:b/>
                <w:bCs/>
                <w:color w:val="1F4E79" w:themeColor="accent1" w:themeShade="80"/>
                <w:sz w:val="20"/>
                <w:szCs w:val="20"/>
                <w:lang w:eastAsia="fr-FR"/>
              </w:rPr>
              <w:t>793 820</w:t>
            </w:r>
          </w:p>
        </w:tc>
        <w:tc>
          <w:tcPr>
            <w:tcW w:w="1134" w:type="dxa"/>
            <w:tcBorders>
              <w:top w:val="nil"/>
              <w:left w:val="nil"/>
              <w:bottom w:val="single" w:sz="4" w:space="0" w:color="auto"/>
              <w:right w:val="single" w:sz="4" w:space="0" w:color="auto"/>
            </w:tcBorders>
            <w:shd w:val="clear" w:color="auto" w:fill="FFE599" w:themeFill="accent4" w:themeFillTint="66"/>
            <w:noWrap/>
            <w:vAlign w:val="bottom"/>
            <w:hideMark/>
          </w:tcPr>
          <w:p w14:paraId="5CBC6D42" w14:textId="77777777" w:rsidR="00F000B0" w:rsidRPr="00CE60CF" w:rsidRDefault="00F000B0" w:rsidP="00F000B0">
            <w:pPr>
              <w:spacing w:after="0" w:line="240" w:lineRule="auto"/>
              <w:jc w:val="right"/>
              <w:rPr>
                <w:rFonts w:ascii="Times New Roman" w:eastAsia="Times New Roman" w:hAnsi="Times New Roman"/>
                <w:b/>
                <w:bCs/>
                <w:color w:val="1F4E79" w:themeColor="accent1" w:themeShade="80"/>
                <w:sz w:val="20"/>
                <w:szCs w:val="20"/>
                <w:lang w:eastAsia="fr-FR"/>
              </w:rPr>
            </w:pPr>
            <w:r w:rsidRPr="00CE60CF">
              <w:rPr>
                <w:rFonts w:ascii="Times New Roman" w:eastAsia="Times New Roman" w:hAnsi="Times New Roman"/>
                <w:b/>
                <w:bCs/>
                <w:color w:val="1F4E79" w:themeColor="accent1" w:themeShade="80"/>
                <w:sz w:val="20"/>
                <w:szCs w:val="20"/>
                <w:lang w:eastAsia="fr-FR"/>
              </w:rPr>
              <w:t>19 297 680</w:t>
            </w:r>
          </w:p>
        </w:tc>
        <w:tc>
          <w:tcPr>
            <w:tcW w:w="1134" w:type="dxa"/>
            <w:tcBorders>
              <w:top w:val="nil"/>
              <w:left w:val="nil"/>
              <w:bottom w:val="single" w:sz="4" w:space="0" w:color="auto"/>
              <w:right w:val="single" w:sz="4" w:space="0" w:color="auto"/>
            </w:tcBorders>
            <w:shd w:val="clear" w:color="auto" w:fill="FFE599" w:themeFill="accent4" w:themeFillTint="66"/>
            <w:noWrap/>
            <w:vAlign w:val="bottom"/>
            <w:hideMark/>
          </w:tcPr>
          <w:p w14:paraId="43B854DE" w14:textId="77777777" w:rsidR="00F000B0" w:rsidRPr="00CE60CF" w:rsidRDefault="00F000B0" w:rsidP="00F000B0">
            <w:pPr>
              <w:spacing w:after="0" w:line="240" w:lineRule="auto"/>
              <w:jc w:val="right"/>
              <w:rPr>
                <w:rFonts w:ascii="Times New Roman" w:eastAsia="Times New Roman" w:hAnsi="Times New Roman"/>
                <w:b/>
                <w:bCs/>
                <w:color w:val="1F4E79" w:themeColor="accent1" w:themeShade="80"/>
                <w:sz w:val="20"/>
                <w:szCs w:val="20"/>
                <w:lang w:eastAsia="fr-FR"/>
              </w:rPr>
            </w:pPr>
            <w:r w:rsidRPr="00CE60CF">
              <w:rPr>
                <w:rFonts w:ascii="Times New Roman" w:eastAsia="Times New Roman" w:hAnsi="Times New Roman"/>
                <w:b/>
                <w:bCs/>
                <w:color w:val="1F4E79" w:themeColor="accent1" w:themeShade="80"/>
                <w:sz w:val="20"/>
                <w:szCs w:val="20"/>
                <w:lang w:eastAsia="fr-FR"/>
              </w:rPr>
              <w:t>2 047 239</w:t>
            </w:r>
          </w:p>
        </w:tc>
        <w:tc>
          <w:tcPr>
            <w:tcW w:w="1134" w:type="dxa"/>
            <w:tcBorders>
              <w:top w:val="nil"/>
              <w:left w:val="nil"/>
              <w:bottom w:val="single" w:sz="4" w:space="0" w:color="auto"/>
              <w:right w:val="single" w:sz="4" w:space="0" w:color="auto"/>
            </w:tcBorders>
            <w:shd w:val="clear" w:color="auto" w:fill="FFE599" w:themeFill="accent4" w:themeFillTint="66"/>
            <w:noWrap/>
            <w:vAlign w:val="bottom"/>
            <w:hideMark/>
          </w:tcPr>
          <w:p w14:paraId="119CA4F7" w14:textId="77777777" w:rsidR="00F000B0" w:rsidRPr="00CE60CF" w:rsidRDefault="00F000B0" w:rsidP="00F000B0">
            <w:pPr>
              <w:spacing w:after="0" w:line="240" w:lineRule="auto"/>
              <w:jc w:val="right"/>
              <w:rPr>
                <w:rFonts w:ascii="Times New Roman" w:eastAsia="Times New Roman" w:hAnsi="Times New Roman"/>
                <w:b/>
                <w:bCs/>
                <w:color w:val="1F4E79" w:themeColor="accent1" w:themeShade="80"/>
                <w:sz w:val="20"/>
                <w:szCs w:val="20"/>
                <w:lang w:eastAsia="fr-FR"/>
              </w:rPr>
            </w:pPr>
            <w:r w:rsidRPr="00CE60CF">
              <w:rPr>
                <w:rFonts w:ascii="Times New Roman" w:eastAsia="Times New Roman" w:hAnsi="Times New Roman"/>
                <w:b/>
                <w:bCs/>
                <w:color w:val="1F4E79" w:themeColor="accent1" w:themeShade="80"/>
                <w:sz w:val="20"/>
                <w:szCs w:val="20"/>
                <w:lang w:eastAsia="fr-FR"/>
              </w:rPr>
              <w:t>13 821 056</w:t>
            </w:r>
          </w:p>
        </w:tc>
        <w:tc>
          <w:tcPr>
            <w:tcW w:w="1134" w:type="dxa"/>
            <w:tcBorders>
              <w:top w:val="nil"/>
              <w:left w:val="nil"/>
              <w:bottom w:val="single" w:sz="4" w:space="0" w:color="auto"/>
              <w:right w:val="single" w:sz="4" w:space="0" w:color="auto"/>
            </w:tcBorders>
            <w:shd w:val="clear" w:color="auto" w:fill="FFE599" w:themeFill="accent4" w:themeFillTint="66"/>
            <w:noWrap/>
            <w:vAlign w:val="bottom"/>
            <w:hideMark/>
          </w:tcPr>
          <w:p w14:paraId="417142D1" w14:textId="77777777" w:rsidR="00F000B0" w:rsidRPr="00CE60CF" w:rsidRDefault="00F000B0" w:rsidP="00F000B0">
            <w:pPr>
              <w:spacing w:after="0" w:line="240" w:lineRule="auto"/>
              <w:jc w:val="right"/>
              <w:rPr>
                <w:rFonts w:ascii="Times New Roman" w:eastAsia="Times New Roman" w:hAnsi="Times New Roman"/>
                <w:b/>
                <w:bCs/>
                <w:color w:val="1F4E79" w:themeColor="accent1" w:themeShade="80"/>
                <w:sz w:val="20"/>
                <w:szCs w:val="20"/>
                <w:lang w:eastAsia="fr-FR"/>
              </w:rPr>
            </w:pPr>
            <w:r w:rsidRPr="00CE60CF">
              <w:rPr>
                <w:rFonts w:ascii="Times New Roman" w:eastAsia="Times New Roman" w:hAnsi="Times New Roman"/>
                <w:b/>
                <w:bCs/>
                <w:color w:val="1F4E79" w:themeColor="accent1" w:themeShade="80"/>
                <w:sz w:val="20"/>
                <w:szCs w:val="20"/>
                <w:lang w:eastAsia="fr-FR"/>
              </w:rPr>
              <w:t>1 542 376</w:t>
            </w:r>
          </w:p>
        </w:tc>
        <w:tc>
          <w:tcPr>
            <w:tcW w:w="992" w:type="dxa"/>
            <w:tcBorders>
              <w:top w:val="nil"/>
              <w:left w:val="nil"/>
              <w:bottom w:val="single" w:sz="4" w:space="0" w:color="auto"/>
              <w:right w:val="single" w:sz="4" w:space="0" w:color="auto"/>
            </w:tcBorders>
            <w:shd w:val="clear" w:color="auto" w:fill="FFE599" w:themeFill="accent4" w:themeFillTint="66"/>
            <w:noWrap/>
            <w:vAlign w:val="bottom"/>
            <w:hideMark/>
          </w:tcPr>
          <w:p w14:paraId="311D1069" w14:textId="77777777" w:rsidR="00F000B0" w:rsidRPr="00CE60CF" w:rsidRDefault="00F000B0" w:rsidP="00F000B0">
            <w:pPr>
              <w:spacing w:after="0" w:line="240" w:lineRule="auto"/>
              <w:jc w:val="right"/>
              <w:rPr>
                <w:rFonts w:ascii="Times New Roman" w:eastAsia="Times New Roman" w:hAnsi="Times New Roman"/>
                <w:b/>
                <w:bCs/>
                <w:color w:val="1F4E79" w:themeColor="accent1" w:themeShade="80"/>
                <w:sz w:val="20"/>
                <w:szCs w:val="20"/>
                <w:lang w:eastAsia="fr-FR"/>
              </w:rPr>
            </w:pPr>
            <w:r w:rsidRPr="00CE60CF">
              <w:rPr>
                <w:rFonts w:ascii="Times New Roman" w:eastAsia="Times New Roman" w:hAnsi="Times New Roman"/>
                <w:b/>
                <w:bCs/>
                <w:color w:val="1F4E79" w:themeColor="accent1" w:themeShade="80"/>
                <w:sz w:val="20"/>
                <w:szCs w:val="20"/>
                <w:lang w:eastAsia="fr-FR"/>
              </w:rPr>
              <w:t>148 101</w:t>
            </w:r>
          </w:p>
        </w:tc>
        <w:tc>
          <w:tcPr>
            <w:tcW w:w="1134" w:type="dxa"/>
            <w:tcBorders>
              <w:top w:val="nil"/>
              <w:left w:val="nil"/>
              <w:bottom w:val="single" w:sz="4" w:space="0" w:color="auto"/>
              <w:right w:val="single" w:sz="4" w:space="0" w:color="auto"/>
            </w:tcBorders>
            <w:shd w:val="clear" w:color="auto" w:fill="FFE599" w:themeFill="accent4" w:themeFillTint="66"/>
            <w:noWrap/>
            <w:vAlign w:val="bottom"/>
            <w:hideMark/>
          </w:tcPr>
          <w:p w14:paraId="430B66BC" w14:textId="77777777" w:rsidR="00F000B0" w:rsidRPr="00CE60CF" w:rsidRDefault="00F000B0" w:rsidP="00F000B0">
            <w:pPr>
              <w:spacing w:after="0" w:line="240" w:lineRule="auto"/>
              <w:jc w:val="right"/>
              <w:rPr>
                <w:rFonts w:ascii="Times New Roman" w:eastAsia="Times New Roman" w:hAnsi="Times New Roman"/>
                <w:b/>
                <w:bCs/>
                <w:color w:val="1F4E79" w:themeColor="accent1" w:themeShade="80"/>
                <w:sz w:val="20"/>
                <w:szCs w:val="20"/>
                <w:lang w:eastAsia="fr-FR"/>
              </w:rPr>
            </w:pPr>
            <w:r w:rsidRPr="00CE60CF">
              <w:rPr>
                <w:rFonts w:ascii="Times New Roman" w:eastAsia="Times New Roman" w:hAnsi="Times New Roman"/>
                <w:b/>
                <w:bCs/>
                <w:color w:val="1F4E79" w:themeColor="accent1" w:themeShade="80"/>
                <w:sz w:val="20"/>
                <w:szCs w:val="20"/>
                <w:lang w:eastAsia="fr-FR"/>
              </w:rPr>
              <w:t>89 322 253</w:t>
            </w:r>
          </w:p>
        </w:tc>
        <w:tc>
          <w:tcPr>
            <w:tcW w:w="992" w:type="dxa"/>
            <w:tcBorders>
              <w:top w:val="nil"/>
              <w:left w:val="nil"/>
              <w:bottom w:val="single" w:sz="4" w:space="0" w:color="auto"/>
              <w:right w:val="single" w:sz="4" w:space="0" w:color="auto"/>
            </w:tcBorders>
            <w:shd w:val="clear" w:color="auto" w:fill="FFE599" w:themeFill="accent4" w:themeFillTint="66"/>
            <w:noWrap/>
            <w:vAlign w:val="bottom"/>
            <w:hideMark/>
          </w:tcPr>
          <w:p w14:paraId="277104ED" w14:textId="77777777" w:rsidR="00F000B0" w:rsidRPr="00CE60CF" w:rsidRDefault="00F000B0" w:rsidP="00F000B0">
            <w:pPr>
              <w:spacing w:after="0" w:line="240" w:lineRule="auto"/>
              <w:jc w:val="right"/>
              <w:rPr>
                <w:rFonts w:ascii="Times New Roman" w:eastAsia="Times New Roman" w:hAnsi="Times New Roman"/>
                <w:b/>
                <w:bCs/>
                <w:color w:val="1F4E79" w:themeColor="accent1" w:themeShade="80"/>
                <w:sz w:val="20"/>
                <w:szCs w:val="20"/>
                <w:lang w:eastAsia="fr-FR"/>
              </w:rPr>
            </w:pPr>
            <w:r w:rsidRPr="00CE60CF">
              <w:rPr>
                <w:rFonts w:ascii="Times New Roman" w:eastAsia="Times New Roman" w:hAnsi="Times New Roman"/>
                <w:b/>
                <w:bCs/>
                <w:color w:val="1F4E79" w:themeColor="accent1" w:themeShade="80"/>
                <w:sz w:val="20"/>
                <w:szCs w:val="20"/>
                <w:lang w:eastAsia="fr-FR"/>
              </w:rPr>
              <w:t>500 000</w:t>
            </w:r>
          </w:p>
        </w:tc>
        <w:tc>
          <w:tcPr>
            <w:tcW w:w="993" w:type="dxa"/>
            <w:tcBorders>
              <w:top w:val="nil"/>
              <w:left w:val="nil"/>
              <w:bottom w:val="single" w:sz="4" w:space="0" w:color="auto"/>
              <w:right w:val="single" w:sz="4" w:space="0" w:color="auto"/>
            </w:tcBorders>
            <w:shd w:val="clear" w:color="auto" w:fill="FFE599" w:themeFill="accent4" w:themeFillTint="66"/>
            <w:noWrap/>
            <w:vAlign w:val="bottom"/>
            <w:hideMark/>
          </w:tcPr>
          <w:p w14:paraId="35D6CEA4" w14:textId="77777777" w:rsidR="00F000B0" w:rsidRPr="00CE60CF" w:rsidRDefault="00F000B0" w:rsidP="00F000B0">
            <w:pPr>
              <w:spacing w:after="0" w:line="240" w:lineRule="auto"/>
              <w:jc w:val="right"/>
              <w:rPr>
                <w:rFonts w:ascii="Times New Roman" w:eastAsia="Times New Roman" w:hAnsi="Times New Roman"/>
                <w:b/>
                <w:bCs/>
                <w:color w:val="1F4E79" w:themeColor="accent1" w:themeShade="80"/>
                <w:sz w:val="20"/>
                <w:szCs w:val="20"/>
                <w:lang w:eastAsia="fr-FR"/>
              </w:rPr>
            </w:pPr>
            <w:r w:rsidRPr="00CE60CF">
              <w:rPr>
                <w:rFonts w:ascii="Times New Roman" w:eastAsia="Times New Roman" w:hAnsi="Times New Roman"/>
                <w:b/>
                <w:bCs/>
                <w:color w:val="1F4E79" w:themeColor="accent1" w:themeShade="80"/>
                <w:sz w:val="20"/>
                <w:szCs w:val="20"/>
                <w:lang w:eastAsia="fr-FR"/>
              </w:rPr>
              <w:t>334 313</w:t>
            </w:r>
          </w:p>
        </w:tc>
        <w:tc>
          <w:tcPr>
            <w:tcW w:w="1275" w:type="dxa"/>
            <w:tcBorders>
              <w:top w:val="nil"/>
              <w:left w:val="nil"/>
              <w:bottom w:val="single" w:sz="4" w:space="0" w:color="auto"/>
              <w:right w:val="single" w:sz="4" w:space="0" w:color="auto"/>
            </w:tcBorders>
            <w:shd w:val="clear" w:color="auto" w:fill="FFE599" w:themeFill="accent4" w:themeFillTint="66"/>
            <w:noWrap/>
            <w:vAlign w:val="bottom"/>
            <w:hideMark/>
          </w:tcPr>
          <w:p w14:paraId="0CC23B8E" w14:textId="77777777" w:rsidR="00F000B0" w:rsidRPr="00CE60CF" w:rsidRDefault="00F000B0" w:rsidP="00F000B0">
            <w:pPr>
              <w:spacing w:after="0" w:line="240" w:lineRule="auto"/>
              <w:jc w:val="right"/>
              <w:rPr>
                <w:rFonts w:ascii="Times New Roman" w:eastAsia="Times New Roman" w:hAnsi="Times New Roman"/>
                <w:b/>
                <w:bCs/>
                <w:color w:val="1F4E79" w:themeColor="accent1" w:themeShade="80"/>
                <w:sz w:val="20"/>
                <w:szCs w:val="20"/>
                <w:lang w:eastAsia="fr-FR"/>
              </w:rPr>
            </w:pPr>
            <w:r w:rsidRPr="00CE60CF">
              <w:rPr>
                <w:rFonts w:ascii="Times New Roman" w:eastAsia="Times New Roman" w:hAnsi="Times New Roman"/>
                <w:b/>
                <w:bCs/>
                <w:color w:val="1F4E79" w:themeColor="accent1" w:themeShade="80"/>
                <w:sz w:val="20"/>
                <w:szCs w:val="20"/>
                <w:lang w:eastAsia="fr-FR"/>
              </w:rPr>
              <w:t>271 740 483</w:t>
            </w:r>
          </w:p>
        </w:tc>
      </w:tr>
    </w:tbl>
    <w:p w14:paraId="6F150C5D" w14:textId="77777777" w:rsidR="00F000B0" w:rsidRPr="00CE60CF" w:rsidRDefault="00F000B0" w:rsidP="00F000B0">
      <w:pPr>
        <w:pStyle w:val="Paragraphedeliste"/>
        <w:ind w:left="1352"/>
        <w:jc w:val="both"/>
        <w:rPr>
          <w:rFonts w:ascii="Times New Roman" w:hAnsi="Times New Roman" w:cs="Times New Roman"/>
          <w:sz w:val="18"/>
          <w:szCs w:val="18"/>
        </w:rPr>
      </w:pPr>
      <w:r w:rsidRPr="00CE60CF">
        <w:rPr>
          <w:rFonts w:ascii="Times New Roman" w:hAnsi="Times New Roman" w:cs="Times New Roman"/>
          <w:sz w:val="18"/>
          <w:szCs w:val="18"/>
        </w:rPr>
        <w:t xml:space="preserve">Source : Déclarations des EPE à ITIE-RDC 216. </w:t>
      </w:r>
    </w:p>
    <w:p w14:paraId="15883F67" w14:textId="337A8705" w:rsidR="008E309D" w:rsidRDefault="008E309D">
      <w:pPr>
        <w:rPr>
          <w:rFonts w:ascii="Times New Roman" w:eastAsiaTheme="minorHAnsi" w:hAnsi="Times New Roman"/>
          <w:sz w:val="24"/>
          <w:szCs w:val="24"/>
        </w:rPr>
      </w:pPr>
      <w:r>
        <w:rPr>
          <w:rFonts w:ascii="Times New Roman" w:hAnsi="Times New Roman"/>
          <w:sz w:val="24"/>
          <w:szCs w:val="24"/>
        </w:rPr>
        <w:br w:type="page"/>
      </w:r>
    </w:p>
    <w:p w14:paraId="41247A4E" w14:textId="77777777" w:rsidR="008E309D" w:rsidRDefault="008E309D" w:rsidP="00F000B0">
      <w:pPr>
        <w:pStyle w:val="Paragraphedeliste"/>
        <w:ind w:left="1440"/>
        <w:jc w:val="both"/>
        <w:rPr>
          <w:rFonts w:ascii="Times New Roman" w:hAnsi="Times New Roman" w:cs="Times New Roman"/>
          <w:sz w:val="24"/>
          <w:szCs w:val="24"/>
        </w:rPr>
        <w:sectPr w:rsidR="008E309D" w:rsidSect="008E309D">
          <w:pgSz w:w="16838" w:h="11906" w:orient="landscape"/>
          <w:pgMar w:top="851" w:right="1418" w:bottom="1418" w:left="1418" w:header="709" w:footer="709" w:gutter="0"/>
          <w:cols w:space="708"/>
          <w:docGrid w:linePitch="360"/>
        </w:sectPr>
      </w:pPr>
    </w:p>
    <w:p w14:paraId="26F51063" w14:textId="77777777" w:rsidR="00F000B0" w:rsidRPr="005B27A1" w:rsidRDefault="00F000B0" w:rsidP="000738D3">
      <w:pPr>
        <w:pStyle w:val="Titre3"/>
        <w:keepNext w:val="0"/>
        <w:keepLines w:val="0"/>
        <w:numPr>
          <w:ilvl w:val="0"/>
          <w:numId w:val="47"/>
        </w:numPr>
        <w:ind w:hanging="218"/>
        <w:contextualSpacing w:val="0"/>
        <w:jc w:val="both"/>
        <w:rPr>
          <w:rFonts w:ascii="Times New Roman" w:hAnsi="Times New Roman" w:cs="Times New Roman"/>
          <w:color w:val="2F5496" w:themeColor="accent5" w:themeShade="BF"/>
          <w:sz w:val="24"/>
          <w:szCs w:val="24"/>
        </w:rPr>
      </w:pPr>
      <w:bookmarkStart w:id="191" w:name="_Toc518468112"/>
      <w:r w:rsidRPr="005B27A1">
        <w:rPr>
          <w:rFonts w:ascii="Times New Roman" w:hAnsi="Times New Roman" w:cs="Times New Roman"/>
          <w:color w:val="2F5496" w:themeColor="accent5" w:themeShade="BF"/>
          <w:sz w:val="24"/>
          <w:szCs w:val="24"/>
        </w:rPr>
        <w:lastRenderedPageBreak/>
        <w:t>Vente des parts de production de l’Etat</w:t>
      </w:r>
      <w:bookmarkEnd w:id="191"/>
    </w:p>
    <w:p w14:paraId="228261C2" w14:textId="77777777" w:rsidR="003F1E24" w:rsidRPr="00AA5351" w:rsidRDefault="003F1E24" w:rsidP="003F1E24">
      <w:pPr>
        <w:pStyle w:val="Paragraphedeliste"/>
        <w:ind w:left="644"/>
        <w:jc w:val="both"/>
        <w:rPr>
          <w:rFonts w:ascii="Times New Roman" w:hAnsi="Times New Roman" w:cs="Times New Roman"/>
          <w:sz w:val="24"/>
          <w:szCs w:val="24"/>
        </w:rPr>
      </w:pPr>
      <w:r>
        <w:rPr>
          <w:rFonts w:ascii="Times New Roman" w:hAnsi="Times New Roman" w:cs="Times New Roman"/>
          <w:sz w:val="24"/>
          <w:szCs w:val="24"/>
        </w:rPr>
        <w:t>Ces informations seront contenues dans le rapport de revue des états financiers des EPE en cours d’élaboration.</w:t>
      </w:r>
    </w:p>
    <w:p w14:paraId="7EED275D" w14:textId="77777777" w:rsidR="00F000B0" w:rsidRPr="00AA5351" w:rsidRDefault="00F000B0" w:rsidP="00F000B0">
      <w:pPr>
        <w:pStyle w:val="Paragraphedeliste"/>
        <w:ind w:left="1440"/>
        <w:jc w:val="both"/>
        <w:rPr>
          <w:rFonts w:ascii="Times New Roman" w:hAnsi="Times New Roman" w:cs="Times New Roman"/>
          <w:sz w:val="24"/>
          <w:szCs w:val="24"/>
        </w:rPr>
      </w:pPr>
    </w:p>
    <w:p w14:paraId="6B0C1D75" w14:textId="77777777" w:rsidR="00F000B0" w:rsidRPr="005B27A1" w:rsidRDefault="00F000B0" w:rsidP="000738D3">
      <w:pPr>
        <w:pStyle w:val="Titre3"/>
        <w:keepNext w:val="0"/>
        <w:keepLines w:val="0"/>
        <w:numPr>
          <w:ilvl w:val="0"/>
          <w:numId w:val="47"/>
        </w:numPr>
        <w:ind w:hanging="218"/>
        <w:contextualSpacing w:val="0"/>
        <w:jc w:val="both"/>
        <w:rPr>
          <w:rFonts w:ascii="Times New Roman" w:hAnsi="Times New Roman" w:cs="Times New Roman"/>
          <w:color w:val="2F5496" w:themeColor="accent5" w:themeShade="BF"/>
          <w:sz w:val="24"/>
          <w:szCs w:val="24"/>
        </w:rPr>
      </w:pPr>
      <w:bookmarkStart w:id="192" w:name="_Toc518468113"/>
      <w:r w:rsidRPr="005B27A1">
        <w:rPr>
          <w:rFonts w:ascii="Times New Roman" w:hAnsi="Times New Roman" w:cs="Times New Roman"/>
          <w:color w:val="2F5496" w:themeColor="accent5" w:themeShade="BF"/>
          <w:sz w:val="24"/>
          <w:szCs w:val="24"/>
        </w:rPr>
        <w:t>Dépenses quasi fiscales des EPE</w:t>
      </w:r>
      <w:bookmarkEnd w:id="192"/>
    </w:p>
    <w:p w14:paraId="4AD30950" w14:textId="77777777" w:rsidR="003F1E24" w:rsidRPr="00AA5351" w:rsidRDefault="003F1E24" w:rsidP="003F1E24">
      <w:pPr>
        <w:pStyle w:val="Paragraphedeliste"/>
        <w:ind w:left="644"/>
        <w:jc w:val="both"/>
        <w:rPr>
          <w:rFonts w:ascii="Times New Roman" w:hAnsi="Times New Roman" w:cs="Times New Roman"/>
          <w:sz w:val="24"/>
          <w:szCs w:val="24"/>
        </w:rPr>
      </w:pPr>
      <w:r>
        <w:rPr>
          <w:rFonts w:ascii="Times New Roman" w:hAnsi="Times New Roman" w:cs="Times New Roman"/>
          <w:sz w:val="24"/>
          <w:szCs w:val="24"/>
        </w:rPr>
        <w:t>Ces informations seront contenues dans le rapport de revue des états financiers des EPE en cours d’élaboration.</w:t>
      </w:r>
    </w:p>
    <w:p w14:paraId="1D192CFD" w14:textId="3957039E" w:rsidR="00F000B0" w:rsidRPr="00AA5351" w:rsidRDefault="00F000B0" w:rsidP="00F000B0">
      <w:pPr>
        <w:pStyle w:val="Paragraphedeliste"/>
        <w:ind w:left="1440"/>
        <w:jc w:val="both"/>
        <w:rPr>
          <w:rFonts w:ascii="Times New Roman" w:hAnsi="Times New Roman" w:cs="Times New Roman"/>
          <w:sz w:val="24"/>
          <w:szCs w:val="24"/>
        </w:rPr>
      </w:pPr>
    </w:p>
    <w:p w14:paraId="69DFA11A" w14:textId="30675C5E" w:rsidR="00F000B0" w:rsidRPr="00B072C9" w:rsidRDefault="00F000B0" w:rsidP="00F000B0">
      <w:pPr>
        <w:pStyle w:val="Paragraphedeliste"/>
        <w:ind w:left="1440"/>
        <w:jc w:val="both"/>
        <w:rPr>
          <w:rFonts w:ascii="Times New Roman" w:hAnsi="Times New Roman"/>
          <w:sz w:val="24"/>
        </w:rPr>
      </w:pPr>
      <w:r>
        <w:br w:type="page"/>
      </w:r>
    </w:p>
    <w:p w14:paraId="43344F51" w14:textId="0E7B0187" w:rsidR="00F000B0" w:rsidRPr="007F0DC0" w:rsidRDefault="00F000B0" w:rsidP="000668F9">
      <w:pPr>
        <w:pStyle w:val="Titre1"/>
        <w:numPr>
          <w:ilvl w:val="0"/>
          <w:numId w:val="4"/>
        </w:numPr>
        <w:ind w:left="426" w:hanging="425"/>
        <w:rPr>
          <w:rFonts w:ascii="Times New Roman" w:hAnsi="Times New Roman" w:cs="Times New Roman"/>
          <w:sz w:val="28"/>
          <w:szCs w:val="28"/>
        </w:rPr>
      </w:pPr>
      <w:bookmarkStart w:id="193" w:name="_Toc518468114"/>
      <w:r w:rsidRPr="007F0DC0">
        <w:rPr>
          <w:rFonts w:ascii="Times New Roman" w:hAnsi="Times New Roman" w:cs="Times New Roman"/>
          <w:sz w:val="28"/>
          <w:szCs w:val="28"/>
        </w:rPr>
        <w:lastRenderedPageBreak/>
        <w:t xml:space="preserve">PROCESSUS </w:t>
      </w:r>
      <w:r w:rsidR="00D256CC">
        <w:rPr>
          <w:rFonts w:ascii="Times New Roman" w:hAnsi="Times New Roman" w:cs="Times New Roman"/>
          <w:sz w:val="28"/>
          <w:szCs w:val="28"/>
        </w:rPr>
        <w:t xml:space="preserve">D’ELABORATION DU </w:t>
      </w:r>
      <w:r w:rsidRPr="007F0DC0">
        <w:rPr>
          <w:rFonts w:ascii="Times New Roman" w:hAnsi="Times New Roman" w:cs="Times New Roman"/>
          <w:sz w:val="28"/>
          <w:szCs w:val="28"/>
        </w:rPr>
        <w:t>BUDGET</w:t>
      </w:r>
      <w:bookmarkEnd w:id="193"/>
      <w:r w:rsidR="00D256CC">
        <w:rPr>
          <w:rFonts w:ascii="Times New Roman" w:hAnsi="Times New Roman" w:cs="Times New Roman"/>
          <w:sz w:val="28"/>
          <w:szCs w:val="28"/>
        </w:rPr>
        <w:t xml:space="preserve"> </w:t>
      </w:r>
      <w:r w:rsidRPr="007F0DC0">
        <w:rPr>
          <w:rFonts w:ascii="Times New Roman" w:hAnsi="Times New Roman" w:cs="Times New Roman"/>
          <w:sz w:val="28"/>
          <w:szCs w:val="28"/>
        </w:rPr>
        <w:t xml:space="preserve"> </w:t>
      </w:r>
    </w:p>
    <w:p w14:paraId="48D3AD58" w14:textId="77777777" w:rsidR="00F000B0" w:rsidRPr="00C52CD8" w:rsidRDefault="00F000B0" w:rsidP="00F000B0">
      <w:pPr>
        <w:jc w:val="both"/>
        <w:rPr>
          <w:rFonts w:ascii="Times New Roman" w:hAnsi="Times New Roman"/>
          <w:sz w:val="24"/>
          <w:szCs w:val="24"/>
        </w:rPr>
      </w:pPr>
      <w:r w:rsidRPr="00C52CD8">
        <w:rPr>
          <w:rFonts w:ascii="Times New Roman" w:hAnsi="Times New Roman"/>
          <w:sz w:val="24"/>
          <w:szCs w:val="24"/>
        </w:rPr>
        <w:t xml:space="preserve">Le pouvoir central, la province ou l’entité territoriale décentralisée présente, chacun en ce qui le concerne et dans un document unique, toutes les ressources et toutes les charges afférentes à une année.  </w:t>
      </w:r>
    </w:p>
    <w:p w14:paraId="7BADD76A" w14:textId="77777777" w:rsidR="00F000B0" w:rsidRDefault="00F000B0" w:rsidP="00F000B0">
      <w:pPr>
        <w:jc w:val="both"/>
        <w:rPr>
          <w:rFonts w:ascii="Times New Roman" w:hAnsi="Times New Roman"/>
          <w:sz w:val="24"/>
          <w:szCs w:val="24"/>
        </w:rPr>
      </w:pPr>
      <w:r w:rsidRPr="00C52CD8">
        <w:rPr>
          <w:rFonts w:ascii="Times New Roman" w:hAnsi="Times New Roman"/>
          <w:sz w:val="24"/>
          <w:szCs w:val="24"/>
        </w:rPr>
        <w:t>Le budget de l’entité territoriale décentralisée est intégré en recettes et en dépenses dans le budget de la province pour constituer le budget provincial. Les budgets provinciaux sont consolidés avec le budget du pouvoir central pour constituer le Budget de l’Etat.</w:t>
      </w:r>
      <w:r w:rsidRPr="00C52CD8">
        <w:rPr>
          <w:rStyle w:val="Appelnotedebasdep"/>
          <w:rFonts w:ascii="Times New Roman" w:hAnsi="Times New Roman"/>
          <w:sz w:val="24"/>
          <w:szCs w:val="24"/>
        </w:rPr>
        <w:footnoteReference w:id="35"/>
      </w:r>
    </w:p>
    <w:p w14:paraId="572E0487" w14:textId="212148E2" w:rsidR="00F000B0" w:rsidRPr="007F0DC0" w:rsidRDefault="001E22F7" w:rsidP="000738D3">
      <w:pPr>
        <w:pStyle w:val="Titre2"/>
        <w:numPr>
          <w:ilvl w:val="0"/>
          <w:numId w:val="55"/>
        </w:numPr>
        <w:ind w:left="426"/>
        <w:rPr>
          <w:rFonts w:ascii="Times New Roman" w:hAnsi="Times New Roman" w:cs="Times New Roman"/>
          <w:sz w:val="24"/>
          <w:szCs w:val="24"/>
        </w:rPr>
      </w:pPr>
      <w:bookmarkStart w:id="194" w:name="_Toc518468115"/>
      <w:r>
        <w:rPr>
          <w:rFonts w:ascii="Times New Roman" w:hAnsi="Times New Roman" w:cs="Times New Roman"/>
          <w:caps w:val="0"/>
          <w:sz w:val="24"/>
          <w:szCs w:val="24"/>
        </w:rPr>
        <w:t>Budget de l’E</w:t>
      </w:r>
      <w:r w:rsidRPr="007F0DC0">
        <w:rPr>
          <w:rFonts w:ascii="Times New Roman" w:hAnsi="Times New Roman" w:cs="Times New Roman"/>
          <w:caps w:val="0"/>
          <w:sz w:val="24"/>
          <w:szCs w:val="24"/>
        </w:rPr>
        <w:t>tat</w:t>
      </w:r>
      <w:bookmarkEnd w:id="194"/>
      <w:r w:rsidRPr="007F0DC0">
        <w:rPr>
          <w:rFonts w:ascii="Times New Roman" w:hAnsi="Times New Roman" w:cs="Times New Roman"/>
          <w:caps w:val="0"/>
          <w:sz w:val="24"/>
          <w:szCs w:val="24"/>
        </w:rPr>
        <w:t xml:space="preserve"> </w:t>
      </w:r>
    </w:p>
    <w:p w14:paraId="49178290" w14:textId="77777777" w:rsidR="00F000B0" w:rsidRPr="00C52CD8" w:rsidRDefault="00F000B0" w:rsidP="007F0DC0">
      <w:pPr>
        <w:ind w:left="426"/>
        <w:jc w:val="both"/>
        <w:rPr>
          <w:rFonts w:ascii="Times New Roman" w:hAnsi="Times New Roman"/>
          <w:b/>
          <w:sz w:val="24"/>
          <w:szCs w:val="24"/>
        </w:rPr>
      </w:pPr>
      <w:r w:rsidRPr="00C52CD8">
        <w:rPr>
          <w:rFonts w:ascii="Times New Roman" w:hAnsi="Times New Roman"/>
          <w:b/>
          <w:sz w:val="24"/>
          <w:szCs w:val="24"/>
        </w:rPr>
        <w:t xml:space="preserve">i- </w:t>
      </w:r>
      <w:r w:rsidRPr="007F0DC0">
        <w:rPr>
          <w:rFonts w:ascii="Times New Roman" w:hAnsi="Times New Roman"/>
          <w:b/>
          <w:sz w:val="24"/>
          <w:szCs w:val="24"/>
          <w:u w:val="single"/>
        </w:rPr>
        <w:t>Préparation du budget</w:t>
      </w:r>
      <w:r w:rsidRPr="00C52CD8">
        <w:rPr>
          <w:rFonts w:ascii="Times New Roman" w:hAnsi="Times New Roman"/>
          <w:b/>
          <w:sz w:val="24"/>
          <w:szCs w:val="24"/>
        </w:rPr>
        <w:t xml:space="preserve">  </w:t>
      </w:r>
    </w:p>
    <w:p w14:paraId="25F8B664" w14:textId="77777777" w:rsidR="00F000B0" w:rsidRPr="00C52CD8" w:rsidRDefault="00F000B0" w:rsidP="007F0DC0">
      <w:pPr>
        <w:ind w:left="426"/>
        <w:jc w:val="both"/>
        <w:rPr>
          <w:rFonts w:ascii="Times New Roman" w:hAnsi="Times New Roman"/>
          <w:sz w:val="24"/>
          <w:szCs w:val="24"/>
        </w:rPr>
      </w:pPr>
      <w:r w:rsidRPr="00C52CD8">
        <w:rPr>
          <w:rFonts w:ascii="Times New Roman" w:hAnsi="Times New Roman"/>
          <w:sz w:val="24"/>
          <w:szCs w:val="24"/>
        </w:rPr>
        <w:t xml:space="preserve">Les prévisions des recettes et des dépenses devront être élaborées par l’unité de gestion budgétaire de chaque ministère ou institution, composée du Secrétaire Général, du Conseiller financier, du Directeur des études, du Directeur des services généraux, du Sous-gestionnaire des crédits et du Contrôleur budgétaire. Elles doivent être discutées en commission budgétaire interne avant leur transmission au Ministère du Budget par l’autorité de tutelle. </w:t>
      </w:r>
    </w:p>
    <w:p w14:paraId="5179D944" w14:textId="77777777" w:rsidR="00F000B0" w:rsidRPr="007F0DC0" w:rsidRDefault="00F000B0" w:rsidP="007F0DC0">
      <w:pPr>
        <w:ind w:left="426"/>
        <w:jc w:val="both"/>
        <w:rPr>
          <w:rFonts w:ascii="Times New Roman" w:hAnsi="Times New Roman"/>
          <w:b/>
          <w:sz w:val="24"/>
          <w:szCs w:val="24"/>
          <w:u w:val="single"/>
        </w:rPr>
      </w:pPr>
      <w:r w:rsidRPr="007F0DC0">
        <w:rPr>
          <w:rFonts w:ascii="Times New Roman" w:hAnsi="Times New Roman"/>
          <w:b/>
          <w:sz w:val="24"/>
          <w:szCs w:val="24"/>
          <w:u w:val="single"/>
        </w:rPr>
        <w:t xml:space="preserve">ii- Approbation du Budget </w:t>
      </w:r>
    </w:p>
    <w:p w14:paraId="4A90F5B8" w14:textId="77777777" w:rsidR="00F000B0" w:rsidRDefault="00F000B0" w:rsidP="007F0DC0">
      <w:pPr>
        <w:ind w:left="426"/>
        <w:jc w:val="both"/>
        <w:rPr>
          <w:rFonts w:ascii="Times New Roman" w:hAnsi="Times New Roman"/>
          <w:sz w:val="24"/>
          <w:szCs w:val="24"/>
        </w:rPr>
      </w:pPr>
      <w:r w:rsidRPr="00C52CD8">
        <w:rPr>
          <w:rFonts w:ascii="Times New Roman" w:hAnsi="Times New Roman"/>
          <w:sz w:val="24"/>
          <w:szCs w:val="24"/>
        </w:rPr>
        <w:t xml:space="preserve">Ces différentes prévisions sont approuvées par l’autorité hiérarchique de l’institution ou du ministère pour le pouvoir central et transmises à la Direction de la Préparation et du Suivi du Budget (DPSB). Pour la province, les prévisions des services déconcentrés sont approuvées par le gouverneur de province avant leur transmission au ministère du budget du pouvoir central. Après harmonisation, une préfiguration de l’avant-projet de la Loi de Finances est présentée à la Commission interministérielle chargée de l’Economie, Finances et Reconstruction (ECOFIRE) pour examen, et au Gouvernement pour approbation en Conseil des Ministres. Le projet de Budget arrêté par le Gouvernement est présenté au Parlement par le Premier Ministre, Chef du Gouvernement.  Les discussions du Budget en commissions parlementaires sont coordonnées par le Ministre du Budget, assisté de chaque ministre sectoriel ainsi que des Ministres des Finances et du Plan, notamment en ce qui concerne les recettes et les investissements.  Adoptée par les deux chambres du Parlement, la Loi de Finances est promulguée par le Président de la République et publiée au Journal Officiel </w:t>
      </w:r>
    </w:p>
    <w:p w14:paraId="57BD1FA5" w14:textId="636CE9AE" w:rsidR="00F000B0" w:rsidRPr="007F0DC0" w:rsidRDefault="00923952" w:rsidP="00F000B0">
      <w:pPr>
        <w:ind w:left="567"/>
        <w:jc w:val="both"/>
        <w:rPr>
          <w:rFonts w:ascii="Times New Roman" w:hAnsi="Times New Roman"/>
          <w:b/>
          <w:sz w:val="24"/>
          <w:szCs w:val="24"/>
          <w:u w:val="single"/>
        </w:rPr>
      </w:pPr>
      <w:r>
        <w:rPr>
          <w:rFonts w:ascii="Times New Roman" w:hAnsi="Times New Roman"/>
          <w:b/>
          <w:sz w:val="24"/>
          <w:szCs w:val="24"/>
          <w:u w:val="single"/>
        </w:rPr>
        <w:t>iii.</w:t>
      </w:r>
      <w:r w:rsidR="00F000B0" w:rsidRPr="007F0DC0">
        <w:rPr>
          <w:rFonts w:ascii="Times New Roman" w:hAnsi="Times New Roman"/>
          <w:b/>
          <w:sz w:val="24"/>
          <w:szCs w:val="24"/>
          <w:u w:val="single"/>
        </w:rPr>
        <w:t xml:space="preserve"> Exécution du Budget </w:t>
      </w:r>
    </w:p>
    <w:p w14:paraId="3364C167" w14:textId="77777777" w:rsidR="00F000B0" w:rsidRPr="00C52CD8" w:rsidRDefault="00F000B0" w:rsidP="00F000B0">
      <w:pPr>
        <w:ind w:left="851"/>
        <w:jc w:val="both"/>
        <w:rPr>
          <w:rFonts w:ascii="Times New Roman" w:hAnsi="Times New Roman"/>
          <w:sz w:val="24"/>
          <w:szCs w:val="24"/>
        </w:rPr>
      </w:pPr>
      <w:r w:rsidRPr="00C52CD8">
        <w:rPr>
          <w:rFonts w:ascii="Times New Roman" w:hAnsi="Times New Roman"/>
          <w:b/>
          <w:sz w:val="24"/>
          <w:szCs w:val="24"/>
        </w:rPr>
        <w:t>En matière de recettes :</w:t>
      </w:r>
      <w:r w:rsidRPr="00C52CD8">
        <w:rPr>
          <w:rFonts w:ascii="Times New Roman" w:hAnsi="Times New Roman"/>
          <w:sz w:val="24"/>
          <w:szCs w:val="24"/>
        </w:rPr>
        <w:t xml:space="preserve"> </w:t>
      </w:r>
    </w:p>
    <w:p w14:paraId="3B5C58FF" w14:textId="77777777" w:rsidR="00F000B0" w:rsidRPr="00C52CD8" w:rsidRDefault="00F000B0" w:rsidP="00F000B0">
      <w:pPr>
        <w:ind w:left="851"/>
        <w:jc w:val="both"/>
        <w:rPr>
          <w:rFonts w:ascii="Times New Roman" w:hAnsi="Times New Roman"/>
          <w:sz w:val="24"/>
          <w:szCs w:val="24"/>
        </w:rPr>
      </w:pPr>
      <w:r w:rsidRPr="00C52CD8">
        <w:rPr>
          <w:rFonts w:ascii="Times New Roman" w:hAnsi="Times New Roman"/>
          <w:sz w:val="24"/>
          <w:szCs w:val="24"/>
        </w:rPr>
        <w:t xml:space="preserve">Les droits, taxes et redevances constatés, liquidés, ordonnancés et recouvrés par acte générateur, doivent être communiqués quotidiennement par les régies financières aux Ministères des Finances et du Budget pour suivi. Les séances de conciliation sont mensuellement organisées, d’une part, au plus tard le 10 du mois suivant, entre les Ministères des Finances, du Budget, les régies financières, la Banque Centrale du Congo et les autres intervenants financiers et, d’autre part, au plus tard le 5 du mois suivant, entre la DGRAD et les services d’assiette, en vue d’évaluer le niveau de réalisation effective des recettes publiques et leur cohérence. </w:t>
      </w:r>
    </w:p>
    <w:p w14:paraId="7F6E5A0B" w14:textId="0277E1E4" w:rsidR="00F000B0" w:rsidRPr="00C52CD8" w:rsidRDefault="00F000B0" w:rsidP="004D7873">
      <w:pPr>
        <w:ind w:left="851"/>
        <w:jc w:val="both"/>
        <w:rPr>
          <w:rFonts w:ascii="Times New Roman" w:hAnsi="Times New Roman"/>
          <w:sz w:val="24"/>
          <w:szCs w:val="24"/>
        </w:rPr>
      </w:pPr>
      <w:r w:rsidRPr="00C52CD8">
        <w:rPr>
          <w:rFonts w:ascii="Times New Roman" w:hAnsi="Times New Roman"/>
          <w:sz w:val="24"/>
          <w:szCs w:val="24"/>
        </w:rPr>
        <w:lastRenderedPageBreak/>
        <w:t xml:space="preserve">Les régies ont l’obligation de transmettre au plus tard le 15 du mois suivant à DPSB et à la Direction du Contrôle Budgétaire (DCB) la situation des synthèses mensuelles. </w:t>
      </w:r>
    </w:p>
    <w:p w14:paraId="47815700" w14:textId="77777777" w:rsidR="00F000B0" w:rsidRPr="00C52CD8" w:rsidRDefault="00F000B0" w:rsidP="00F000B0">
      <w:pPr>
        <w:ind w:left="851"/>
        <w:jc w:val="both"/>
        <w:rPr>
          <w:rFonts w:ascii="Times New Roman" w:hAnsi="Times New Roman"/>
          <w:sz w:val="24"/>
          <w:szCs w:val="24"/>
        </w:rPr>
      </w:pPr>
      <w:r w:rsidRPr="00C52CD8">
        <w:rPr>
          <w:rFonts w:ascii="Times New Roman" w:hAnsi="Times New Roman"/>
          <w:sz w:val="24"/>
          <w:szCs w:val="24"/>
        </w:rPr>
        <w:t xml:space="preserve">Les régies financières sont tenues de transmettre, aux Ministres ayant les Finances et le Budget dans leurs attributions, les statistiques mensuelles consolidées des quatre étapes de réalisation des recettes à savoir les droits constatés, liquidés, ordonnancés et recouvrés. </w:t>
      </w:r>
    </w:p>
    <w:p w14:paraId="47F37058" w14:textId="77777777" w:rsidR="00F000B0" w:rsidRPr="00C52CD8" w:rsidRDefault="00F000B0" w:rsidP="00F000B0">
      <w:pPr>
        <w:ind w:left="851"/>
        <w:jc w:val="both"/>
        <w:rPr>
          <w:rFonts w:ascii="Times New Roman" w:hAnsi="Times New Roman"/>
          <w:sz w:val="24"/>
          <w:szCs w:val="24"/>
        </w:rPr>
      </w:pPr>
      <w:r w:rsidRPr="00C52CD8">
        <w:rPr>
          <w:rFonts w:ascii="Times New Roman" w:hAnsi="Times New Roman"/>
          <w:sz w:val="24"/>
          <w:szCs w:val="24"/>
        </w:rPr>
        <w:t xml:space="preserve">En ce qui concerne les recettes encadrées par la DGRAD, les services d’assiette ont l’obligation de communiquer mensuellement les droits constatés et liquidés à la DGRAD pour consolidation avec copie aux Ministres ayant les Finances et le Budget dans leurs attributions. </w:t>
      </w:r>
    </w:p>
    <w:p w14:paraId="6129B589" w14:textId="77777777" w:rsidR="00F000B0" w:rsidRPr="00C52CD8" w:rsidRDefault="00F000B0" w:rsidP="00F000B0">
      <w:pPr>
        <w:ind w:left="851"/>
        <w:jc w:val="both"/>
        <w:rPr>
          <w:rFonts w:ascii="Times New Roman" w:hAnsi="Times New Roman"/>
          <w:sz w:val="24"/>
          <w:szCs w:val="24"/>
        </w:rPr>
      </w:pPr>
      <w:r w:rsidRPr="00C52CD8">
        <w:rPr>
          <w:rFonts w:ascii="Times New Roman" w:hAnsi="Times New Roman"/>
          <w:sz w:val="24"/>
          <w:szCs w:val="24"/>
        </w:rPr>
        <w:t xml:space="preserve">La Direction du Trésor et de l’Ordonnancement (DTO), en collaboration avec la DPSB, assurent un suivi statistique de différentes étapes de la réalisation des recettes de l’État et en font régulièrement rapport à leurs hiérarchies respectives. </w:t>
      </w:r>
    </w:p>
    <w:p w14:paraId="1826333F" w14:textId="77777777" w:rsidR="00F000B0" w:rsidRPr="00C52CD8" w:rsidRDefault="00F000B0" w:rsidP="00F000B0">
      <w:pPr>
        <w:ind w:left="851"/>
        <w:jc w:val="both"/>
        <w:rPr>
          <w:rFonts w:ascii="Times New Roman" w:hAnsi="Times New Roman"/>
          <w:b/>
          <w:sz w:val="24"/>
          <w:szCs w:val="24"/>
        </w:rPr>
      </w:pPr>
      <w:r w:rsidRPr="00C52CD8">
        <w:rPr>
          <w:rFonts w:ascii="Times New Roman" w:hAnsi="Times New Roman"/>
          <w:b/>
          <w:sz w:val="24"/>
          <w:szCs w:val="24"/>
        </w:rPr>
        <w:t xml:space="preserve">En matière de dépenses :  </w:t>
      </w:r>
    </w:p>
    <w:p w14:paraId="0C88AFA3" w14:textId="77777777" w:rsidR="00F000B0" w:rsidRPr="00C52CD8" w:rsidRDefault="00F000B0" w:rsidP="00F000B0">
      <w:pPr>
        <w:ind w:left="851"/>
        <w:jc w:val="both"/>
        <w:rPr>
          <w:rFonts w:ascii="Times New Roman" w:hAnsi="Times New Roman"/>
          <w:sz w:val="24"/>
          <w:szCs w:val="24"/>
        </w:rPr>
      </w:pPr>
      <w:r w:rsidRPr="00C52CD8">
        <w:rPr>
          <w:rFonts w:ascii="Times New Roman" w:hAnsi="Times New Roman"/>
          <w:sz w:val="24"/>
          <w:szCs w:val="24"/>
        </w:rPr>
        <w:t xml:space="preserve">Chaque semaine, la Direction du Contrôle Budgétaire est tenue de présenter au Ministre ayant le Budget dans ses attributions le tableau de suivi de la mise en œuvre des objectifs et actions du Programme du Gouvernement. Ce tableau comprend les parts relatives des crédits budgétaires alloués par action et celles des crédits budgétaires engagés et liquidés par action. </w:t>
      </w:r>
    </w:p>
    <w:p w14:paraId="72C6B915" w14:textId="77777777" w:rsidR="00F000B0" w:rsidRPr="00C52CD8" w:rsidRDefault="00F000B0" w:rsidP="00F000B0">
      <w:pPr>
        <w:ind w:left="851"/>
        <w:jc w:val="both"/>
        <w:rPr>
          <w:rFonts w:ascii="Times New Roman" w:hAnsi="Times New Roman"/>
          <w:sz w:val="24"/>
          <w:szCs w:val="24"/>
        </w:rPr>
      </w:pPr>
      <w:r w:rsidRPr="00C52CD8">
        <w:rPr>
          <w:rFonts w:ascii="Times New Roman" w:hAnsi="Times New Roman"/>
          <w:sz w:val="24"/>
          <w:szCs w:val="24"/>
        </w:rPr>
        <w:t xml:space="preserve">Toute demande de paiement par lettre adressée directement au Ministre en charge des Finances ou du Budget est prohibée et le dépassement des crédits budgétaires est interdit.  </w:t>
      </w:r>
    </w:p>
    <w:p w14:paraId="4CB755A9" w14:textId="77777777" w:rsidR="00F000B0" w:rsidRPr="00C52CD8" w:rsidRDefault="00F000B0" w:rsidP="00F000B0">
      <w:pPr>
        <w:ind w:left="851"/>
        <w:jc w:val="both"/>
        <w:rPr>
          <w:rFonts w:ascii="Times New Roman" w:hAnsi="Times New Roman"/>
          <w:sz w:val="24"/>
          <w:szCs w:val="24"/>
        </w:rPr>
      </w:pPr>
      <w:r w:rsidRPr="00C52CD8">
        <w:rPr>
          <w:rFonts w:ascii="Times New Roman" w:hAnsi="Times New Roman"/>
          <w:sz w:val="24"/>
          <w:szCs w:val="24"/>
        </w:rPr>
        <w:t xml:space="preserve">En cas d’insuffisance des crédits, le Gestionnaire des crédits est tenu de solliciter le virement des crédits au Ministre en charge du Budget ou, le cas échéant, solliciter le transfert des crédits au Parlement, après avis du Conseil des Ministres. </w:t>
      </w:r>
    </w:p>
    <w:p w14:paraId="305E1820" w14:textId="77777777" w:rsidR="00F000B0" w:rsidRPr="00C52CD8" w:rsidRDefault="00F000B0" w:rsidP="00F000B0">
      <w:pPr>
        <w:ind w:left="851"/>
        <w:jc w:val="both"/>
        <w:rPr>
          <w:rFonts w:ascii="Times New Roman" w:hAnsi="Times New Roman"/>
          <w:sz w:val="24"/>
          <w:szCs w:val="24"/>
        </w:rPr>
      </w:pPr>
      <w:r w:rsidRPr="00C52CD8">
        <w:rPr>
          <w:rFonts w:ascii="Times New Roman" w:hAnsi="Times New Roman"/>
          <w:sz w:val="24"/>
          <w:szCs w:val="24"/>
        </w:rPr>
        <w:t xml:space="preserve">Le paiement de toute dépense est préalablement subordonné à son engagement, à sa liquidation et à son ordonnancement. </w:t>
      </w:r>
    </w:p>
    <w:p w14:paraId="24D05466" w14:textId="050F3FC6" w:rsidR="00F000B0" w:rsidRPr="007F0DC0" w:rsidRDefault="001E22F7" w:rsidP="004326C6">
      <w:pPr>
        <w:pStyle w:val="Titre2"/>
        <w:numPr>
          <w:ilvl w:val="0"/>
          <w:numId w:val="55"/>
        </w:numPr>
        <w:tabs>
          <w:tab w:val="left" w:pos="284"/>
          <w:tab w:val="left" w:pos="426"/>
        </w:tabs>
        <w:ind w:left="142" w:hanging="76"/>
        <w:rPr>
          <w:rFonts w:ascii="Times New Roman" w:hAnsi="Times New Roman" w:cs="Times New Roman"/>
          <w:sz w:val="24"/>
          <w:szCs w:val="24"/>
        </w:rPr>
      </w:pPr>
      <w:bookmarkStart w:id="195" w:name="_Toc518468116"/>
      <w:r w:rsidRPr="007F0DC0">
        <w:rPr>
          <w:rFonts w:ascii="Times New Roman" w:hAnsi="Times New Roman" w:cs="Times New Roman"/>
          <w:caps w:val="0"/>
          <w:sz w:val="24"/>
          <w:szCs w:val="24"/>
        </w:rPr>
        <w:t xml:space="preserve">Budget des provinces et des </w:t>
      </w:r>
      <w:r w:rsidR="00A55F63" w:rsidRPr="007F0DC0">
        <w:rPr>
          <w:rFonts w:ascii="Times New Roman" w:hAnsi="Times New Roman" w:cs="Times New Roman"/>
          <w:caps w:val="0"/>
          <w:sz w:val="24"/>
          <w:szCs w:val="24"/>
        </w:rPr>
        <w:t xml:space="preserve">Entités </w:t>
      </w:r>
      <w:r w:rsidR="00A55F63">
        <w:rPr>
          <w:rFonts w:ascii="Times New Roman" w:hAnsi="Times New Roman" w:cs="Times New Roman"/>
          <w:caps w:val="0"/>
          <w:sz w:val="24"/>
          <w:szCs w:val="24"/>
        </w:rPr>
        <w:t>T</w:t>
      </w:r>
      <w:r w:rsidRPr="007F0DC0">
        <w:rPr>
          <w:rFonts w:ascii="Times New Roman" w:hAnsi="Times New Roman" w:cs="Times New Roman"/>
          <w:caps w:val="0"/>
          <w:sz w:val="24"/>
          <w:szCs w:val="24"/>
        </w:rPr>
        <w:t xml:space="preserve">erritoriales </w:t>
      </w:r>
      <w:r w:rsidR="00A55F63" w:rsidRPr="007F0DC0">
        <w:rPr>
          <w:rFonts w:ascii="Times New Roman" w:hAnsi="Times New Roman" w:cs="Times New Roman"/>
          <w:caps w:val="0"/>
          <w:sz w:val="24"/>
          <w:szCs w:val="24"/>
        </w:rPr>
        <w:t>Décentralisées</w:t>
      </w:r>
      <w:r w:rsidR="00A55F63">
        <w:rPr>
          <w:rFonts w:ascii="Times New Roman" w:hAnsi="Times New Roman" w:cs="Times New Roman"/>
          <w:caps w:val="0"/>
          <w:sz w:val="24"/>
          <w:szCs w:val="24"/>
        </w:rPr>
        <w:t xml:space="preserve"> </w:t>
      </w:r>
      <w:r w:rsidR="00A55F63" w:rsidRPr="00C52CD8">
        <w:rPr>
          <w:rFonts w:ascii="Times New Roman" w:hAnsi="Times New Roman"/>
          <w:sz w:val="24"/>
          <w:szCs w:val="24"/>
        </w:rPr>
        <w:t>(ETD)</w:t>
      </w:r>
      <w:bookmarkEnd w:id="195"/>
      <w:r w:rsidR="00A55F63" w:rsidRPr="00C52CD8">
        <w:rPr>
          <w:rFonts w:ascii="Times New Roman" w:hAnsi="Times New Roman"/>
          <w:sz w:val="24"/>
          <w:szCs w:val="24"/>
        </w:rPr>
        <w:t xml:space="preserve"> </w:t>
      </w:r>
      <w:r w:rsidR="00A55F63" w:rsidRPr="007F0DC0">
        <w:rPr>
          <w:rFonts w:ascii="Times New Roman" w:hAnsi="Times New Roman" w:cs="Times New Roman"/>
          <w:caps w:val="0"/>
          <w:sz w:val="24"/>
          <w:szCs w:val="24"/>
        </w:rPr>
        <w:t xml:space="preserve"> </w:t>
      </w:r>
    </w:p>
    <w:p w14:paraId="67429F8C" w14:textId="22C37E63" w:rsidR="00F000B0" w:rsidRPr="00C52CD8" w:rsidRDefault="00F000B0" w:rsidP="007F0DC0">
      <w:pPr>
        <w:ind w:left="142"/>
        <w:jc w:val="both"/>
        <w:rPr>
          <w:rFonts w:ascii="Times New Roman" w:hAnsi="Times New Roman"/>
          <w:sz w:val="24"/>
          <w:szCs w:val="24"/>
        </w:rPr>
      </w:pPr>
      <w:r w:rsidRPr="00C52CD8">
        <w:rPr>
          <w:rFonts w:ascii="Times New Roman" w:hAnsi="Times New Roman"/>
          <w:sz w:val="24"/>
          <w:szCs w:val="24"/>
        </w:rPr>
        <w:t xml:space="preserve">Le Budget des provinces </w:t>
      </w:r>
      <w:r w:rsidR="00A55F63">
        <w:rPr>
          <w:rFonts w:ascii="Times New Roman" w:hAnsi="Times New Roman"/>
          <w:sz w:val="24"/>
          <w:szCs w:val="24"/>
        </w:rPr>
        <w:t xml:space="preserve">et </w:t>
      </w:r>
      <w:r w:rsidRPr="00C52CD8">
        <w:rPr>
          <w:rFonts w:ascii="Times New Roman" w:hAnsi="Times New Roman"/>
          <w:sz w:val="24"/>
          <w:szCs w:val="24"/>
        </w:rPr>
        <w:t xml:space="preserve">des </w:t>
      </w:r>
      <w:r w:rsidR="00A55F63">
        <w:rPr>
          <w:rFonts w:ascii="Times New Roman" w:hAnsi="Times New Roman"/>
          <w:sz w:val="24"/>
          <w:szCs w:val="24"/>
        </w:rPr>
        <w:t>ETD</w:t>
      </w:r>
      <w:r w:rsidRPr="00C52CD8">
        <w:rPr>
          <w:rFonts w:ascii="Times New Roman" w:hAnsi="Times New Roman"/>
          <w:sz w:val="24"/>
          <w:szCs w:val="24"/>
        </w:rPr>
        <w:t xml:space="preserve"> est élaboré dans la même forme que celui du Pouvoir Central.</w:t>
      </w:r>
    </w:p>
    <w:p w14:paraId="01EFBD8B" w14:textId="77777777" w:rsidR="00F000B0" w:rsidRPr="00C52CD8" w:rsidRDefault="00F000B0" w:rsidP="007F0DC0">
      <w:pPr>
        <w:ind w:left="142"/>
        <w:jc w:val="both"/>
        <w:rPr>
          <w:rFonts w:ascii="Times New Roman" w:hAnsi="Times New Roman"/>
          <w:sz w:val="24"/>
          <w:szCs w:val="24"/>
        </w:rPr>
      </w:pPr>
      <w:r w:rsidRPr="00C52CD8">
        <w:rPr>
          <w:rFonts w:ascii="Times New Roman" w:hAnsi="Times New Roman"/>
          <w:sz w:val="24"/>
          <w:szCs w:val="24"/>
        </w:rPr>
        <w:t xml:space="preserve"> Les instructions spécifiques du Ministre Provincial du Budget déterminent les modalités pratiques d'évaluation des recettes propres des provinces et ETD. </w:t>
      </w:r>
    </w:p>
    <w:p w14:paraId="65471E63" w14:textId="72B8C616" w:rsidR="00F000B0" w:rsidRPr="00C52CD8" w:rsidRDefault="00F000B0" w:rsidP="007F0DC0">
      <w:pPr>
        <w:ind w:left="142"/>
        <w:jc w:val="both"/>
        <w:rPr>
          <w:rFonts w:ascii="Times New Roman" w:hAnsi="Times New Roman"/>
          <w:sz w:val="24"/>
          <w:szCs w:val="24"/>
        </w:rPr>
      </w:pPr>
      <w:r w:rsidRPr="00C52CD8">
        <w:rPr>
          <w:rFonts w:ascii="Times New Roman" w:hAnsi="Times New Roman"/>
          <w:sz w:val="24"/>
          <w:szCs w:val="24"/>
        </w:rPr>
        <w:t>S'agissant particulièrement des E</w:t>
      </w:r>
      <w:r w:rsidR="00A55F63">
        <w:rPr>
          <w:rFonts w:ascii="Times New Roman" w:hAnsi="Times New Roman"/>
          <w:sz w:val="24"/>
          <w:szCs w:val="24"/>
        </w:rPr>
        <w:t>TD, les Gouverneurs de Province</w:t>
      </w:r>
      <w:r w:rsidRPr="00C52CD8">
        <w:rPr>
          <w:rFonts w:ascii="Times New Roman" w:hAnsi="Times New Roman"/>
          <w:sz w:val="24"/>
          <w:szCs w:val="24"/>
        </w:rPr>
        <w:t xml:space="preserve"> exercent un contrôle à priori sur leurs projets de décisions budgétaires avant d'être soumis à </w:t>
      </w:r>
      <w:r w:rsidR="00A55F63">
        <w:rPr>
          <w:rFonts w:ascii="Times New Roman" w:hAnsi="Times New Roman"/>
          <w:sz w:val="24"/>
          <w:szCs w:val="24"/>
        </w:rPr>
        <w:t xml:space="preserve">la </w:t>
      </w:r>
      <w:r w:rsidRPr="00C52CD8">
        <w:rPr>
          <w:rFonts w:ascii="Times New Roman" w:hAnsi="Times New Roman"/>
          <w:sz w:val="24"/>
          <w:szCs w:val="24"/>
        </w:rPr>
        <w:t xml:space="preserve">délibération, conformément aux Articles 97 et 98 de la Loi Organique 08/016 du 7 octobre 2008. </w:t>
      </w:r>
    </w:p>
    <w:p w14:paraId="7465B233" w14:textId="0E7BB0AD" w:rsidR="00F000B0" w:rsidRPr="00101A84" w:rsidRDefault="00F000B0" w:rsidP="007F0DC0">
      <w:pPr>
        <w:ind w:left="142"/>
        <w:jc w:val="both"/>
        <w:rPr>
          <w:rFonts w:ascii="Times New Roman" w:hAnsi="Times New Roman"/>
          <w:sz w:val="24"/>
          <w:szCs w:val="24"/>
        </w:rPr>
      </w:pPr>
      <w:r w:rsidRPr="00C52CD8">
        <w:rPr>
          <w:rFonts w:ascii="Times New Roman" w:hAnsi="Times New Roman"/>
          <w:sz w:val="24"/>
          <w:szCs w:val="24"/>
        </w:rPr>
        <w:t>A cet effet, les ETD transmettent leurs avant-projets de décisions budgétaires aux Gouverneurs de Province afin que ces derniers s’assurent de la conformité avec les hypothèses macroéconomiques retenues dans les prévisions du budget national, avec les projections des recettes ainsi que celles des dépenses prioritaires et obligatoires</w:t>
      </w:r>
      <w:r w:rsidRPr="00101A84">
        <w:rPr>
          <w:rFonts w:ascii="Times New Roman" w:hAnsi="Times New Roman"/>
          <w:sz w:val="24"/>
          <w:szCs w:val="24"/>
        </w:rPr>
        <w:t>.</w:t>
      </w:r>
    </w:p>
    <w:p w14:paraId="7C72577E" w14:textId="77777777" w:rsidR="00F000B0" w:rsidRPr="00590428" w:rsidRDefault="00F000B0" w:rsidP="00F000B0">
      <w:pPr>
        <w:jc w:val="both"/>
        <w:rPr>
          <w:rFonts w:ascii="Times New Roman" w:hAnsi="Times New Roman"/>
          <w:sz w:val="26"/>
          <w:szCs w:val="26"/>
        </w:rPr>
      </w:pPr>
    </w:p>
    <w:p w14:paraId="49937E79" w14:textId="77777777" w:rsidR="00F000B0" w:rsidRDefault="00F000B0" w:rsidP="00F000B0">
      <w:pPr>
        <w:rPr>
          <w:rFonts w:ascii="Times New Roman" w:hAnsi="Times New Roman"/>
          <w:sz w:val="24"/>
          <w:szCs w:val="24"/>
        </w:rPr>
      </w:pPr>
      <w:r>
        <w:rPr>
          <w:rFonts w:ascii="Times New Roman" w:hAnsi="Times New Roman"/>
          <w:sz w:val="24"/>
          <w:szCs w:val="24"/>
        </w:rPr>
        <w:br w:type="page"/>
      </w:r>
    </w:p>
    <w:p w14:paraId="3A67D1FB" w14:textId="77777777" w:rsidR="00F000B0" w:rsidRPr="007F0DC0" w:rsidRDefault="00F000B0" w:rsidP="000668F9">
      <w:pPr>
        <w:pStyle w:val="Titre1"/>
        <w:numPr>
          <w:ilvl w:val="0"/>
          <w:numId w:val="4"/>
        </w:numPr>
        <w:ind w:left="426" w:hanging="425"/>
        <w:rPr>
          <w:rFonts w:ascii="Times New Roman" w:hAnsi="Times New Roman" w:cs="Times New Roman"/>
          <w:sz w:val="28"/>
          <w:szCs w:val="28"/>
        </w:rPr>
      </w:pPr>
      <w:bookmarkStart w:id="196" w:name="_Toc518468117"/>
      <w:r w:rsidRPr="007F0DC0">
        <w:rPr>
          <w:rFonts w:ascii="Times New Roman" w:hAnsi="Times New Roman" w:cs="Times New Roman"/>
          <w:sz w:val="28"/>
          <w:szCs w:val="28"/>
        </w:rPr>
        <w:lastRenderedPageBreak/>
        <w:t>SUIVI DES RECOMMANDATIONS ISSUES DU RAPPORTAGE ITIE</w:t>
      </w:r>
      <w:bookmarkEnd w:id="196"/>
    </w:p>
    <w:p w14:paraId="3BEF64D9" w14:textId="77777777" w:rsidR="00F000B0" w:rsidRDefault="00F000B0" w:rsidP="000668F9">
      <w:pPr>
        <w:jc w:val="both"/>
        <w:rPr>
          <w:rFonts w:ascii="Times New Roman" w:hAnsi="Times New Roman"/>
          <w:sz w:val="24"/>
          <w:szCs w:val="24"/>
        </w:rPr>
      </w:pPr>
      <w:r>
        <w:rPr>
          <w:rFonts w:ascii="Times New Roman" w:hAnsi="Times New Roman"/>
          <w:sz w:val="24"/>
          <w:szCs w:val="24"/>
        </w:rPr>
        <w:t>Les rapports ITIE sont susceptibles d’améliorer les systèmes tant des institutions publiques que des entreprises. Ceci, au moyen de l’identification des problèmes  et des lacunes en lien avec la gestion des ressources naturelles formulés par l’administrateur indépendant sous-forme des recommandations auxquelles le pays mettant en œuvre, par l’entremise de son Groupe Multipartite, est tenu de donner suite.</w:t>
      </w:r>
    </w:p>
    <w:p w14:paraId="69FCAA6D" w14:textId="77777777" w:rsidR="00F000B0" w:rsidRDefault="00F000B0" w:rsidP="000668F9">
      <w:pPr>
        <w:jc w:val="both"/>
        <w:rPr>
          <w:rFonts w:ascii="Times New Roman" w:hAnsi="Times New Roman"/>
          <w:sz w:val="24"/>
          <w:szCs w:val="24"/>
        </w:rPr>
      </w:pPr>
      <w:r>
        <w:rPr>
          <w:rFonts w:ascii="Times New Roman" w:hAnsi="Times New Roman"/>
          <w:sz w:val="24"/>
          <w:szCs w:val="24"/>
        </w:rPr>
        <w:t xml:space="preserve">A cet effet, le Groupe Multipartite </w:t>
      </w:r>
      <w:r w:rsidRPr="00FA7E70">
        <w:rPr>
          <w:rFonts w:ascii="Times New Roman" w:hAnsi="Times New Roman"/>
          <w:sz w:val="24"/>
          <w:szCs w:val="24"/>
        </w:rPr>
        <w:t xml:space="preserve">est appelé  à répertorier  les recommandations faites dans le cadre du rapportage ITIE </w:t>
      </w:r>
      <w:r>
        <w:rPr>
          <w:rFonts w:ascii="Times New Roman" w:hAnsi="Times New Roman"/>
          <w:sz w:val="24"/>
          <w:szCs w:val="24"/>
        </w:rPr>
        <w:t xml:space="preserve"> ainsi</w:t>
      </w:r>
      <w:r w:rsidRPr="00FA7E70">
        <w:rPr>
          <w:rFonts w:ascii="Times New Roman" w:hAnsi="Times New Roman"/>
          <w:sz w:val="24"/>
          <w:szCs w:val="24"/>
        </w:rPr>
        <w:t xml:space="preserve"> </w:t>
      </w:r>
      <w:r>
        <w:rPr>
          <w:rFonts w:ascii="Times New Roman" w:hAnsi="Times New Roman"/>
          <w:sz w:val="24"/>
          <w:szCs w:val="24"/>
        </w:rPr>
        <w:t>qu’</w:t>
      </w:r>
      <w:r w:rsidRPr="00FA7E70">
        <w:rPr>
          <w:rFonts w:ascii="Times New Roman" w:hAnsi="Times New Roman"/>
          <w:sz w:val="24"/>
          <w:szCs w:val="24"/>
        </w:rPr>
        <w:t>à documenter les ac</w:t>
      </w:r>
      <w:r>
        <w:rPr>
          <w:rFonts w:ascii="Times New Roman" w:hAnsi="Times New Roman"/>
          <w:sz w:val="24"/>
          <w:szCs w:val="24"/>
        </w:rPr>
        <w:t xml:space="preserve">tions </w:t>
      </w:r>
      <w:r w:rsidRPr="00FA7E70">
        <w:rPr>
          <w:rFonts w:ascii="Times New Roman" w:hAnsi="Times New Roman"/>
          <w:sz w:val="24"/>
          <w:szCs w:val="24"/>
        </w:rPr>
        <w:t xml:space="preserve">qui ont été </w:t>
      </w:r>
      <w:r>
        <w:rPr>
          <w:rFonts w:ascii="Times New Roman" w:hAnsi="Times New Roman"/>
          <w:sz w:val="24"/>
          <w:szCs w:val="24"/>
        </w:rPr>
        <w:t>menée en vue de répondre à chaque</w:t>
      </w:r>
      <w:r w:rsidRPr="00FA7E70">
        <w:rPr>
          <w:rFonts w:ascii="Times New Roman" w:hAnsi="Times New Roman"/>
          <w:sz w:val="24"/>
          <w:szCs w:val="24"/>
        </w:rPr>
        <w:t xml:space="preserve"> </w:t>
      </w:r>
      <w:r>
        <w:rPr>
          <w:rFonts w:ascii="Times New Roman" w:hAnsi="Times New Roman"/>
          <w:sz w:val="24"/>
          <w:szCs w:val="24"/>
        </w:rPr>
        <w:t xml:space="preserve"> recommandation</w:t>
      </w:r>
      <w:r w:rsidRPr="00FA7E70">
        <w:rPr>
          <w:rFonts w:ascii="Times New Roman" w:hAnsi="Times New Roman"/>
          <w:sz w:val="24"/>
          <w:szCs w:val="24"/>
        </w:rPr>
        <w:t xml:space="preserve"> </w:t>
      </w:r>
      <w:r>
        <w:rPr>
          <w:rFonts w:ascii="Times New Roman" w:hAnsi="Times New Roman"/>
          <w:sz w:val="24"/>
          <w:szCs w:val="24"/>
        </w:rPr>
        <w:t>en indiquant le niveau de progrès de</w:t>
      </w:r>
      <w:r w:rsidRPr="00FA7E70">
        <w:rPr>
          <w:rFonts w:ascii="Times New Roman" w:hAnsi="Times New Roman"/>
          <w:sz w:val="24"/>
          <w:szCs w:val="24"/>
        </w:rPr>
        <w:t xml:space="preserve"> </w:t>
      </w:r>
      <w:r>
        <w:rPr>
          <w:rFonts w:ascii="Times New Roman" w:hAnsi="Times New Roman"/>
          <w:sz w:val="24"/>
          <w:szCs w:val="24"/>
        </w:rPr>
        <w:t xml:space="preserve">réalisation. </w:t>
      </w:r>
      <w:r w:rsidRPr="00FA7E70">
        <w:rPr>
          <w:rFonts w:ascii="Times New Roman" w:hAnsi="Times New Roman"/>
          <w:sz w:val="24"/>
          <w:szCs w:val="24"/>
        </w:rPr>
        <w:t xml:space="preserve"> </w:t>
      </w:r>
    </w:p>
    <w:p w14:paraId="1D231062" w14:textId="77777777" w:rsidR="00F000B0" w:rsidRPr="00FA7E70" w:rsidRDefault="00F000B0" w:rsidP="000668F9">
      <w:pPr>
        <w:jc w:val="both"/>
        <w:rPr>
          <w:rFonts w:ascii="Times New Roman" w:hAnsi="Times New Roman"/>
          <w:sz w:val="24"/>
          <w:szCs w:val="24"/>
        </w:rPr>
      </w:pPr>
      <w:r w:rsidRPr="00FA7E70">
        <w:rPr>
          <w:rFonts w:ascii="Times New Roman" w:hAnsi="Times New Roman"/>
          <w:sz w:val="24"/>
          <w:szCs w:val="24"/>
        </w:rPr>
        <w:t xml:space="preserve">Pour ce faire, un atelier des parties prenantes </w:t>
      </w:r>
      <w:r>
        <w:rPr>
          <w:rFonts w:ascii="Times New Roman" w:hAnsi="Times New Roman"/>
          <w:sz w:val="24"/>
          <w:szCs w:val="24"/>
        </w:rPr>
        <w:t>a été organisé en date du 23 juin 2018  à Lubumbashi, afin</w:t>
      </w:r>
      <w:r w:rsidRPr="00FA7E70">
        <w:rPr>
          <w:rFonts w:ascii="Times New Roman" w:hAnsi="Times New Roman"/>
          <w:sz w:val="24"/>
          <w:szCs w:val="24"/>
        </w:rPr>
        <w:t xml:space="preserve"> </w:t>
      </w:r>
      <w:r>
        <w:rPr>
          <w:rFonts w:ascii="Times New Roman" w:hAnsi="Times New Roman"/>
          <w:sz w:val="24"/>
          <w:szCs w:val="24"/>
        </w:rPr>
        <w:t>d’</w:t>
      </w:r>
      <w:r w:rsidRPr="00FA7E70">
        <w:rPr>
          <w:rFonts w:ascii="Times New Roman" w:hAnsi="Times New Roman"/>
          <w:sz w:val="24"/>
          <w:szCs w:val="24"/>
        </w:rPr>
        <w:t xml:space="preserve">évaluer les progrès accomplis dans </w:t>
      </w:r>
      <w:r>
        <w:rPr>
          <w:rFonts w:ascii="Times New Roman" w:hAnsi="Times New Roman"/>
          <w:sz w:val="24"/>
          <w:szCs w:val="24"/>
        </w:rPr>
        <w:t>la réalisation</w:t>
      </w:r>
      <w:r w:rsidRPr="00FA7E70">
        <w:rPr>
          <w:rFonts w:ascii="Times New Roman" w:hAnsi="Times New Roman"/>
          <w:sz w:val="24"/>
          <w:szCs w:val="24"/>
        </w:rPr>
        <w:t xml:space="preserve"> des recommandations</w:t>
      </w:r>
      <w:r>
        <w:rPr>
          <w:rFonts w:ascii="Times New Roman" w:hAnsi="Times New Roman"/>
          <w:sz w:val="24"/>
          <w:szCs w:val="24"/>
        </w:rPr>
        <w:t xml:space="preserve"> issues des rapports ITIE précédents</w:t>
      </w:r>
      <w:r w:rsidRPr="00FA7E70">
        <w:rPr>
          <w:rFonts w:ascii="Times New Roman" w:hAnsi="Times New Roman"/>
          <w:sz w:val="24"/>
          <w:szCs w:val="24"/>
        </w:rPr>
        <w:t>.</w:t>
      </w:r>
    </w:p>
    <w:p w14:paraId="653851F2" w14:textId="2943322A" w:rsidR="00F000B0" w:rsidRDefault="00F000B0" w:rsidP="000668F9">
      <w:pPr>
        <w:jc w:val="both"/>
        <w:rPr>
          <w:rFonts w:ascii="Times New Roman" w:hAnsi="Times New Roman"/>
          <w:sz w:val="24"/>
          <w:szCs w:val="24"/>
        </w:rPr>
      </w:pPr>
      <w:r w:rsidRPr="0095486A">
        <w:rPr>
          <w:rFonts w:ascii="Times New Roman" w:hAnsi="Times New Roman"/>
          <w:sz w:val="24"/>
          <w:szCs w:val="24"/>
        </w:rPr>
        <w:t xml:space="preserve">Il ressort de cette évaluation que, sur </w:t>
      </w:r>
      <w:r w:rsidR="0035335B">
        <w:rPr>
          <w:rFonts w:ascii="Times New Roman" w:hAnsi="Times New Roman"/>
          <w:sz w:val="24"/>
          <w:szCs w:val="24"/>
        </w:rPr>
        <w:t>dix-sept (</w:t>
      </w:r>
      <w:r w:rsidRPr="0095486A">
        <w:rPr>
          <w:rFonts w:ascii="Times New Roman" w:hAnsi="Times New Roman"/>
          <w:sz w:val="24"/>
          <w:szCs w:val="24"/>
        </w:rPr>
        <w:t>17</w:t>
      </w:r>
      <w:r w:rsidR="0035335B">
        <w:rPr>
          <w:rFonts w:ascii="Times New Roman" w:hAnsi="Times New Roman"/>
          <w:sz w:val="24"/>
          <w:szCs w:val="24"/>
        </w:rPr>
        <w:t>)</w:t>
      </w:r>
      <w:r w:rsidRPr="0095486A">
        <w:rPr>
          <w:rFonts w:ascii="Times New Roman" w:hAnsi="Times New Roman"/>
          <w:sz w:val="24"/>
          <w:szCs w:val="24"/>
        </w:rPr>
        <w:t xml:space="preserve"> recommandations</w:t>
      </w:r>
      <w:r w:rsidR="00DA0327">
        <w:rPr>
          <w:rFonts w:ascii="Times New Roman" w:hAnsi="Times New Roman"/>
          <w:sz w:val="24"/>
          <w:szCs w:val="24"/>
        </w:rPr>
        <w:t xml:space="preserve"> issues des précédents Rapports ITIE-RDC</w:t>
      </w:r>
      <w:r w:rsidRPr="0095486A">
        <w:rPr>
          <w:rFonts w:ascii="Times New Roman" w:hAnsi="Times New Roman"/>
          <w:sz w:val="24"/>
          <w:szCs w:val="24"/>
        </w:rPr>
        <w:t xml:space="preserve">, </w:t>
      </w:r>
      <w:r w:rsidR="0035335B">
        <w:rPr>
          <w:rFonts w:ascii="Times New Roman" w:hAnsi="Times New Roman"/>
          <w:sz w:val="24"/>
          <w:szCs w:val="24"/>
        </w:rPr>
        <w:t>six (6</w:t>
      </w:r>
      <w:r>
        <w:rPr>
          <w:rFonts w:ascii="Times New Roman" w:hAnsi="Times New Roman"/>
          <w:sz w:val="24"/>
          <w:szCs w:val="24"/>
        </w:rPr>
        <w:t>)</w:t>
      </w:r>
      <w:r w:rsidRPr="0095486A">
        <w:rPr>
          <w:rFonts w:ascii="Times New Roman" w:hAnsi="Times New Roman"/>
          <w:sz w:val="24"/>
          <w:szCs w:val="24"/>
        </w:rPr>
        <w:t xml:space="preserve"> </w:t>
      </w:r>
      <w:r>
        <w:rPr>
          <w:rFonts w:ascii="Times New Roman" w:hAnsi="Times New Roman"/>
          <w:sz w:val="24"/>
          <w:szCs w:val="24"/>
        </w:rPr>
        <w:t xml:space="preserve"> </w:t>
      </w:r>
      <w:r w:rsidRPr="0095486A">
        <w:rPr>
          <w:rFonts w:ascii="Times New Roman" w:hAnsi="Times New Roman"/>
          <w:sz w:val="24"/>
          <w:szCs w:val="24"/>
        </w:rPr>
        <w:t>ont été exécutées</w:t>
      </w:r>
      <w:r>
        <w:rPr>
          <w:rFonts w:ascii="Times New Roman" w:hAnsi="Times New Roman"/>
          <w:sz w:val="24"/>
          <w:szCs w:val="24"/>
        </w:rPr>
        <w:t>,</w:t>
      </w:r>
      <w:r w:rsidRPr="0095486A">
        <w:rPr>
          <w:rFonts w:ascii="Times New Roman" w:hAnsi="Times New Roman"/>
          <w:sz w:val="24"/>
          <w:szCs w:val="24"/>
        </w:rPr>
        <w:t xml:space="preserve"> </w:t>
      </w:r>
      <w:r>
        <w:rPr>
          <w:rFonts w:ascii="Times New Roman" w:hAnsi="Times New Roman"/>
          <w:sz w:val="24"/>
          <w:szCs w:val="24"/>
        </w:rPr>
        <w:t>dix  (10)</w:t>
      </w:r>
      <w:r w:rsidRPr="0095486A">
        <w:rPr>
          <w:rFonts w:ascii="Times New Roman" w:hAnsi="Times New Roman"/>
          <w:sz w:val="24"/>
          <w:szCs w:val="24"/>
        </w:rPr>
        <w:t xml:space="preserve"> sont en cou</w:t>
      </w:r>
      <w:r>
        <w:rPr>
          <w:rFonts w:ascii="Times New Roman" w:hAnsi="Times New Roman"/>
          <w:sz w:val="24"/>
          <w:szCs w:val="24"/>
        </w:rPr>
        <w:t>rs d’exécution, une (1)  n’a</w:t>
      </w:r>
      <w:r w:rsidRPr="0095486A">
        <w:rPr>
          <w:rFonts w:ascii="Times New Roman" w:hAnsi="Times New Roman"/>
          <w:sz w:val="24"/>
          <w:szCs w:val="24"/>
        </w:rPr>
        <w:t xml:space="preserve"> pas</w:t>
      </w:r>
      <w:r>
        <w:rPr>
          <w:rFonts w:ascii="Times New Roman" w:hAnsi="Times New Roman"/>
          <w:sz w:val="24"/>
          <w:szCs w:val="24"/>
        </w:rPr>
        <w:t xml:space="preserve"> été</w:t>
      </w:r>
      <w:r w:rsidRPr="0095486A">
        <w:rPr>
          <w:rFonts w:ascii="Times New Roman" w:hAnsi="Times New Roman"/>
          <w:sz w:val="24"/>
          <w:szCs w:val="24"/>
        </w:rPr>
        <w:t xml:space="preserve"> </w:t>
      </w:r>
      <w:r>
        <w:rPr>
          <w:rFonts w:ascii="Times New Roman" w:hAnsi="Times New Roman"/>
          <w:sz w:val="24"/>
          <w:szCs w:val="24"/>
        </w:rPr>
        <w:t>cotée par les parties prenantes en raison de l’orientation prise par le Groupe Multipartite en rapport avec l’intégration de l’ITIE dans les systèmes gouvernementaux.</w:t>
      </w:r>
    </w:p>
    <w:p w14:paraId="11E84FB3" w14:textId="3376AC10" w:rsidR="00DA0327" w:rsidRDefault="00DA0327" w:rsidP="00DA0327">
      <w:pPr>
        <w:pStyle w:val="Paragraphedeliste"/>
        <w:numPr>
          <w:ilvl w:val="0"/>
          <w:numId w:val="42"/>
        </w:numPr>
        <w:ind w:left="426"/>
        <w:jc w:val="both"/>
        <w:rPr>
          <w:rFonts w:ascii="Times New Roman" w:hAnsi="Times New Roman"/>
          <w:b/>
          <w:color w:val="1F4E79" w:themeColor="accent1" w:themeShade="80"/>
          <w:sz w:val="24"/>
          <w:szCs w:val="24"/>
        </w:rPr>
      </w:pPr>
      <w:r w:rsidRPr="00DA0327">
        <w:rPr>
          <w:rFonts w:ascii="Times New Roman" w:hAnsi="Times New Roman"/>
          <w:b/>
          <w:color w:val="1F4E79" w:themeColor="accent1" w:themeShade="80"/>
          <w:sz w:val="24"/>
          <w:szCs w:val="24"/>
          <w:u w:val="single"/>
        </w:rPr>
        <w:t>Recommandations exécutées</w:t>
      </w:r>
      <w:r w:rsidRPr="00DA0327">
        <w:rPr>
          <w:rFonts w:ascii="Times New Roman" w:hAnsi="Times New Roman"/>
          <w:b/>
          <w:color w:val="1F4E79" w:themeColor="accent1" w:themeShade="80"/>
          <w:sz w:val="24"/>
          <w:szCs w:val="24"/>
        </w:rPr>
        <w:t> :</w:t>
      </w:r>
    </w:p>
    <w:p w14:paraId="26E96148" w14:textId="2194277D" w:rsidR="00DA0327" w:rsidRPr="00AA0EE1" w:rsidRDefault="00DA0327" w:rsidP="00B02744">
      <w:pPr>
        <w:pStyle w:val="Paragraphedeliste"/>
        <w:numPr>
          <w:ilvl w:val="0"/>
          <w:numId w:val="66"/>
        </w:numPr>
        <w:ind w:left="709"/>
        <w:jc w:val="both"/>
        <w:rPr>
          <w:rFonts w:ascii="Times New Roman" w:hAnsi="Times New Roman"/>
          <w:color w:val="171717" w:themeColor="background2" w:themeShade="1A"/>
          <w:sz w:val="24"/>
          <w:szCs w:val="24"/>
        </w:rPr>
      </w:pPr>
      <w:r w:rsidRPr="00AA0EE1">
        <w:rPr>
          <w:rFonts w:ascii="Times New Roman" w:hAnsi="Times New Roman"/>
          <w:color w:val="171717" w:themeColor="background2" w:themeShade="1A"/>
          <w:sz w:val="24"/>
          <w:szCs w:val="24"/>
        </w:rPr>
        <w:t>Création des f</w:t>
      </w:r>
      <w:r w:rsidR="00B02744" w:rsidRPr="00AA0EE1">
        <w:rPr>
          <w:rFonts w:ascii="Times New Roman" w:hAnsi="Times New Roman"/>
          <w:color w:val="171717" w:themeColor="background2" w:themeShade="1A"/>
          <w:sz w:val="24"/>
          <w:szCs w:val="24"/>
        </w:rPr>
        <w:t xml:space="preserve">iches de rapprochement, sous format </w:t>
      </w:r>
      <w:r w:rsidRPr="00AA0EE1">
        <w:rPr>
          <w:rFonts w:ascii="Times New Roman" w:hAnsi="Times New Roman"/>
          <w:color w:val="171717" w:themeColor="background2" w:themeShade="1A"/>
          <w:sz w:val="24"/>
          <w:szCs w:val="24"/>
        </w:rPr>
        <w:t>Excel</w:t>
      </w:r>
      <w:r w:rsidR="00B02744" w:rsidRPr="00AA0EE1">
        <w:rPr>
          <w:rFonts w:ascii="Times New Roman" w:hAnsi="Times New Roman"/>
          <w:color w:val="171717" w:themeColor="background2" w:themeShade="1A"/>
          <w:sz w:val="24"/>
          <w:szCs w:val="24"/>
        </w:rPr>
        <w:t>, destinées à l’utilisation exclusive de l’Administrateur Indépendant.</w:t>
      </w:r>
    </w:p>
    <w:p w14:paraId="533C49AD" w14:textId="4E2BDAFE" w:rsidR="00B02744" w:rsidRPr="00AA0EE1" w:rsidRDefault="00AA0EE1" w:rsidP="00AA0EE1">
      <w:pPr>
        <w:pStyle w:val="Paragraphedeliste"/>
        <w:numPr>
          <w:ilvl w:val="0"/>
          <w:numId w:val="66"/>
        </w:numPr>
        <w:ind w:left="709"/>
        <w:jc w:val="both"/>
        <w:rPr>
          <w:rFonts w:ascii="Times New Roman" w:hAnsi="Times New Roman"/>
          <w:color w:val="1F4E79" w:themeColor="accent1" w:themeShade="80"/>
          <w:sz w:val="24"/>
          <w:szCs w:val="24"/>
        </w:rPr>
      </w:pPr>
      <w:r w:rsidRPr="00AA0EE1">
        <w:rPr>
          <w:rFonts w:ascii="Times New Roman" w:hAnsi="Times New Roman"/>
          <w:color w:val="171717" w:themeColor="background2" w:themeShade="1A"/>
          <w:sz w:val="24"/>
          <w:szCs w:val="24"/>
        </w:rPr>
        <w:t>Sensibilisation des parties prenantes pour harmoniser l’approche de calcul de la valeur de production et des exportations par les entreprises déclarantes.</w:t>
      </w:r>
    </w:p>
    <w:p w14:paraId="037D100E" w14:textId="6E343002" w:rsidR="00AA0EE1" w:rsidRPr="00C416D8" w:rsidRDefault="00C416D8" w:rsidP="00AA0EE1">
      <w:pPr>
        <w:pStyle w:val="Paragraphedeliste"/>
        <w:numPr>
          <w:ilvl w:val="0"/>
          <w:numId w:val="66"/>
        </w:numPr>
        <w:ind w:left="709"/>
        <w:jc w:val="both"/>
        <w:rPr>
          <w:rFonts w:ascii="Times New Roman" w:hAnsi="Times New Roman"/>
          <w:color w:val="1F4E79" w:themeColor="accent1" w:themeShade="80"/>
          <w:sz w:val="24"/>
          <w:szCs w:val="24"/>
        </w:rPr>
      </w:pPr>
      <w:r>
        <w:rPr>
          <w:rFonts w:ascii="Times New Roman" w:hAnsi="Times New Roman"/>
          <w:color w:val="171717" w:themeColor="background2" w:themeShade="1A"/>
          <w:sz w:val="24"/>
          <w:szCs w:val="24"/>
        </w:rPr>
        <w:t xml:space="preserve">Extension du périmètre de déclaration par l’intégration </w:t>
      </w:r>
      <w:r w:rsidR="00AA0EE1">
        <w:rPr>
          <w:rFonts w:ascii="Times New Roman" w:hAnsi="Times New Roman"/>
          <w:color w:val="171717" w:themeColor="background2" w:themeShade="1A"/>
          <w:sz w:val="24"/>
          <w:szCs w:val="24"/>
        </w:rPr>
        <w:t xml:space="preserve">du nouveau flux </w:t>
      </w:r>
      <w:r>
        <w:rPr>
          <w:rFonts w:ascii="Times New Roman" w:hAnsi="Times New Roman"/>
          <w:color w:val="171717" w:themeColor="background2" w:themeShade="1A"/>
          <w:sz w:val="24"/>
          <w:szCs w:val="24"/>
        </w:rPr>
        <w:t>« Redevance Suivi de Change » encadré par la BCC</w:t>
      </w:r>
    </w:p>
    <w:p w14:paraId="475DA29D" w14:textId="2C4B9C9C" w:rsidR="00C416D8" w:rsidRPr="00C416D8" w:rsidRDefault="00C416D8" w:rsidP="00AA0EE1">
      <w:pPr>
        <w:pStyle w:val="Paragraphedeliste"/>
        <w:numPr>
          <w:ilvl w:val="0"/>
          <w:numId w:val="66"/>
        </w:numPr>
        <w:ind w:left="709"/>
        <w:jc w:val="both"/>
        <w:rPr>
          <w:rFonts w:ascii="Times New Roman" w:hAnsi="Times New Roman"/>
          <w:color w:val="1F4E79" w:themeColor="accent1" w:themeShade="80"/>
          <w:sz w:val="24"/>
          <w:szCs w:val="24"/>
        </w:rPr>
      </w:pPr>
      <w:r>
        <w:rPr>
          <w:rFonts w:ascii="Times New Roman" w:hAnsi="Times New Roman"/>
          <w:color w:val="171717" w:themeColor="background2" w:themeShade="1A"/>
          <w:sz w:val="24"/>
          <w:szCs w:val="24"/>
        </w:rPr>
        <w:t>Amélioration des formulaires spécifiques de la SICOMINES, tenant compte de l’entrée de cette dernière en phase de production.</w:t>
      </w:r>
    </w:p>
    <w:p w14:paraId="0C485A9B" w14:textId="2DE22071" w:rsidR="00C416D8" w:rsidRPr="00C416D8" w:rsidRDefault="00C416D8" w:rsidP="00AA0EE1">
      <w:pPr>
        <w:pStyle w:val="Paragraphedeliste"/>
        <w:numPr>
          <w:ilvl w:val="0"/>
          <w:numId w:val="66"/>
        </w:numPr>
        <w:ind w:left="709"/>
        <w:jc w:val="both"/>
        <w:rPr>
          <w:rFonts w:ascii="Times New Roman" w:hAnsi="Times New Roman"/>
          <w:color w:val="1F4E79" w:themeColor="accent1" w:themeShade="80"/>
          <w:sz w:val="24"/>
          <w:szCs w:val="24"/>
        </w:rPr>
      </w:pPr>
      <w:r>
        <w:rPr>
          <w:rFonts w:ascii="Times New Roman" w:hAnsi="Times New Roman"/>
          <w:color w:val="171717" w:themeColor="background2" w:themeShade="1A"/>
          <w:sz w:val="24"/>
          <w:szCs w:val="24"/>
        </w:rPr>
        <w:t>Evaluation de la mise en œuvre des anciennes recommandations.</w:t>
      </w:r>
    </w:p>
    <w:p w14:paraId="29D38FAA" w14:textId="303E20CE" w:rsidR="00C416D8" w:rsidRPr="00C416D8" w:rsidRDefault="00C416D8" w:rsidP="00AA0EE1">
      <w:pPr>
        <w:pStyle w:val="Paragraphedeliste"/>
        <w:numPr>
          <w:ilvl w:val="0"/>
          <w:numId w:val="66"/>
        </w:numPr>
        <w:ind w:left="709"/>
        <w:jc w:val="both"/>
        <w:rPr>
          <w:rFonts w:ascii="Times New Roman" w:hAnsi="Times New Roman"/>
          <w:color w:val="171717" w:themeColor="background2" w:themeShade="1A"/>
          <w:sz w:val="24"/>
          <w:szCs w:val="24"/>
        </w:rPr>
      </w:pPr>
      <w:r w:rsidRPr="00C416D8">
        <w:rPr>
          <w:rFonts w:ascii="Times New Roman" w:hAnsi="Times New Roman"/>
          <w:color w:val="171717" w:themeColor="background2" w:themeShade="1A"/>
          <w:sz w:val="24"/>
          <w:szCs w:val="24"/>
        </w:rPr>
        <w:t>Sensibilisation des parties prenantes au respect des taux et de modalités de partage des recettes issues du secteur extractif</w:t>
      </w:r>
    </w:p>
    <w:p w14:paraId="240EB791" w14:textId="77777777" w:rsidR="00DA0327" w:rsidRDefault="00DA0327" w:rsidP="00DA0327">
      <w:pPr>
        <w:pStyle w:val="Paragraphedeliste"/>
        <w:jc w:val="both"/>
        <w:rPr>
          <w:rFonts w:ascii="Times New Roman" w:hAnsi="Times New Roman"/>
          <w:sz w:val="24"/>
          <w:szCs w:val="24"/>
        </w:rPr>
      </w:pPr>
    </w:p>
    <w:p w14:paraId="047B4BB3" w14:textId="75F959D3" w:rsidR="0031567B" w:rsidRDefault="0031567B" w:rsidP="0031567B">
      <w:pPr>
        <w:pStyle w:val="Paragraphedeliste"/>
        <w:numPr>
          <w:ilvl w:val="0"/>
          <w:numId w:val="42"/>
        </w:numPr>
        <w:ind w:left="426"/>
        <w:jc w:val="both"/>
        <w:rPr>
          <w:rFonts w:ascii="Times New Roman" w:hAnsi="Times New Roman"/>
          <w:b/>
          <w:color w:val="1F4E79" w:themeColor="accent1" w:themeShade="80"/>
          <w:sz w:val="24"/>
          <w:szCs w:val="24"/>
          <w:u w:val="single"/>
        </w:rPr>
      </w:pPr>
      <w:r w:rsidRPr="0031567B">
        <w:rPr>
          <w:rFonts w:ascii="Times New Roman" w:hAnsi="Times New Roman"/>
          <w:b/>
          <w:color w:val="1F4E79" w:themeColor="accent1" w:themeShade="80"/>
          <w:sz w:val="24"/>
          <w:szCs w:val="24"/>
          <w:u w:val="single"/>
        </w:rPr>
        <w:t>Recommandations en cours d’exécution</w:t>
      </w:r>
    </w:p>
    <w:p w14:paraId="6BB65383" w14:textId="421276C9" w:rsidR="0031567B" w:rsidRPr="0031567B" w:rsidRDefault="0031567B" w:rsidP="0031567B">
      <w:pPr>
        <w:pStyle w:val="Paragraphedeliste"/>
        <w:numPr>
          <w:ilvl w:val="1"/>
          <w:numId w:val="36"/>
        </w:numPr>
        <w:ind w:left="709"/>
        <w:jc w:val="both"/>
        <w:rPr>
          <w:rFonts w:ascii="Times New Roman" w:hAnsi="Times New Roman"/>
          <w:b/>
          <w:color w:val="1F4E79" w:themeColor="accent1" w:themeShade="80"/>
          <w:sz w:val="24"/>
          <w:szCs w:val="24"/>
          <w:u w:val="single"/>
        </w:rPr>
      </w:pPr>
      <w:r w:rsidRPr="0031567B">
        <w:rPr>
          <w:rFonts w:ascii="Times New Roman" w:hAnsi="Times New Roman"/>
          <w:color w:val="171717" w:themeColor="background2" w:themeShade="1A"/>
          <w:sz w:val="24"/>
          <w:szCs w:val="24"/>
        </w:rPr>
        <w:t>Renforcement de la transparence des transactions financières des EPE</w:t>
      </w:r>
      <w:r w:rsidR="00D337BE">
        <w:rPr>
          <w:rFonts w:ascii="Times New Roman" w:hAnsi="Times New Roman"/>
          <w:color w:val="171717" w:themeColor="background2" w:themeShade="1A"/>
          <w:sz w:val="24"/>
          <w:szCs w:val="24"/>
        </w:rPr>
        <w:t> ;</w:t>
      </w:r>
    </w:p>
    <w:p w14:paraId="5ADC1EB2" w14:textId="659842F0" w:rsidR="0031567B" w:rsidRPr="0031567B" w:rsidRDefault="0031567B" w:rsidP="0031567B">
      <w:pPr>
        <w:pStyle w:val="Paragraphedeliste"/>
        <w:numPr>
          <w:ilvl w:val="1"/>
          <w:numId w:val="36"/>
        </w:numPr>
        <w:ind w:left="709"/>
        <w:jc w:val="both"/>
        <w:rPr>
          <w:rFonts w:ascii="Times New Roman" w:hAnsi="Times New Roman"/>
          <w:b/>
          <w:color w:val="1F4E79" w:themeColor="accent1" w:themeShade="80"/>
          <w:sz w:val="24"/>
          <w:szCs w:val="24"/>
          <w:u w:val="single"/>
        </w:rPr>
      </w:pPr>
      <w:r>
        <w:rPr>
          <w:rFonts w:ascii="Times New Roman" w:hAnsi="Times New Roman"/>
          <w:color w:val="171717" w:themeColor="background2" w:themeShade="1A"/>
          <w:sz w:val="24"/>
          <w:szCs w:val="24"/>
        </w:rPr>
        <w:t>Respect de la clé de répartition des recettes de participation (pas-de-porte, cession d’actif et royalties) à partager entre le Gouvernement et les EPE</w:t>
      </w:r>
      <w:r w:rsidR="00D337BE">
        <w:rPr>
          <w:rFonts w:ascii="Times New Roman" w:hAnsi="Times New Roman"/>
          <w:color w:val="171717" w:themeColor="background2" w:themeShade="1A"/>
          <w:sz w:val="24"/>
          <w:szCs w:val="24"/>
        </w:rPr>
        <w:t> ;</w:t>
      </w:r>
    </w:p>
    <w:p w14:paraId="0E47CDA5" w14:textId="2D3D1F18" w:rsidR="0031567B" w:rsidRDefault="00236B69" w:rsidP="0031567B">
      <w:pPr>
        <w:pStyle w:val="Paragraphedeliste"/>
        <w:numPr>
          <w:ilvl w:val="1"/>
          <w:numId w:val="36"/>
        </w:numPr>
        <w:ind w:left="709"/>
        <w:jc w:val="both"/>
        <w:rPr>
          <w:rFonts w:ascii="Times New Roman" w:hAnsi="Times New Roman"/>
          <w:color w:val="171717" w:themeColor="background2" w:themeShade="1A"/>
          <w:sz w:val="24"/>
          <w:szCs w:val="24"/>
        </w:rPr>
      </w:pPr>
      <w:r w:rsidRPr="00236B69">
        <w:rPr>
          <w:rFonts w:ascii="Times New Roman" w:hAnsi="Times New Roman"/>
          <w:color w:val="171717" w:themeColor="background2" w:themeShade="1A"/>
          <w:sz w:val="24"/>
          <w:szCs w:val="24"/>
        </w:rPr>
        <w:t>Transparence des opérations des prêts et garanties accordés par les EPE</w:t>
      </w:r>
      <w:r w:rsidR="00524E02">
        <w:rPr>
          <w:rFonts w:ascii="Times New Roman" w:hAnsi="Times New Roman"/>
          <w:color w:val="171717" w:themeColor="background2" w:themeShade="1A"/>
          <w:sz w:val="24"/>
          <w:szCs w:val="24"/>
        </w:rPr>
        <w:t xml:space="preserve"> et la publication de leurs états financiers</w:t>
      </w:r>
      <w:r w:rsidR="00D337BE">
        <w:rPr>
          <w:rFonts w:ascii="Times New Roman" w:hAnsi="Times New Roman"/>
          <w:color w:val="171717" w:themeColor="background2" w:themeShade="1A"/>
          <w:sz w:val="24"/>
          <w:szCs w:val="24"/>
        </w:rPr>
        <w:t> ;</w:t>
      </w:r>
    </w:p>
    <w:p w14:paraId="72BC4350" w14:textId="546719EE" w:rsidR="00236B69" w:rsidRDefault="00524E02" w:rsidP="0031567B">
      <w:pPr>
        <w:pStyle w:val="Paragraphedeliste"/>
        <w:numPr>
          <w:ilvl w:val="1"/>
          <w:numId w:val="36"/>
        </w:numPr>
        <w:ind w:left="709"/>
        <w:jc w:val="both"/>
        <w:rPr>
          <w:rFonts w:ascii="Times New Roman" w:hAnsi="Times New Roman"/>
          <w:color w:val="171717" w:themeColor="background2" w:themeShade="1A"/>
          <w:sz w:val="24"/>
          <w:szCs w:val="24"/>
        </w:rPr>
      </w:pPr>
      <w:r>
        <w:rPr>
          <w:rFonts w:ascii="Times New Roman" w:hAnsi="Times New Roman"/>
          <w:color w:val="171717" w:themeColor="background2" w:themeShade="1A"/>
          <w:sz w:val="24"/>
          <w:szCs w:val="24"/>
        </w:rPr>
        <w:t>Respect du décret portant obligation de publication des contrats relatifs aux ressources naturelles</w:t>
      </w:r>
      <w:r w:rsidR="00D337BE">
        <w:rPr>
          <w:rFonts w:ascii="Times New Roman" w:hAnsi="Times New Roman"/>
          <w:color w:val="171717" w:themeColor="background2" w:themeShade="1A"/>
          <w:sz w:val="24"/>
          <w:szCs w:val="24"/>
        </w:rPr>
        <w:t> ;</w:t>
      </w:r>
      <w:r>
        <w:rPr>
          <w:rFonts w:ascii="Times New Roman" w:hAnsi="Times New Roman"/>
          <w:color w:val="171717" w:themeColor="background2" w:themeShade="1A"/>
          <w:sz w:val="24"/>
          <w:szCs w:val="24"/>
        </w:rPr>
        <w:t xml:space="preserve"> </w:t>
      </w:r>
    </w:p>
    <w:p w14:paraId="1C64FCDA" w14:textId="652FCAF7" w:rsidR="00AB6D08" w:rsidRDefault="00D337BE" w:rsidP="0031567B">
      <w:pPr>
        <w:pStyle w:val="Paragraphedeliste"/>
        <w:numPr>
          <w:ilvl w:val="1"/>
          <w:numId w:val="36"/>
        </w:numPr>
        <w:ind w:left="709"/>
        <w:jc w:val="both"/>
        <w:rPr>
          <w:rFonts w:ascii="Times New Roman" w:hAnsi="Times New Roman"/>
          <w:color w:val="171717" w:themeColor="background2" w:themeShade="1A"/>
          <w:sz w:val="24"/>
          <w:szCs w:val="24"/>
        </w:rPr>
      </w:pPr>
      <w:r>
        <w:rPr>
          <w:rFonts w:ascii="Times New Roman" w:hAnsi="Times New Roman"/>
          <w:color w:val="171717" w:themeColor="background2" w:themeShade="1A"/>
          <w:sz w:val="24"/>
          <w:szCs w:val="24"/>
        </w:rPr>
        <w:t>Amélioration de la gestion et de l’organisation des registres minier et pétrolier </w:t>
      </w:r>
      <w:r w:rsidR="00AC6E67">
        <w:rPr>
          <w:rFonts w:ascii="Times New Roman" w:hAnsi="Times New Roman"/>
          <w:color w:val="171717" w:themeColor="background2" w:themeShade="1A"/>
          <w:sz w:val="24"/>
          <w:szCs w:val="24"/>
        </w:rPr>
        <w:t>(englobe deux recommandations)</w:t>
      </w:r>
      <w:r>
        <w:rPr>
          <w:rFonts w:ascii="Times New Roman" w:hAnsi="Times New Roman"/>
          <w:color w:val="171717" w:themeColor="background2" w:themeShade="1A"/>
          <w:sz w:val="24"/>
          <w:szCs w:val="24"/>
        </w:rPr>
        <w:t>;</w:t>
      </w:r>
    </w:p>
    <w:p w14:paraId="5963C998" w14:textId="6E33FBFD" w:rsidR="00D337BE" w:rsidRDefault="00D337BE" w:rsidP="0031567B">
      <w:pPr>
        <w:pStyle w:val="Paragraphedeliste"/>
        <w:numPr>
          <w:ilvl w:val="1"/>
          <w:numId w:val="36"/>
        </w:numPr>
        <w:ind w:left="709"/>
        <w:jc w:val="both"/>
        <w:rPr>
          <w:rFonts w:ascii="Times New Roman" w:hAnsi="Times New Roman"/>
          <w:color w:val="171717" w:themeColor="background2" w:themeShade="1A"/>
          <w:sz w:val="24"/>
          <w:szCs w:val="24"/>
        </w:rPr>
      </w:pPr>
      <w:r>
        <w:rPr>
          <w:rFonts w:ascii="Times New Roman" w:hAnsi="Times New Roman"/>
          <w:color w:val="171717" w:themeColor="background2" w:themeShade="1A"/>
          <w:sz w:val="24"/>
          <w:szCs w:val="24"/>
        </w:rPr>
        <w:t>Mise en place du mécanisme de suivi et de traçabilité des dépenses sociales ;</w:t>
      </w:r>
    </w:p>
    <w:p w14:paraId="5B570DF2" w14:textId="4CF9447A" w:rsidR="00D337BE" w:rsidRDefault="00D337BE" w:rsidP="0031567B">
      <w:pPr>
        <w:pStyle w:val="Paragraphedeliste"/>
        <w:numPr>
          <w:ilvl w:val="1"/>
          <w:numId w:val="36"/>
        </w:numPr>
        <w:ind w:left="709"/>
        <w:jc w:val="both"/>
        <w:rPr>
          <w:rFonts w:ascii="Times New Roman" w:hAnsi="Times New Roman"/>
          <w:color w:val="171717" w:themeColor="background2" w:themeShade="1A"/>
          <w:sz w:val="24"/>
          <w:szCs w:val="24"/>
        </w:rPr>
      </w:pPr>
      <w:r>
        <w:rPr>
          <w:rFonts w:ascii="Times New Roman" w:hAnsi="Times New Roman"/>
          <w:color w:val="171717" w:themeColor="background2" w:themeShade="1A"/>
          <w:sz w:val="24"/>
          <w:szCs w:val="24"/>
        </w:rPr>
        <w:t>Mise en ligne du registre de permis pétrolier ;</w:t>
      </w:r>
    </w:p>
    <w:p w14:paraId="09C57901" w14:textId="63B35CA4" w:rsidR="00D337BE" w:rsidRDefault="00AC6E67" w:rsidP="0031567B">
      <w:pPr>
        <w:pStyle w:val="Paragraphedeliste"/>
        <w:numPr>
          <w:ilvl w:val="1"/>
          <w:numId w:val="36"/>
        </w:numPr>
        <w:ind w:left="709"/>
        <w:jc w:val="both"/>
        <w:rPr>
          <w:rFonts w:ascii="Times New Roman" w:hAnsi="Times New Roman"/>
          <w:color w:val="171717" w:themeColor="background2" w:themeShade="1A"/>
          <w:sz w:val="24"/>
          <w:szCs w:val="24"/>
        </w:rPr>
      </w:pPr>
      <w:r>
        <w:rPr>
          <w:rFonts w:ascii="Times New Roman" w:hAnsi="Times New Roman"/>
          <w:color w:val="171717" w:themeColor="background2" w:themeShade="1A"/>
          <w:sz w:val="24"/>
          <w:szCs w:val="24"/>
        </w:rPr>
        <w:lastRenderedPageBreak/>
        <w:t>Respect des recommandations de l’IGF par les régies financières et la BCC ;</w:t>
      </w:r>
    </w:p>
    <w:p w14:paraId="72F5FDC1" w14:textId="56EE9098" w:rsidR="00AC6E67" w:rsidRDefault="00AC6E67" w:rsidP="0031567B">
      <w:pPr>
        <w:pStyle w:val="Paragraphedeliste"/>
        <w:numPr>
          <w:ilvl w:val="1"/>
          <w:numId w:val="36"/>
        </w:numPr>
        <w:ind w:left="709"/>
        <w:jc w:val="both"/>
        <w:rPr>
          <w:rFonts w:ascii="Times New Roman" w:hAnsi="Times New Roman"/>
          <w:color w:val="171717" w:themeColor="background2" w:themeShade="1A"/>
          <w:sz w:val="24"/>
          <w:szCs w:val="24"/>
        </w:rPr>
      </w:pPr>
      <w:r>
        <w:rPr>
          <w:rFonts w:ascii="Times New Roman" w:hAnsi="Times New Roman"/>
          <w:color w:val="171717" w:themeColor="background2" w:themeShade="1A"/>
          <w:sz w:val="24"/>
          <w:szCs w:val="24"/>
        </w:rPr>
        <w:t>Respect du circuit normal de recouvrement des recettes en passant par les Régies Financières de l’Etat et non par le versement direct à la BCC.</w:t>
      </w:r>
    </w:p>
    <w:p w14:paraId="758A5512" w14:textId="192DF734" w:rsidR="00AC6E67" w:rsidRDefault="00AC6E67" w:rsidP="00AD52F6">
      <w:pPr>
        <w:pStyle w:val="Paragraphedeliste"/>
        <w:numPr>
          <w:ilvl w:val="0"/>
          <w:numId w:val="42"/>
        </w:numPr>
        <w:spacing w:line="360" w:lineRule="auto"/>
        <w:ind w:left="426"/>
        <w:jc w:val="both"/>
        <w:rPr>
          <w:rFonts w:ascii="Times New Roman" w:hAnsi="Times New Roman"/>
          <w:b/>
          <w:color w:val="1F4E79" w:themeColor="accent1" w:themeShade="80"/>
          <w:sz w:val="24"/>
          <w:szCs w:val="24"/>
          <w:u w:val="single"/>
        </w:rPr>
      </w:pPr>
      <w:r w:rsidRPr="00AC6E67">
        <w:rPr>
          <w:rFonts w:ascii="Times New Roman" w:hAnsi="Times New Roman"/>
          <w:b/>
          <w:color w:val="1F4E79" w:themeColor="accent1" w:themeShade="80"/>
          <w:sz w:val="24"/>
          <w:szCs w:val="24"/>
          <w:u w:val="single"/>
        </w:rPr>
        <w:t>Recommandation non applicable</w:t>
      </w:r>
    </w:p>
    <w:p w14:paraId="0F36551B" w14:textId="1198F91D" w:rsidR="00AC6E67" w:rsidRPr="00AD52F6" w:rsidRDefault="00AC6E67" w:rsidP="00AC6E67">
      <w:pPr>
        <w:pStyle w:val="Paragraphedeliste"/>
        <w:ind w:left="426"/>
        <w:jc w:val="both"/>
        <w:rPr>
          <w:rFonts w:ascii="Times New Roman" w:eastAsia="Calibri" w:hAnsi="Times New Roman" w:cs="Times New Roman"/>
          <w:sz w:val="24"/>
          <w:szCs w:val="24"/>
        </w:rPr>
      </w:pPr>
      <w:r w:rsidRPr="00AD52F6">
        <w:rPr>
          <w:rFonts w:ascii="Times New Roman" w:hAnsi="Times New Roman"/>
          <w:color w:val="171717" w:themeColor="background2" w:themeShade="1A"/>
          <w:sz w:val="24"/>
          <w:szCs w:val="24"/>
        </w:rPr>
        <w:t>Création d’une base</w:t>
      </w:r>
      <w:r w:rsidR="00AD52F6">
        <w:rPr>
          <w:rFonts w:ascii="Times New Roman" w:hAnsi="Times New Roman"/>
          <w:color w:val="171717" w:themeColor="background2" w:themeShade="1A"/>
          <w:sz w:val="24"/>
          <w:szCs w:val="24"/>
        </w:rPr>
        <w:t xml:space="preserve"> </w:t>
      </w:r>
      <w:r w:rsidRPr="00AD52F6">
        <w:rPr>
          <w:rFonts w:ascii="Times New Roman" w:hAnsi="Times New Roman"/>
          <w:color w:val="171717" w:themeColor="background2" w:themeShade="1A"/>
          <w:sz w:val="24"/>
          <w:szCs w:val="24"/>
        </w:rPr>
        <w:t xml:space="preserve">des données </w:t>
      </w:r>
      <w:r w:rsidR="00AD52F6">
        <w:rPr>
          <w:rFonts w:ascii="Times New Roman" w:hAnsi="Times New Roman"/>
          <w:color w:val="171717" w:themeColor="background2" w:themeShade="1A"/>
          <w:sz w:val="24"/>
          <w:szCs w:val="24"/>
        </w:rPr>
        <w:t>unique</w:t>
      </w:r>
      <w:r w:rsidR="00AD52F6" w:rsidRPr="00AD52F6">
        <w:rPr>
          <w:rFonts w:ascii="Times New Roman" w:hAnsi="Times New Roman"/>
          <w:color w:val="171717" w:themeColor="background2" w:themeShade="1A"/>
          <w:sz w:val="24"/>
          <w:szCs w:val="24"/>
        </w:rPr>
        <w:t xml:space="preserve"> </w:t>
      </w:r>
      <w:r w:rsidRPr="00AD52F6">
        <w:rPr>
          <w:rFonts w:ascii="Times New Roman" w:hAnsi="Times New Roman"/>
          <w:color w:val="171717" w:themeColor="background2" w:themeShade="1A"/>
          <w:sz w:val="24"/>
          <w:szCs w:val="24"/>
        </w:rPr>
        <w:t>des informations</w:t>
      </w:r>
      <w:r w:rsidR="00AD52F6" w:rsidRPr="00AD52F6">
        <w:rPr>
          <w:rFonts w:ascii="Times New Roman" w:eastAsia="Calibri" w:hAnsi="Times New Roman" w:cs="Times New Roman"/>
          <w:color w:val="171717" w:themeColor="background2" w:themeShade="1A"/>
          <w:sz w:val="24"/>
          <w:szCs w:val="24"/>
        </w:rPr>
        <w:t xml:space="preserve"> du secteur extractif</w:t>
      </w:r>
      <w:r w:rsidR="00AD52F6">
        <w:rPr>
          <w:rFonts w:ascii="Times New Roman" w:eastAsia="Calibri" w:hAnsi="Times New Roman" w:cs="Times New Roman"/>
          <w:color w:val="171717" w:themeColor="background2" w:themeShade="1A"/>
          <w:sz w:val="24"/>
          <w:szCs w:val="24"/>
        </w:rPr>
        <w:t>.</w:t>
      </w:r>
      <w:r w:rsidRPr="00AD52F6">
        <w:rPr>
          <w:rFonts w:ascii="Times New Roman" w:eastAsia="Calibri" w:hAnsi="Times New Roman" w:cs="Times New Roman"/>
          <w:sz w:val="24"/>
          <w:szCs w:val="24"/>
        </w:rPr>
        <w:t xml:space="preserve"> </w:t>
      </w:r>
    </w:p>
    <w:p w14:paraId="3CACA2A8" w14:textId="77777777" w:rsidR="00F000B0" w:rsidRDefault="00F000B0" w:rsidP="00F000B0">
      <w:pPr>
        <w:ind w:left="142"/>
        <w:jc w:val="both"/>
        <w:rPr>
          <w:rFonts w:ascii="Times New Roman" w:hAnsi="Times New Roman"/>
          <w:sz w:val="24"/>
          <w:szCs w:val="24"/>
        </w:rPr>
      </w:pPr>
      <w:r w:rsidRPr="00F774F1">
        <w:rPr>
          <w:rFonts w:ascii="Times New Roman" w:hAnsi="Times New Roman"/>
          <w:sz w:val="24"/>
          <w:szCs w:val="24"/>
        </w:rPr>
        <w:t>Le document d’évaluation issu de cet atelier peut être consulté sur le site de l’ITIE-RDC</w:t>
      </w:r>
      <w:r>
        <w:rPr>
          <w:rStyle w:val="Appelnotedebasdep"/>
          <w:rFonts w:ascii="Times New Roman" w:hAnsi="Times New Roman"/>
          <w:sz w:val="24"/>
          <w:szCs w:val="24"/>
        </w:rPr>
        <w:footnoteReference w:id="36"/>
      </w:r>
      <w:r w:rsidRPr="00F774F1">
        <w:rPr>
          <w:rFonts w:ascii="Times New Roman" w:hAnsi="Times New Roman"/>
          <w:sz w:val="24"/>
          <w:szCs w:val="24"/>
        </w:rPr>
        <w:t>.</w:t>
      </w:r>
      <w:r>
        <w:rPr>
          <w:rFonts w:ascii="Times New Roman" w:hAnsi="Times New Roman"/>
          <w:sz w:val="24"/>
          <w:szCs w:val="24"/>
        </w:rPr>
        <w:t xml:space="preserve"> </w:t>
      </w:r>
    </w:p>
    <w:p w14:paraId="64F198B5" w14:textId="0239C243" w:rsidR="00E4464E" w:rsidRDefault="00F000B0" w:rsidP="004C1B83">
      <w:pPr>
        <w:ind w:left="142"/>
        <w:jc w:val="both"/>
        <w:rPr>
          <w:rFonts w:ascii="Times New Roman" w:hAnsi="Times New Roman"/>
          <w:sz w:val="24"/>
          <w:szCs w:val="24"/>
        </w:rPr>
      </w:pPr>
      <w:r>
        <w:rPr>
          <w:rFonts w:ascii="Times New Roman" w:hAnsi="Times New Roman"/>
          <w:sz w:val="24"/>
          <w:szCs w:val="24"/>
        </w:rPr>
        <w:t>Par ailleurs, i</w:t>
      </w:r>
      <w:r w:rsidRPr="00B7223E">
        <w:rPr>
          <w:rFonts w:ascii="Times New Roman" w:hAnsi="Times New Roman"/>
          <w:sz w:val="24"/>
          <w:szCs w:val="24"/>
        </w:rPr>
        <w:t xml:space="preserve">l </w:t>
      </w:r>
      <w:r>
        <w:rPr>
          <w:rFonts w:ascii="Times New Roman" w:hAnsi="Times New Roman"/>
          <w:sz w:val="24"/>
          <w:szCs w:val="24"/>
        </w:rPr>
        <w:t>sied de faire remarquer</w:t>
      </w:r>
      <w:r w:rsidRPr="00B7223E">
        <w:rPr>
          <w:rFonts w:ascii="Times New Roman" w:hAnsi="Times New Roman"/>
          <w:sz w:val="24"/>
          <w:szCs w:val="24"/>
        </w:rPr>
        <w:t xml:space="preserve"> que la majeure partie des recommandations portent sur des questions qui impactent directement l</w:t>
      </w:r>
      <w:r>
        <w:rPr>
          <w:rFonts w:ascii="Times New Roman" w:hAnsi="Times New Roman"/>
          <w:sz w:val="24"/>
          <w:szCs w:val="24"/>
        </w:rPr>
        <w:t xml:space="preserve">a gestion du secteur extractif que sur celles relatives </w:t>
      </w:r>
      <w:r w:rsidRPr="00B7223E">
        <w:rPr>
          <w:rFonts w:ascii="Times New Roman" w:hAnsi="Times New Roman"/>
          <w:sz w:val="24"/>
          <w:szCs w:val="24"/>
        </w:rPr>
        <w:t>à  l’amélioration des aspects techniques du processus de déclaration ITIE.</w:t>
      </w:r>
    </w:p>
    <w:p w14:paraId="0C706D37" w14:textId="77777777" w:rsidR="004735E0" w:rsidRDefault="004735E0" w:rsidP="004C1B83">
      <w:pPr>
        <w:ind w:left="142"/>
        <w:jc w:val="both"/>
        <w:rPr>
          <w:rFonts w:ascii="Times New Roman" w:hAnsi="Times New Roman"/>
          <w:sz w:val="24"/>
          <w:szCs w:val="24"/>
        </w:rPr>
      </w:pPr>
    </w:p>
    <w:p w14:paraId="501A9A6A" w14:textId="77777777" w:rsidR="004735E0" w:rsidRDefault="004735E0" w:rsidP="004C1B83">
      <w:pPr>
        <w:ind w:left="142"/>
        <w:jc w:val="both"/>
        <w:rPr>
          <w:rFonts w:ascii="Times New Roman" w:hAnsi="Times New Roman"/>
          <w:sz w:val="24"/>
          <w:szCs w:val="24"/>
        </w:rPr>
      </w:pPr>
    </w:p>
    <w:p w14:paraId="27A2C0A2" w14:textId="77777777" w:rsidR="004735E0" w:rsidRDefault="004735E0" w:rsidP="004C1B83">
      <w:pPr>
        <w:ind w:left="142"/>
        <w:jc w:val="both"/>
        <w:rPr>
          <w:rFonts w:ascii="Times New Roman" w:hAnsi="Times New Roman"/>
          <w:sz w:val="24"/>
          <w:szCs w:val="24"/>
        </w:rPr>
      </w:pPr>
    </w:p>
    <w:p w14:paraId="29C4BE73" w14:textId="77777777" w:rsidR="004735E0" w:rsidRDefault="004735E0" w:rsidP="004C1B83">
      <w:pPr>
        <w:ind w:left="142"/>
        <w:jc w:val="both"/>
        <w:rPr>
          <w:rFonts w:ascii="Times New Roman" w:hAnsi="Times New Roman"/>
          <w:sz w:val="24"/>
          <w:szCs w:val="24"/>
        </w:rPr>
      </w:pPr>
    </w:p>
    <w:p w14:paraId="7BCB1312" w14:textId="77777777" w:rsidR="004735E0" w:rsidRDefault="004735E0" w:rsidP="004C1B83">
      <w:pPr>
        <w:ind w:left="142"/>
        <w:jc w:val="both"/>
        <w:rPr>
          <w:rFonts w:ascii="Times New Roman" w:hAnsi="Times New Roman"/>
          <w:sz w:val="24"/>
          <w:szCs w:val="24"/>
        </w:rPr>
      </w:pPr>
    </w:p>
    <w:p w14:paraId="38A79CD0" w14:textId="77777777" w:rsidR="004735E0" w:rsidRDefault="004735E0" w:rsidP="004C1B83">
      <w:pPr>
        <w:ind w:left="142"/>
        <w:jc w:val="both"/>
        <w:rPr>
          <w:rFonts w:ascii="Times New Roman" w:hAnsi="Times New Roman"/>
          <w:sz w:val="24"/>
          <w:szCs w:val="24"/>
        </w:rPr>
      </w:pPr>
    </w:p>
    <w:p w14:paraId="1137BA65" w14:textId="77777777" w:rsidR="004735E0" w:rsidRDefault="004735E0" w:rsidP="004C1B83">
      <w:pPr>
        <w:ind w:left="142"/>
        <w:jc w:val="both"/>
        <w:rPr>
          <w:rFonts w:ascii="Times New Roman" w:hAnsi="Times New Roman"/>
          <w:sz w:val="24"/>
          <w:szCs w:val="24"/>
        </w:rPr>
      </w:pPr>
    </w:p>
    <w:p w14:paraId="21F67E93" w14:textId="77777777" w:rsidR="004735E0" w:rsidRDefault="004735E0" w:rsidP="004C1B83">
      <w:pPr>
        <w:ind w:left="142"/>
        <w:jc w:val="both"/>
        <w:rPr>
          <w:rFonts w:ascii="Times New Roman" w:hAnsi="Times New Roman"/>
          <w:sz w:val="24"/>
          <w:szCs w:val="24"/>
        </w:rPr>
      </w:pPr>
    </w:p>
    <w:p w14:paraId="086284A1" w14:textId="77777777" w:rsidR="004735E0" w:rsidRDefault="004735E0" w:rsidP="004C1B83">
      <w:pPr>
        <w:ind w:left="142"/>
        <w:jc w:val="both"/>
        <w:rPr>
          <w:rFonts w:ascii="Times New Roman" w:hAnsi="Times New Roman"/>
          <w:sz w:val="24"/>
          <w:szCs w:val="24"/>
        </w:rPr>
      </w:pPr>
    </w:p>
    <w:p w14:paraId="4686C2F2" w14:textId="77777777" w:rsidR="004735E0" w:rsidRDefault="004735E0" w:rsidP="004C1B83">
      <w:pPr>
        <w:ind w:left="142"/>
        <w:jc w:val="both"/>
        <w:rPr>
          <w:rFonts w:ascii="Times New Roman" w:hAnsi="Times New Roman"/>
          <w:sz w:val="24"/>
          <w:szCs w:val="24"/>
        </w:rPr>
      </w:pPr>
    </w:p>
    <w:p w14:paraId="3AF18911" w14:textId="77777777" w:rsidR="004735E0" w:rsidRDefault="004735E0" w:rsidP="004C1B83">
      <w:pPr>
        <w:ind w:left="142"/>
        <w:jc w:val="both"/>
        <w:rPr>
          <w:rFonts w:ascii="Times New Roman" w:hAnsi="Times New Roman"/>
          <w:sz w:val="24"/>
          <w:szCs w:val="24"/>
        </w:rPr>
      </w:pPr>
    </w:p>
    <w:p w14:paraId="5F243222" w14:textId="77777777" w:rsidR="004735E0" w:rsidRDefault="004735E0" w:rsidP="004C1B83">
      <w:pPr>
        <w:ind w:left="142"/>
        <w:jc w:val="both"/>
        <w:rPr>
          <w:rFonts w:ascii="Times New Roman" w:hAnsi="Times New Roman"/>
          <w:sz w:val="24"/>
          <w:szCs w:val="24"/>
        </w:rPr>
      </w:pPr>
    </w:p>
    <w:p w14:paraId="0AA41DD8" w14:textId="77777777" w:rsidR="004735E0" w:rsidRDefault="004735E0" w:rsidP="004C1B83">
      <w:pPr>
        <w:ind w:left="142"/>
        <w:jc w:val="both"/>
        <w:rPr>
          <w:rFonts w:ascii="Times New Roman" w:hAnsi="Times New Roman"/>
          <w:sz w:val="24"/>
          <w:szCs w:val="24"/>
        </w:rPr>
      </w:pPr>
    </w:p>
    <w:p w14:paraId="551992A0" w14:textId="77777777" w:rsidR="004735E0" w:rsidRDefault="004735E0" w:rsidP="004C1B83">
      <w:pPr>
        <w:ind w:left="142"/>
        <w:jc w:val="both"/>
        <w:rPr>
          <w:rFonts w:ascii="Times New Roman" w:hAnsi="Times New Roman"/>
          <w:sz w:val="24"/>
          <w:szCs w:val="24"/>
        </w:rPr>
      </w:pPr>
    </w:p>
    <w:p w14:paraId="511AF5F1" w14:textId="77777777" w:rsidR="004735E0" w:rsidRDefault="004735E0" w:rsidP="004C1B83">
      <w:pPr>
        <w:ind w:left="142"/>
        <w:jc w:val="both"/>
        <w:rPr>
          <w:rFonts w:ascii="Times New Roman" w:hAnsi="Times New Roman"/>
          <w:sz w:val="24"/>
          <w:szCs w:val="24"/>
        </w:rPr>
      </w:pPr>
    </w:p>
    <w:p w14:paraId="1259F505" w14:textId="77777777" w:rsidR="004735E0" w:rsidRDefault="004735E0" w:rsidP="004C1B83">
      <w:pPr>
        <w:ind w:left="142"/>
        <w:jc w:val="both"/>
        <w:rPr>
          <w:rFonts w:ascii="Times New Roman" w:hAnsi="Times New Roman"/>
          <w:sz w:val="24"/>
          <w:szCs w:val="24"/>
        </w:rPr>
      </w:pPr>
    </w:p>
    <w:p w14:paraId="20198BD2" w14:textId="77777777" w:rsidR="004735E0" w:rsidRDefault="004735E0" w:rsidP="004C1B83">
      <w:pPr>
        <w:ind w:left="142"/>
        <w:jc w:val="both"/>
        <w:rPr>
          <w:rFonts w:ascii="Times New Roman" w:hAnsi="Times New Roman"/>
          <w:sz w:val="24"/>
          <w:szCs w:val="24"/>
        </w:rPr>
      </w:pPr>
    </w:p>
    <w:p w14:paraId="0F15CA50" w14:textId="77777777" w:rsidR="004735E0" w:rsidRDefault="004735E0" w:rsidP="004C1B83">
      <w:pPr>
        <w:ind w:left="142"/>
        <w:jc w:val="both"/>
        <w:rPr>
          <w:rFonts w:ascii="Times New Roman" w:hAnsi="Times New Roman"/>
          <w:sz w:val="24"/>
          <w:szCs w:val="24"/>
        </w:rPr>
      </w:pPr>
    </w:p>
    <w:p w14:paraId="51FF1C6E" w14:textId="77777777" w:rsidR="004735E0" w:rsidRDefault="004735E0" w:rsidP="004C1B83">
      <w:pPr>
        <w:ind w:left="142"/>
        <w:jc w:val="both"/>
        <w:rPr>
          <w:rFonts w:ascii="Times New Roman" w:hAnsi="Times New Roman"/>
          <w:sz w:val="24"/>
          <w:szCs w:val="24"/>
        </w:rPr>
      </w:pPr>
    </w:p>
    <w:p w14:paraId="42F278BC" w14:textId="77777777" w:rsidR="004735E0" w:rsidRDefault="004735E0" w:rsidP="004C1B83">
      <w:pPr>
        <w:ind w:left="142"/>
        <w:jc w:val="both"/>
        <w:rPr>
          <w:rFonts w:ascii="Times New Roman" w:hAnsi="Times New Roman"/>
          <w:sz w:val="24"/>
          <w:szCs w:val="24"/>
        </w:rPr>
      </w:pPr>
    </w:p>
    <w:p w14:paraId="6B0E96CA" w14:textId="74B5E940" w:rsidR="004735E0" w:rsidRDefault="008A7C18" w:rsidP="004C1B83">
      <w:pPr>
        <w:ind w:left="142"/>
        <w:jc w:val="both"/>
      </w:pPr>
      <w:r>
        <w:lastRenderedPageBreak/>
        <w:t xml:space="preserve">                                                                                                                                                                                                                                    </w:t>
      </w:r>
    </w:p>
    <w:p w14:paraId="6092073F" w14:textId="77777777" w:rsidR="008A7C18" w:rsidRDefault="008A7C18" w:rsidP="004C1B83">
      <w:pPr>
        <w:ind w:left="142"/>
        <w:jc w:val="both"/>
      </w:pPr>
    </w:p>
    <w:p w14:paraId="1CB10B01" w14:textId="77777777" w:rsidR="008A7C18" w:rsidRDefault="008A7C18" w:rsidP="004C1B83">
      <w:pPr>
        <w:ind w:left="142"/>
        <w:jc w:val="both"/>
      </w:pPr>
    </w:p>
    <w:p w14:paraId="4EFFD7CA" w14:textId="77777777" w:rsidR="008A7C18" w:rsidRDefault="008A7C18" w:rsidP="004C1B83">
      <w:pPr>
        <w:ind w:left="142"/>
        <w:jc w:val="both"/>
      </w:pPr>
    </w:p>
    <w:p w14:paraId="48064396" w14:textId="72966DB5" w:rsidR="008A7C18" w:rsidRDefault="008A7C18" w:rsidP="004C1B83">
      <w:pPr>
        <w:ind w:left="142"/>
        <w:jc w:val="both"/>
      </w:pPr>
    </w:p>
    <w:p w14:paraId="335BBE37" w14:textId="7CBBE9FE" w:rsidR="008A7C18" w:rsidRDefault="008A7C18" w:rsidP="004C1B83">
      <w:pPr>
        <w:ind w:left="142"/>
        <w:jc w:val="both"/>
      </w:pPr>
    </w:p>
    <w:p w14:paraId="619D0CF5" w14:textId="0718AC84" w:rsidR="008A7C18" w:rsidRDefault="008A7C18" w:rsidP="004C1B83">
      <w:pPr>
        <w:ind w:left="142"/>
        <w:jc w:val="both"/>
      </w:pPr>
    </w:p>
    <w:p w14:paraId="6107100F" w14:textId="45A75017" w:rsidR="008A7C18" w:rsidRDefault="008A7C18" w:rsidP="004C1B83">
      <w:pPr>
        <w:ind w:left="142"/>
        <w:jc w:val="both"/>
      </w:pPr>
    </w:p>
    <w:p w14:paraId="66FFEF5B" w14:textId="3EB8554D" w:rsidR="008A7C18" w:rsidRDefault="008A7C18" w:rsidP="004C1B83">
      <w:pPr>
        <w:ind w:left="142"/>
        <w:jc w:val="both"/>
      </w:pPr>
      <w:r>
        <w:rPr>
          <w:noProof/>
        </w:rPr>
        <mc:AlternateContent>
          <mc:Choice Requires="wps">
            <w:drawing>
              <wp:anchor distT="0" distB="0" distL="114300" distR="114300" simplePos="0" relativeHeight="251686912" behindDoc="0" locked="0" layoutInCell="1" allowOverlap="1" wp14:anchorId="77B2324B" wp14:editId="0D6FB6F8">
                <wp:simplePos x="0" y="0"/>
                <wp:positionH relativeFrom="page">
                  <wp:align>center</wp:align>
                </wp:positionH>
                <wp:positionV relativeFrom="paragraph">
                  <wp:posOffset>265430</wp:posOffset>
                </wp:positionV>
                <wp:extent cx="3714750" cy="1828800"/>
                <wp:effectExtent l="0" t="0" r="0" b="0"/>
                <wp:wrapNone/>
                <wp:docPr id="27" name="Zone de texte 27"/>
                <wp:cNvGraphicFramePr/>
                <a:graphic xmlns:a="http://schemas.openxmlformats.org/drawingml/2006/main">
                  <a:graphicData uri="http://schemas.microsoft.com/office/word/2010/wordprocessingShape">
                    <wps:wsp>
                      <wps:cNvSpPr txBox="1"/>
                      <wps:spPr>
                        <a:xfrm>
                          <a:off x="0" y="0"/>
                          <a:ext cx="3714750" cy="1828800"/>
                        </a:xfrm>
                        <a:prstGeom prst="rect">
                          <a:avLst/>
                        </a:prstGeom>
                        <a:noFill/>
                        <a:ln>
                          <a:noFill/>
                        </a:ln>
                        <a:effectLst/>
                      </wps:spPr>
                      <wps:txbx>
                        <w:txbxContent>
                          <w:p w14:paraId="5DEFD4EF" w14:textId="0B3ABD4A" w:rsidR="00E357DF" w:rsidRPr="00DB6AFC" w:rsidRDefault="00E357DF" w:rsidP="00E357DF">
                            <w:pPr>
                              <w:ind w:left="142"/>
                              <w:jc w:val="center"/>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pPr>
                            <w:r w:rsidRP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A</w:t>
                            </w:r>
                            <w:r w:rsid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 xml:space="preserve"> </w:t>
                            </w:r>
                            <w:r w:rsidRP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n</w:t>
                            </w:r>
                            <w:r w:rsid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 xml:space="preserve"> </w:t>
                            </w:r>
                            <w:proofErr w:type="spellStart"/>
                            <w:r w:rsidRP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n</w:t>
                            </w:r>
                            <w:proofErr w:type="spellEnd"/>
                            <w:r w:rsid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 xml:space="preserve"> </w:t>
                            </w:r>
                            <w:r w:rsidRP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e</w:t>
                            </w:r>
                            <w:r w:rsid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 xml:space="preserve"> </w:t>
                            </w:r>
                            <w:r w:rsidRP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x</w:t>
                            </w:r>
                            <w:r w:rsid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 xml:space="preserve"> </w:t>
                            </w:r>
                            <w:r w:rsidRP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e</w:t>
                            </w:r>
                            <w:r w:rsid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 xml:space="preserve"> </w:t>
                            </w:r>
                            <w:r w:rsidRP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7B2324B" id="Zone de texte 27" o:spid="_x0000_s1042" type="#_x0000_t202" style="position:absolute;left:0;text-align:left;margin-left:0;margin-top:20.9pt;width:292.5pt;height:2in;z-index:251686912;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" filled="f" stroked="f">
                <v:fill o:detectmouseclick="t"/>
                <v:textbox style="mso-fit-shape-to-text:t">
                  <w:txbxContent>
                    <w:p w14:paraId="5DEFD4EF" w14:textId="0B3ABD4A" w:rsidR="00E357DF" w:rsidRPr="00DB6AFC" w:rsidRDefault="00E357DF" w:rsidP="00E357DF">
                      <w:pPr>
                        <w:ind w:left="142"/>
                        <w:jc w:val="center"/>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pPr>
                      <w:r w:rsidRP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A</w:t>
                      </w:r>
                      <w:r w:rsid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 xml:space="preserve"> </w:t>
                      </w:r>
                      <w:r w:rsidRP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n</w:t>
                      </w:r>
                      <w:r w:rsid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 xml:space="preserve"> </w:t>
                      </w:r>
                      <w:proofErr w:type="spellStart"/>
                      <w:r w:rsidRP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n</w:t>
                      </w:r>
                      <w:proofErr w:type="spellEnd"/>
                      <w:r w:rsid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 xml:space="preserve"> </w:t>
                      </w:r>
                      <w:r w:rsidRP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e</w:t>
                      </w:r>
                      <w:r w:rsid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 xml:space="preserve"> </w:t>
                      </w:r>
                      <w:r w:rsidRP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x</w:t>
                      </w:r>
                      <w:r w:rsid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 xml:space="preserve"> </w:t>
                      </w:r>
                      <w:r w:rsidRP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e</w:t>
                      </w:r>
                      <w:r w:rsid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 xml:space="preserve"> </w:t>
                      </w:r>
                      <w:r w:rsidRP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s</w:t>
                      </w:r>
                    </w:p>
                  </w:txbxContent>
                </v:textbox>
                <w10:wrap anchorx="page"/>
              </v:shape>
            </w:pict>
          </mc:Fallback>
        </mc:AlternateContent>
      </w:r>
    </w:p>
    <w:p w14:paraId="038E6315" w14:textId="77777777" w:rsidR="008A7C18" w:rsidRDefault="008A7C18" w:rsidP="004C1B83">
      <w:pPr>
        <w:ind w:left="142"/>
        <w:jc w:val="both"/>
      </w:pPr>
    </w:p>
    <w:p w14:paraId="087BDB1F" w14:textId="77777777" w:rsidR="008A7C18" w:rsidRDefault="008A7C18" w:rsidP="004C1B83">
      <w:pPr>
        <w:ind w:left="142"/>
        <w:jc w:val="both"/>
      </w:pPr>
    </w:p>
    <w:p w14:paraId="1291FA79" w14:textId="77777777" w:rsidR="008A7C18" w:rsidRDefault="008A7C18" w:rsidP="004C1B83">
      <w:pPr>
        <w:ind w:left="142"/>
        <w:jc w:val="both"/>
      </w:pPr>
    </w:p>
    <w:p w14:paraId="0542AF01" w14:textId="77777777" w:rsidR="008A7C18" w:rsidRDefault="008A7C18" w:rsidP="004C1B83">
      <w:pPr>
        <w:ind w:left="142"/>
        <w:jc w:val="both"/>
      </w:pPr>
    </w:p>
    <w:p w14:paraId="6A4071EF" w14:textId="77777777" w:rsidR="008A7C18" w:rsidRDefault="008A7C18" w:rsidP="004C1B83">
      <w:pPr>
        <w:ind w:left="142"/>
        <w:jc w:val="both"/>
      </w:pPr>
    </w:p>
    <w:p w14:paraId="455FBCFC" w14:textId="67626E9F" w:rsidR="008A7C18" w:rsidRDefault="00242169" w:rsidP="00242169">
      <w:pPr>
        <w:ind w:left="142" w:firstLine="2126"/>
        <w:jc w:val="both"/>
        <w:rPr>
          <w:rFonts w:ascii="Times New Roman" w:hAnsi="Times New Roman"/>
        </w:rPr>
      </w:pPr>
      <w:r w:rsidRPr="00242169">
        <w:rPr>
          <w:rFonts w:ascii="Times New Roman" w:hAnsi="Times New Roman"/>
          <w:b/>
        </w:rPr>
        <w:t>Annexe 1</w:t>
      </w:r>
      <w:r>
        <w:rPr>
          <w:rFonts w:ascii="Times New Roman" w:hAnsi="Times New Roman"/>
          <w:b/>
        </w:rPr>
        <w:t xml:space="preserve"> : </w:t>
      </w:r>
      <w:hyperlink r:id="rId57" w:history="1">
        <w:r w:rsidRPr="00242169">
          <w:rPr>
            <w:rStyle w:val="Lienhypertexte"/>
            <w:rFonts w:ascii="Times New Roman" w:hAnsi="Times New Roman"/>
          </w:rPr>
          <w:t>RDC_ Tableau de description des flux</w:t>
        </w:r>
      </w:hyperlink>
    </w:p>
    <w:p w14:paraId="10E15F11" w14:textId="333859AD" w:rsidR="00242169" w:rsidRPr="00242169" w:rsidRDefault="00242169" w:rsidP="00242169">
      <w:pPr>
        <w:ind w:left="142" w:firstLine="2126"/>
        <w:jc w:val="both"/>
        <w:rPr>
          <w:rFonts w:ascii="Times New Roman" w:hAnsi="Times New Roman"/>
        </w:rPr>
      </w:pPr>
      <w:r>
        <w:rPr>
          <w:rFonts w:ascii="Times New Roman" w:hAnsi="Times New Roman"/>
          <w:b/>
        </w:rPr>
        <w:t xml:space="preserve">Annexe 2 : </w:t>
      </w:r>
      <w:r w:rsidRPr="00242169">
        <w:rPr>
          <w:rFonts w:ascii="Times New Roman" w:hAnsi="Times New Roman"/>
        </w:rPr>
        <w:t>Participation de l’Etat_ EPE</w:t>
      </w:r>
    </w:p>
    <w:p w14:paraId="04E1DD40" w14:textId="77777777" w:rsidR="008A7C18" w:rsidRDefault="008A7C18" w:rsidP="004C1B83">
      <w:pPr>
        <w:ind w:left="142"/>
        <w:jc w:val="both"/>
      </w:pPr>
    </w:p>
    <w:p w14:paraId="67F1A196" w14:textId="77777777" w:rsidR="008A7C18" w:rsidRDefault="008A7C18" w:rsidP="004C1B83">
      <w:pPr>
        <w:ind w:left="142"/>
        <w:jc w:val="both"/>
      </w:pPr>
      <w:bookmarkStart w:id="197" w:name="_GoBack"/>
      <w:bookmarkEnd w:id="197"/>
    </w:p>
    <w:p w14:paraId="3BD0E051" w14:textId="77777777" w:rsidR="008A7C18" w:rsidRDefault="008A7C18" w:rsidP="004C1B83">
      <w:pPr>
        <w:ind w:left="142"/>
        <w:jc w:val="both"/>
      </w:pPr>
    </w:p>
    <w:p w14:paraId="573A61AF" w14:textId="77777777" w:rsidR="008A7C18" w:rsidRDefault="008A7C18" w:rsidP="004C1B83">
      <w:pPr>
        <w:ind w:left="142"/>
        <w:jc w:val="both"/>
      </w:pPr>
    </w:p>
    <w:p w14:paraId="75C263BE" w14:textId="77777777" w:rsidR="008A7C18" w:rsidRDefault="008A7C18" w:rsidP="004C1B83">
      <w:pPr>
        <w:ind w:left="142"/>
        <w:jc w:val="both"/>
      </w:pPr>
    </w:p>
    <w:p w14:paraId="3D7962D0" w14:textId="77777777" w:rsidR="008A7C18" w:rsidRDefault="008A7C18" w:rsidP="004C1B83">
      <w:pPr>
        <w:ind w:left="142"/>
        <w:jc w:val="both"/>
      </w:pPr>
    </w:p>
    <w:p w14:paraId="74D0A9E3" w14:textId="77777777" w:rsidR="008A7C18" w:rsidRDefault="008A7C18" w:rsidP="004C1B83">
      <w:pPr>
        <w:ind w:left="142"/>
        <w:jc w:val="both"/>
      </w:pPr>
    </w:p>
    <w:p w14:paraId="041271FD" w14:textId="77777777" w:rsidR="008A7C18" w:rsidRDefault="008A7C18" w:rsidP="004C1B83">
      <w:pPr>
        <w:ind w:left="142"/>
        <w:jc w:val="both"/>
      </w:pPr>
    </w:p>
    <w:p w14:paraId="3479E98A" w14:textId="77777777" w:rsidR="008A7C18" w:rsidRDefault="008A7C18" w:rsidP="00D648E9">
      <w:pPr>
        <w:jc w:val="both"/>
      </w:pPr>
    </w:p>
    <w:sectPr w:rsidR="008A7C18" w:rsidSect="008E309D">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0F5721" w14:textId="77777777" w:rsidR="00C459DE" w:rsidRDefault="00C459DE" w:rsidP="00C579DE">
      <w:pPr>
        <w:spacing w:after="0" w:line="240" w:lineRule="auto"/>
      </w:pPr>
      <w:r>
        <w:separator/>
      </w:r>
    </w:p>
  </w:endnote>
  <w:endnote w:type="continuationSeparator" w:id="0">
    <w:p w14:paraId="769B0733" w14:textId="77777777" w:rsidR="00C459DE" w:rsidRDefault="00C459DE" w:rsidP="00C57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dobe Garamond Pro Bold">
    <w:altName w:val="Times New Roman"/>
    <w:panose1 w:val="00000000000000000000"/>
    <w:charset w:val="00"/>
    <w:family w:val="roman"/>
    <w:notTrueType/>
    <w:pitch w:val="variable"/>
    <w:sig w:usb0="00000007" w:usb1="00000001" w:usb2="00000000" w:usb3="00000000" w:csb0="00000093" w:csb1="00000000"/>
  </w:font>
  <w:font w:name="BLOHFC+Arial">
    <w:altName w:val="Arial"/>
    <w:panose1 w:val="00000000000000000000"/>
    <w:charset w:val="00"/>
    <w:family w:val="swiss"/>
    <w:notTrueType/>
    <w:pitch w:val="default"/>
    <w:sig w:usb0="00000003" w:usb1="00000000" w:usb2="00000000" w:usb3="00000000" w:csb0="00000001" w:csb1="00000000"/>
  </w:font>
  <w:font w:name="Yu Gothic UI">
    <w:panose1 w:val="020B0500000000000000"/>
    <w:charset w:val="80"/>
    <w:family w:val="swiss"/>
    <w:pitch w:val="variable"/>
    <w:sig w:usb0="E00002FF" w:usb1="2AC7FDFF" w:usb2="00000016" w:usb3="00000000" w:csb0="0002009F" w:csb1="00000000"/>
  </w:font>
  <w:font w:name="+mn-ea">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9422284"/>
      <w:docPartObj>
        <w:docPartGallery w:val="Page Numbers (Bottom of Page)"/>
        <w:docPartUnique/>
      </w:docPartObj>
    </w:sdtPr>
    <w:sdtContent>
      <w:p w14:paraId="2C868B33" w14:textId="30D1B4D7" w:rsidR="00E357DF" w:rsidRDefault="00E357DF">
        <w:pPr>
          <w:pStyle w:val="Pieddepage"/>
        </w:pPr>
        <w:r>
          <w:rPr>
            <w:rFonts w:asciiTheme="majorHAnsi" w:eastAsiaTheme="majorEastAsia" w:hAnsiTheme="majorHAnsi" w:cstheme="majorBidi"/>
            <w:noProof/>
            <w:sz w:val="28"/>
            <w:szCs w:val="28"/>
            <w:lang w:eastAsia="fr-FR"/>
          </w:rPr>
          <mc:AlternateContent>
            <mc:Choice Requires="wps">
              <w:drawing>
                <wp:anchor distT="0" distB="0" distL="114300" distR="114300" simplePos="0" relativeHeight="251661824" behindDoc="0" locked="0" layoutInCell="1" allowOverlap="1" wp14:anchorId="3D0D2A4F" wp14:editId="3D1CDDB5">
                  <wp:simplePos x="0" y="0"/>
                  <wp:positionH relativeFrom="rightMargin">
                    <wp:align>center</wp:align>
                  </wp:positionH>
                  <wp:positionV relativeFrom="bottomMargin">
                    <wp:align>center</wp:align>
                  </wp:positionV>
                  <wp:extent cx="512445" cy="441325"/>
                  <wp:effectExtent l="0" t="0" r="1905" b="0"/>
                  <wp:wrapNone/>
                  <wp:docPr id="5" name="Organigramme : Alternativ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74BFE721" w14:textId="77777777" w:rsidR="00E357DF" w:rsidRDefault="00E357DF">
                              <w:pPr>
                                <w:pStyle w:val="Pieddepage"/>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242169" w:rsidRPr="00242169">
                                <w:rPr>
                                  <w:noProof/>
                                  <w:sz w:val="28"/>
                                  <w:szCs w:val="28"/>
                                </w:rPr>
                                <w:t>87</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0D2A4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rganigramme : Alternative 5" o:spid="_x0000_s1043" type="#_x0000_t176" style="position:absolute;margin-left:0;margin-top:0;width:40.35pt;height:34.75pt;z-index:25166182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" filled="f" fillcolor="#5c83b4" stroked="f" strokecolor="#737373">
                  <v:textbox>
                    <w:txbxContent>
                      <w:p w14:paraId="74BFE721" w14:textId="77777777" w:rsidR="00E357DF" w:rsidRDefault="00E357DF">
                        <w:pPr>
                          <w:pStyle w:val="Pieddepage"/>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242169" w:rsidRPr="00242169">
                          <w:rPr>
                            <w:noProof/>
                            <w:sz w:val="28"/>
                            <w:szCs w:val="28"/>
                          </w:rPr>
                          <w:t>87</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921663" w14:textId="77777777" w:rsidR="00C459DE" w:rsidRDefault="00C459DE" w:rsidP="00C579DE">
      <w:pPr>
        <w:spacing w:after="0" w:line="240" w:lineRule="auto"/>
      </w:pPr>
      <w:r>
        <w:separator/>
      </w:r>
    </w:p>
  </w:footnote>
  <w:footnote w:type="continuationSeparator" w:id="0">
    <w:p w14:paraId="05649B28" w14:textId="77777777" w:rsidR="00C459DE" w:rsidRDefault="00C459DE" w:rsidP="00C579DE">
      <w:pPr>
        <w:spacing w:after="0" w:line="240" w:lineRule="auto"/>
      </w:pPr>
      <w:r>
        <w:continuationSeparator/>
      </w:r>
    </w:p>
  </w:footnote>
  <w:footnote w:id="1">
    <w:p w14:paraId="17724DC3" w14:textId="77777777" w:rsidR="00E357DF" w:rsidRPr="002C5CE0" w:rsidRDefault="00E357DF">
      <w:pPr>
        <w:pStyle w:val="Notedebasdepage"/>
        <w:rPr>
          <w:sz w:val="20"/>
        </w:rPr>
      </w:pPr>
      <w:r>
        <w:rPr>
          <w:rStyle w:val="Appelnotedebasdep"/>
        </w:rPr>
        <w:footnoteRef/>
      </w:r>
      <w:r>
        <w:t xml:space="preserve"> </w:t>
      </w:r>
      <w:r w:rsidRPr="002C5CE0">
        <w:rPr>
          <w:sz w:val="20"/>
        </w:rPr>
        <w:t>http://www.journalofficiel.cd/jordc/adm/uploads_jo/14fbf5f413899203486d5b618982ad12.pdf#nameddest=1</w:t>
      </w:r>
    </w:p>
  </w:footnote>
  <w:footnote w:id="2">
    <w:p w14:paraId="171DDFA0" w14:textId="77777777" w:rsidR="00E357DF" w:rsidRDefault="00E357DF" w:rsidP="00207B98">
      <w:pPr>
        <w:pStyle w:val="Notedebasdepage"/>
      </w:pPr>
      <w:r>
        <w:rPr>
          <w:rStyle w:val="Appelnotedebasdep"/>
        </w:rPr>
        <w:footnoteRef/>
      </w:r>
      <w:r>
        <w:t xml:space="preserve"> </w:t>
      </w:r>
      <w:r w:rsidRPr="00D92C56">
        <w:rPr>
          <w:sz w:val="20"/>
        </w:rPr>
        <w:t>http://www.journalofficiel.cd/jordc/adm/uploads_jo/14fbf5f413899203486d5b618982ad12.pdf#nameddest=1</w:t>
      </w:r>
    </w:p>
  </w:footnote>
  <w:footnote w:id="3">
    <w:p w14:paraId="7018AFEC" w14:textId="77777777" w:rsidR="00E357DF" w:rsidRDefault="00E357DF" w:rsidP="00207B98">
      <w:pPr>
        <w:pStyle w:val="Notedebasdepage"/>
      </w:pPr>
      <w:r>
        <w:rPr>
          <w:rStyle w:val="Appelnotedebasdep"/>
        </w:rPr>
        <w:footnoteRef/>
      </w:r>
      <w:r>
        <w:t xml:space="preserve"> </w:t>
      </w:r>
      <w:r w:rsidRPr="00D92C56">
        <w:rPr>
          <w:sz w:val="20"/>
        </w:rPr>
        <w:t>https://drive.google.com/file/d/18XmGsV90yDqCda6g3aD3rmFivPDnIMqV/view</w:t>
      </w:r>
    </w:p>
  </w:footnote>
  <w:footnote w:id="4">
    <w:p w14:paraId="7E21F6C7" w14:textId="77777777" w:rsidR="00E357DF" w:rsidRPr="00EF5E2B" w:rsidRDefault="00E357DF" w:rsidP="0027285F">
      <w:pPr>
        <w:pStyle w:val="Notedebasdepage"/>
        <w:rPr>
          <w:color w:val="0070C0"/>
          <w:lang w:val="fr-CD"/>
        </w:rPr>
      </w:pPr>
      <w:r w:rsidRPr="00EF5E2B">
        <w:rPr>
          <w:rStyle w:val="Appelnotedebasdep"/>
          <w:color w:val="0070C0"/>
        </w:rPr>
        <w:footnoteRef/>
      </w:r>
      <w:r w:rsidRPr="00EF5E2B">
        <w:rPr>
          <w:color w:val="0070C0"/>
        </w:rPr>
        <w:t xml:space="preserve"> </w:t>
      </w:r>
      <w:hyperlink r:id="rId1" w:history="1">
        <w:r w:rsidRPr="001B2204">
          <w:rPr>
            <w:rStyle w:val="Lienhypertexte"/>
            <w:sz w:val="18"/>
          </w:rPr>
          <w:t>http://www.leganet.cd/Legislation/Droit%20economique/Code%20Minier/Loi.15.012.01.08.2015.html</w:t>
        </w:r>
      </w:hyperlink>
      <w:r w:rsidRPr="001B2204">
        <w:rPr>
          <w:sz w:val="14"/>
        </w:rPr>
        <w:t xml:space="preserve"> </w:t>
      </w:r>
    </w:p>
  </w:footnote>
  <w:footnote w:id="5">
    <w:p w14:paraId="78052ED8" w14:textId="77777777" w:rsidR="00E357DF" w:rsidRDefault="00E357DF" w:rsidP="00207B98">
      <w:pPr>
        <w:pStyle w:val="Notedebasdepage"/>
      </w:pPr>
      <w:r>
        <w:rPr>
          <w:rStyle w:val="Appelnotedebasdep"/>
        </w:rPr>
        <w:footnoteRef/>
      </w:r>
      <w:r>
        <w:t xml:space="preserve"> </w:t>
      </w:r>
      <w:hyperlink r:id="rId2" w:history="1">
        <w:r w:rsidRPr="00C433D3">
          <w:rPr>
            <w:rStyle w:val="Lienhypertexte"/>
          </w:rPr>
          <w:t>https://drive.google.com/file/d/1h8CAO7P1hOZ1goVrKL-HMYSYN29rbLWW/view</w:t>
        </w:r>
      </w:hyperlink>
    </w:p>
  </w:footnote>
  <w:footnote w:id="6">
    <w:p w14:paraId="79E30CBA" w14:textId="77777777" w:rsidR="00E357DF" w:rsidRDefault="00E357DF" w:rsidP="00207B98">
      <w:r>
        <w:rPr>
          <w:rStyle w:val="Appelnotedebasdep"/>
        </w:rPr>
        <w:footnoteRef/>
      </w:r>
      <w:r>
        <w:t xml:space="preserve"> </w:t>
      </w:r>
      <w:hyperlink r:id="rId3" w:history="1">
        <w:r w:rsidRPr="00C433D3">
          <w:rPr>
            <w:rStyle w:val="Lienhypertexte"/>
          </w:rPr>
          <w:t>https://drive.google.com/file/d/1qc9ADTsYzKpBJG7VtLPTocbme1UFf9BP/view</w:t>
        </w:r>
      </w:hyperlink>
    </w:p>
  </w:footnote>
  <w:footnote w:id="7">
    <w:p w14:paraId="166C29F1" w14:textId="77777777" w:rsidR="00E357DF" w:rsidRDefault="00E357DF">
      <w:pPr>
        <w:pStyle w:val="Notedebasdepage"/>
      </w:pPr>
      <w:r>
        <w:rPr>
          <w:rStyle w:val="Appelnotedebasdep"/>
        </w:rPr>
        <w:footnoteRef/>
      </w:r>
      <w:r>
        <w:t xml:space="preserve"> </w:t>
      </w:r>
      <w:hyperlink r:id="rId4" w:history="1">
        <w:r w:rsidRPr="001F42D9">
          <w:rPr>
            <w:rStyle w:val="Lienhypertexte"/>
          </w:rPr>
          <w:t>https://drive.google.com/file/d/1UbJivB7ntQmVAFVVPVvoo1vZorfnPGj3/view</w:t>
        </w:r>
      </w:hyperlink>
    </w:p>
    <w:p w14:paraId="4E91CB75" w14:textId="77777777" w:rsidR="00E357DF" w:rsidRDefault="00E357DF">
      <w:pPr>
        <w:pStyle w:val="Notedebasdepage"/>
      </w:pPr>
    </w:p>
  </w:footnote>
  <w:footnote w:id="8">
    <w:p w14:paraId="11DE2E49" w14:textId="3EAF0D0B" w:rsidR="00E357DF" w:rsidRDefault="00E357DF">
      <w:pPr>
        <w:pStyle w:val="Notedebasdepage"/>
      </w:pPr>
      <w:r>
        <w:rPr>
          <w:rStyle w:val="Appelnotedebasdep"/>
        </w:rPr>
        <w:footnoteRef/>
      </w:r>
      <w:r>
        <w:t xml:space="preserve"> </w:t>
      </w:r>
      <w:r w:rsidRPr="005B20D6">
        <w:t>https://drive.google.com/open?id=1UbJivB7ntQmVAFVVPVvoo1vZorfnPGj3</w:t>
      </w:r>
    </w:p>
  </w:footnote>
  <w:footnote w:id="9">
    <w:p w14:paraId="4A37173A" w14:textId="77777777" w:rsidR="00E357DF" w:rsidRDefault="00E357DF" w:rsidP="00207B98">
      <w:pPr>
        <w:pStyle w:val="Notedebasdepage"/>
      </w:pPr>
      <w:r>
        <w:rPr>
          <w:rStyle w:val="Appelnotedebasdep"/>
        </w:rPr>
        <w:footnoteRef/>
      </w:r>
      <w:r>
        <w:t xml:space="preserve"> </w:t>
      </w:r>
      <w:r w:rsidRPr="00F7725B">
        <w:t>http://cno.ohada.cd/OHADA-RDC/3_Textes_internes_(RDC)/Reglementation_changes_rdc.pdf</w:t>
      </w:r>
    </w:p>
  </w:footnote>
  <w:footnote w:id="10">
    <w:p w14:paraId="3E82F01A" w14:textId="77777777" w:rsidR="00E357DF" w:rsidRDefault="00E357DF" w:rsidP="00207B98">
      <w:r>
        <w:rPr>
          <w:rStyle w:val="Appelnotedebasdep"/>
        </w:rPr>
        <w:footnoteRef/>
      </w:r>
      <w:r>
        <w:t xml:space="preserve"> </w:t>
      </w:r>
      <w:hyperlink r:id="rId5" w:history="1">
        <w:r w:rsidRPr="00C433D3">
          <w:rPr>
            <w:rStyle w:val="Lienhypertexte"/>
          </w:rPr>
          <w:t>https://www.droitcongolais.info/files/11443_ordonnance_du_23_fevrier_2013_taxes_impo.pdf</w:t>
        </w:r>
      </w:hyperlink>
    </w:p>
  </w:footnote>
  <w:footnote w:id="11">
    <w:p w14:paraId="4041DBBA" w14:textId="77777777" w:rsidR="00E357DF" w:rsidRDefault="00E357DF" w:rsidP="00207B98">
      <w:pPr>
        <w:pStyle w:val="Notedebasdepage"/>
      </w:pPr>
      <w:r>
        <w:rPr>
          <w:rStyle w:val="Appelnotedebasdep"/>
        </w:rPr>
        <w:footnoteRef/>
      </w:r>
      <w:r>
        <w:t xml:space="preserve"> </w:t>
      </w:r>
      <w:r w:rsidRPr="00E0537B">
        <w:t>https://drive.google.com/file/d/1o1pXwAwAUiQP5lTfYmQlOkCB_IfsSsbq/view</w:t>
      </w:r>
    </w:p>
  </w:footnote>
  <w:footnote w:id="12">
    <w:p w14:paraId="399756F2" w14:textId="77777777" w:rsidR="00E357DF" w:rsidRDefault="00E357DF" w:rsidP="00207B98">
      <w:pPr>
        <w:pStyle w:val="Notedebasdepage"/>
      </w:pPr>
      <w:r>
        <w:rPr>
          <w:rStyle w:val="Appelnotedebasdep"/>
        </w:rPr>
        <w:footnoteRef/>
      </w:r>
      <w:r>
        <w:t xml:space="preserve"> </w:t>
      </w:r>
      <w:r w:rsidRPr="001C3CE1">
        <w:t>http://leganet.cd/Legislation/JO/2016/JOS.12.11.2016.pdf</w:t>
      </w:r>
    </w:p>
  </w:footnote>
  <w:footnote w:id="13">
    <w:p w14:paraId="7DEF5CB9" w14:textId="77777777" w:rsidR="00E357DF" w:rsidRDefault="00E357DF" w:rsidP="00207B98">
      <w:pPr>
        <w:pStyle w:val="Notedebasdepage"/>
      </w:pPr>
      <w:r>
        <w:rPr>
          <w:rStyle w:val="Appelnotedebasdep"/>
        </w:rPr>
        <w:footnoteRef/>
      </w:r>
      <w:r>
        <w:t xml:space="preserve"> </w:t>
      </w:r>
      <w:r w:rsidRPr="00C55DB8">
        <w:t>http://www.leganet.cd/Legislation/Droit%20Public/Ministeres/O.08.74.24.12.2008.htm</w:t>
      </w:r>
    </w:p>
  </w:footnote>
  <w:footnote w:id="14">
    <w:p w14:paraId="62C52B1A" w14:textId="77777777" w:rsidR="00E357DF" w:rsidRDefault="00E357DF" w:rsidP="00207B98">
      <w:pPr>
        <w:pStyle w:val="Notedebasdepage"/>
      </w:pPr>
      <w:r>
        <w:rPr>
          <w:rStyle w:val="Appelnotedebasdep"/>
        </w:rPr>
        <w:footnoteRef/>
      </w:r>
      <w:r>
        <w:t xml:space="preserve"> </w:t>
      </w:r>
      <w:hyperlink r:id="rId6" w:history="1">
        <w:r w:rsidRPr="00C433D3">
          <w:rPr>
            <w:rStyle w:val="Lienhypertexte"/>
          </w:rPr>
          <w:t>https://drive.google.com/file/d/1GBz3CGnuDl6fVG39m46pnvb6fOqzneNa/view</w:t>
        </w:r>
      </w:hyperlink>
    </w:p>
  </w:footnote>
  <w:footnote w:id="15">
    <w:p w14:paraId="41137510" w14:textId="77777777" w:rsidR="00E357DF" w:rsidRDefault="00E357DF" w:rsidP="00207B98">
      <w:pPr>
        <w:pStyle w:val="Notedebasdepage"/>
      </w:pPr>
      <w:r>
        <w:rPr>
          <w:rStyle w:val="Appelnotedebasdep"/>
        </w:rPr>
        <w:footnoteRef/>
      </w:r>
      <w:r>
        <w:t xml:space="preserve"> </w:t>
      </w:r>
      <w:hyperlink r:id="rId7" w:history="1">
        <w:r w:rsidRPr="00C433D3">
          <w:rPr>
            <w:rStyle w:val="Lienhypertexte"/>
          </w:rPr>
          <w:t>https://drive.google.com/file/d/18XmGsV90yDqCda6g3aD3rmFivPDnIMqV/view</w:t>
        </w:r>
      </w:hyperlink>
      <w:r>
        <w:t xml:space="preserve"> </w:t>
      </w:r>
    </w:p>
  </w:footnote>
  <w:footnote w:id="16">
    <w:p w14:paraId="227EC0E1" w14:textId="77777777" w:rsidR="00E357DF" w:rsidRDefault="00E357DF" w:rsidP="00207B98">
      <w:pPr>
        <w:pStyle w:val="Notedebasdepage"/>
      </w:pPr>
      <w:r>
        <w:rPr>
          <w:rStyle w:val="Appelnotedebasdep"/>
        </w:rPr>
        <w:footnoteRef/>
      </w:r>
      <w:r>
        <w:t xml:space="preserve"> </w:t>
      </w:r>
      <w:hyperlink r:id="rId8" w:history="1">
        <w:r w:rsidRPr="00C433D3">
          <w:rPr>
            <w:rStyle w:val="Lienhypertexte"/>
          </w:rPr>
          <w:t>https://drive.google.com/file/d/18XmGsV90yDqCda6g3aD3rmFivPDnIMqV/view</w:t>
        </w:r>
      </w:hyperlink>
      <w:r>
        <w:t xml:space="preserve"> </w:t>
      </w:r>
    </w:p>
  </w:footnote>
  <w:footnote w:id="17">
    <w:p w14:paraId="73BA37F3" w14:textId="77777777" w:rsidR="00E357DF" w:rsidRPr="004E7C39" w:rsidRDefault="00E357DF" w:rsidP="00C579DE">
      <w:pPr>
        <w:pStyle w:val="Notedebasdepage"/>
        <w:rPr>
          <w:rFonts w:ascii="Times New Roman" w:hAnsi="Times New Roman"/>
          <w:sz w:val="36"/>
        </w:rPr>
      </w:pPr>
      <w:r w:rsidRPr="004E7C39">
        <w:rPr>
          <w:rStyle w:val="Appelnotedebasdep"/>
          <w:rFonts w:ascii="Times New Roman" w:hAnsi="Times New Roman"/>
          <w:sz w:val="36"/>
        </w:rPr>
        <w:footnoteRef/>
      </w:r>
      <w:r w:rsidRPr="004E7C39">
        <w:rPr>
          <w:rFonts w:ascii="Times New Roman" w:hAnsi="Times New Roman"/>
          <w:sz w:val="36"/>
        </w:rPr>
        <w:t xml:space="preserve"> </w:t>
      </w:r>
      <w:r w:rsidRPr="004E7C39">
        <w:rPr>
          <w:rFonts w:ascii="Times New Roman" w:hAnsi="Times New Roman"/>
          <w:sz w:val="24"/>
        </w:rPr>
        <w:t>L</w:t>
      </w:r>
      <w:r w:rsidRPr="004E7C39">
        <w:rPr>
          <w:rFonts w:ascii="Times New Roman" w:eastAsiaTheme="minorHAnsi" w:hAnsi="Times New Roman"/>
          <w:sz w:val="24"/>
          <w:szCs w:val="24"/>
        </w:rPr>
        <w:t>ettre du Secrétaire Général aux Hydrocarbures du 19/07/2017 adressée au Secrétariat Technique de l’ITIE-RDC</w:t>
      </w:r>
    </w:p>
  </w:footnote>
  <w:footnote w:id="18">
    <w:p w14:paraId="4A0158AB" w14:textId="77777777" w:rsidR="00E357DF" w:rsidRDefault="00E357DF" w:rsidP="00EF293C">
      <w:pPr>
        <w:pStyle w:val="Notedebasdepage"/>
      </w:pPr>
      <w:r>
        <w:rPr>
          <w:rStyle w:val="Appelnotedebasdep"/>
        </w:rPr>
        <w:footnoteRef/>
      </w:r>
      <w:r>
        <w:t xml:space="preserve"> </w:t>
      </w:r>
      <w:r w:rsidRPr="00DC6E82">
        <w:t>https://drive.google.com/file/d/1TZKAPqoixPB4O6qb_XH48EfDP-a2Wzi4/view</w:t>
      </w:r>
    </w:p>
  </w:footnote>
  <w:footnote w:id="19">
    <w:p w14:paraId="30B36779" w14:textId="77777777" w:rsidR="00E357DF" w:rsidRDefault="00E357DF" w:rsidP="00EF293C">
      <w:pPr>
        <w:pStyle w:val="Notedebasdepage"/>
      </w:pPr>
      <w:r>
        <w:rPr>
          <w:rStyle w:val="Appelnotedebasdep"/>
        </w:rPr>
        <w:footnoteRef/>
      </w:r>
      <w:r>
        <w:t xml:space="preserve"> </w:t>
      </w:r>
      <w:r w:rsidRPr="00C0352E">
        <w:t>http://portals.flexicadastre.com/drc/fr/</w:t>
      </w:r>
    </w:p>
  </w:footnote>
  <w:footnote w:id="20">
    <w:p w14:paraId="6D954E24" w14:textId="77777777" w:rsidR="00E357DF" w:rsidRDefault="00E357DF" w:rsidP="00EF293C">
      <w:pPr>
        <w:pStyle w:val="Notedebasdepage"/>
      </w:pPr>
      <w:r>
        <w:rPr>
          <w:rStyle w:val="Appelnotedebasdep"/>
        </w:rPr>
        <w:footnoteRef/>
      </w:r>
      <w:r>
        <w:t xml:space="preserve"> </w:t>
      </w:r>
      <w:r w:rsidRPr="00A64CF0">
        <w:t>http://www.itierdc.net/carte-de-la-rdc-cliquable/registre-petrolier/</w:t>
      </w:r>
    </w:p>
  </w:footnote>
  <w:footnote w:id="21">
    <w:p w14:paraId="13E3BC55" w14:textId="77777777" w:rsidR="00E357DF" w:rsidRDefault="00E357DF" w:rsidP="00691D72">
      <w:pPr>
        <w:pStyle w:val="Notedebasdepage"/>
      </w:pPr>
      <w:r>
        <w:rPr>
          <w:rStyle w:val="Appelnotedebasdep"/>
        </w:rPr>
        <w:footnoteRef/>
      </w:r>
      <w:r>
        <w:t xml:space="preserve"> </w:t>
      </w:r>
      <w:r w:rsidRPr="00A64CF0">
        <w:t>http://www.itierdc.net/new_itie-rdc/</w:t>
      </w:r>
    </w:p>
  </w:footnote>
  <w:footnote w:id="22">
    <w:p w14:paraId="22BCC918" w14:textId="77777777" w:rsidR="00E357DF" w:rsidRDefault="00E357DF" w:rsidP="00691D72">
      <w:pPr>
        <w:pStyle w:val="Notedebasdepage"/>
      </w:pPr>
      <w:r>
        <w:rPr>
          <w:rStyle w:val="Appelnotedebasdep"/>
        </w:rPr>
        <w:footnoteRef/>
      </w:r>
      <w:r>
        <w:t xml:space="preserve"> </w:t>
      </w:r>
      <w:r w:rsidRPr="00DE774C">
        <w:t>http://itierdc.net/wp-content/uploads/2016/03/RAP2-1.pdf</w:t>
      </w:r>
    </w:p>
  </w:footnote>
  <w:footnote w:id="23">
    <w:p w14:paraId="3F7B6ABF" w14:textId="77777777" w:rsidR="00E357DF" w:rsidRDefault="00E357DF" w:rsidP="00691D72">
      <w:pPr>
        <w:pStyle w:val="Notedebasdepage"/>
      </w:pPr>
      <w:r>
        <w:rPr>
          <w:rStyle w:val="Appelnotedebasdep"/>
        </w:rPr>
        <w:footnoteRef/>
      </w:r>
      <w:r>
        <w:t xml:space="preserve"> </w:t>
      </w:r>
      <w:r w:rsidRPr="004004A0">
        <w:t>http://itierdc-data.masiavuvu.fr/donnees-itie/</w:t>
      </w:r>
    </w:p>
  </w:footnote>
  <w:footnote w:id="24">
    <w:p w14:paraId="4505550D" w14:textId="77777777" w:rsidR="00E357DF" w:rsidRDefault="00E357DF" w:rsidP="00005C6E">
      <w:pPr>
        <w:pStyle w:val="Notedebasdepage"/>
      </w:pPr>
      <w:r>
        <w:rPr>
          <w:rStyle w:val="Appelnotedebasdep"/>
        </w:rPr>
        <w:footnoteRef/>
      </w:r>
      <w:r>
        <w:t xml:space="preserve"> </w:t>
      </w:r>
      <w:hyperlink r:id="rId9" w:history="1">
        <w:r w:rsidRPr="00F317B4">
          <w:rPr>
            <w:rStyle w:val="Lienhypertexte"/>
          </w:rPr>
          <w:t>http://itierdc-data.masiavuvu.fr/donnees-itie/</w:t>
        </w:r>
      </w:hyperlink>
      <w:r>
        <w:t xml:space="preserve"> , Données par entité</w:t>
      </w:r>
    </w:p>
  </w:footnote>
  <w:footnote w:id="25">
    <w:p w14:paraId="789CA9AA" w14:textId="77777777" w:rsidR="00E357DF" w:rsidRDefault="00E357DF" w:rsidP="00005C6E">
      <w:pPr>
        <w:pStyle w:val="Notedebasdepage"/>
      </w:pPr>
      <w:r>
        <w:rPr>
          <w:rStyle w:val="Appelnotedebasdep"/>
        </w:rPr>
        <w:footnoteRef/>
      </w:r>
      <w:r>
        <w:t xml:space="preserve"> </w:t>
      </w:r>
      <w:r w:rsidRPr="006E53CE">
        <w:t>https://drive.google.com/file/d/1mdOS_khrNvusglI3McM8by25SAxm1Gpg/view</w:t>
      </w:r>
    </w:p>
  </w:footnote>
  <w:footnote w:id="26">
    <w:p w14:paraId="55315716" w14:textId="77777777" w:rsidR="00E357DF" w:rsidRDefault="00E357DF" w:rsidP="00F000B0">
      <w:pPr>
        <w:pStyle w:val="Notedebasdepage"/>
      </w:pPr>
      <w:r>
        <w:rPr>
          <w:rStyle w:val="Appelnotedebasdep"/>
        </w:rPr>
        <w:footnoteRef/>
      </w:r>
      <w:r>
        <w:t xml:space="preserve"> Le processus de transformation a débuté en 2008 et il est en cours. </w:t>
      </w:r>
    </w:p>
  </w:footnote>
  <w:footnote w:id="27">
    <w:p w14:paraId="60E6CB2B" w14:textId="77777777" w:rsidR="00E357DF" w:rsidRDefault="00E357DF">
      <w:pPr>
        <w:pStyle w:val="Notedebasdepage"/>
      </w:pPr>
      <w:r>
        <w:rPr>
          <w:rStyle w:val="Appelnotedebasdep"/>
        </w:rPr>
        <w:footnoteRef/>
      </w:r>
      <w:r>
        <w:t xml:space="preserve"> Il s’agit de : GECAMINES, SCMK-Mn, SODIMICO, SOKIMO, SAKIMA et SONAHYDROC</w:t>
      </w:r>
    </w:p>
  </w:footnote>
  <w:footnote w:id="28">
    <w:p w14:paraId="110D2B35" w14:textId="77777777" w:rsidR="00E357DF" w:rsidRDefault="00E357DF" w:rsidP="00F000B0">
      <w:pPr>
        <w:pStyle w:val="Notedebasdepage"/>
      </w:pPr>
      <w:r>
        <w:rPr>
          <w:rStyle w:val="Appelnotedebasdep"/>
        </w:rPr>
        <w:footnoteRef/>
      </w:r>
      <w:r>
        <w:t xml:space="preserve"> </w:t>
      </w:r>
      <w:r w:rsidRPr="00D26930">
        <w:t>http://itierdc-data.masiavuvu.fr/donnees-itie/</w:t>
      </w:r>
    </w:p>
  </w:footnote>
  <w:footnote w:id="29">
    <w:p w14:paraId="413F4A06" w14:textId="77777777" w:rsidR="00E357DF" w:rsidRDefault="00E357DF" w:rsidP="00F000B0">
      <w:r>
        <w:rPr>
          <w:rStyle w:val="Appelnotedebasdep"/>
        </w:rPr>
        <w:footnoteRef/>
      </w:r>
      <w:r>
        <w:t xml:space="preserve"> </w:t>
      </w:r>
      <w:r w:rsidRPr="004C418F">
        <w:t xml:space="preserve">Description des règles  régissant la relation financière entre les </w:t>
      </w:r>
      <w:r>
        <w:t>EPE</w:t>
      </w:r>
      <w:r w:rsidRPr="004C418F">
        <w:t xml:space="preserve"> et le gouvernement, document rédigé par le </w:t>
      </w:r>
      <w:r>
        <w:t>CSP</w:t>
      </w:r>
    </w:p>
  </w:footnote>
  <w:footnote w:id="30">
    <w:p w14:paraId="3407A3BE" w14:textId="77777777" w:rsidR="00E357DF" w:rsidRDefault="00E357DF">
      <w:pPr>
        <w:pStyle w:val="Notedebasdepage"/>
      </w:pPr>
      <w:r>
        <w:rPr>
          <w:rStyle w:val="Appelnotedebasdep"/>
        </w:rPr>
        <w:footnoteRef/>
      </w:r>
      <w:r>
        <w:t xml:space="preserve"> Voir cas de SAKIMA avec son régime dérogatoire</w:t>
      </w:r>
    </w:p>
  </w:footnote>
  <w:footnote w:id="31">
    <w:p w14:paraId="24218884" w14:textId="77777777" w:rsidR="00E357DF" w:rsidRDefault="00E357DF" w:rsidP="00F000B0">
      <w:pPr>
        <w:pStyle w:val="Notedebasdepage"/>
      </w:pPr>
      <w:r>
        <w:rPr>
          <w:rStyle w:val="Appelnotedebasdep"/>
        </w:rPr>
        <w:footnoteRef/>
      </w:r>
      <w:r>
        <w:t xml:space="preserve"> </w:t>
      </w:r>
      <w:r w:rsidRPr="00AA5351">
        <w:rPr>
          <w:rFonts w:ascii="Times New Roman" w:hAnsi="Times New Roman"/>
          <w:sz w:val="24"/>
          <w:szCs w:val="24"/>
          <w:vertAlign w:val="superscript"/>
        </w:rPr>
        <w:t>Réponses des entreprises aux demandes d’informations</w:t>
      </w:r>
    </w:p>
  </w:footnote>
  <w:footnote w:id="32">
    <w:p w14:paraId="357EF749" w14:textId="1E27DA1E" w:rsidR="00E357DF" w:rsidRDefault="00E357DF">
      <w:pPr>
        <w:pStyle w:val="Notedebasdepage"/>
      </w:pPr>
      <w:r>
        <w:rPr>
          <w:rStyle w:val="Appelnotedebasdep"/>
        </w:rPr>
        <w:footnoteRef/>
      </w:r>
      <w:r>
        <w:t xml:space="preserve"> </w:t>
      </w:r>
      <w:r w:rsidRPr="00D256CC">
        <w:rPr>
          <w:rFonts w:ascii="Times New Roman" w:hAnsi="Times New Roman"/>
        </w:rPr>
        <w:t>Déclaration de la GECAMINES à l’ITIE-RDC 2016</w:t>
      </w:r>
    </w:p>
  </w:footnote>
  <w:footnote w:id="33">
    <w:p w14:paraId="62E1825C" w14:textId="77777777" w:rsidR="00E357DF" w:rsidRDefault="00E357DF" w:rsidP="00F000B0">
      <w:pPr>
        <w:pStyle w:val="Notedebasdepage"/>
      </w:pPr>
      <w:r>
        <w:rPr>
          <w:rStyle w:val="Appelnotedebasdep"/>
        </w:rPr>
        <w:footnoteRef/>
      </w:r>
      <w:r>
        <w:t xml:space="preserve"> Lire l’article 71, litera c du code minier de 2002. En mars 2018, la part  des parts sociales ou actions à céder à l’Etat dans le capital sociales de la société</w:t>
      </w:r>
      <w:r>
        <w:rPr>
          <w:sz w:val="23"/>
          <w:szCs w:val="23"/>
        </w:rPr>
        <w:t xml:space="preserve"> requérante est passée de 5% à 10%. </w:t>
      </w:r>
    </w:p>
  </w:footnote>
  <w:footnote w:id="34">
    <w:p w14:paraId="0052F145" w14:textId="77777777" w:rsidR="00E357DF" w:rsidRDefault="00E357DF" w:rsidP="00F000B0">
      <w:pPr>
        <w:pStyle w:val="Notedebasdepage"/>
      </w:pPr>
      <w:r>
        <w:rPr>
          <w:rStyle w:val="Appelnotedebasdep"/>
        </w:rPr>
        <w:footnoteRef/>
      </w:r>
      <w:r>
        <w:t xml:space="preserve"> </w:t>
      </w:r>
      <w:r w:rsidRPr="003C29D8">
        <w:rPr>
          <w:rFonts w:ascii="Times New Roman" w:hAnsi="Times New Roman"/>
          <w:sz w:val="18"/>
          <w:szCs w:val="18"/>
        </w:rPr>
        <w:t>SOCO E&amp;P RDC  s’est retiré en 2015 mais continue à  figurer  dans le fichier du Ministère du Portefeuille comme entreprise détenue indirectement par l’Etat</w:t>
      </w:r>
    </w:p>
  </w:footnote>
  <w:footnote w:id="35">
    <w:p w14:paraId="08FEA27C" w14:textId="77777777" w:rsidR="00E357DF" w:rsidRDefault="00E357DF" w:rsidP="00F000B0">
      <w:pPr>
        <w:pStyle w:val="Notedebasdepage"/>
      </w:pPr>
      <w:r>
        <w:rPr>
          <w:rStyle w:val="Appelnotedebasdep"/>
        </w:rPr>
        <w:footnoteRef/>
      </w:r>
      <w:r w:rsidRPr="00590428">
        <w:rPr>
          <w:sz w:val="18"/>
        </w:rPr>
        <w:t xml:space="preserve"> Loi n° 11/011 du  13  juillet  2011,  relative aux finances publiques. Article 6.</w:t>
      </w:r>
    </w:p>
  </w:footnote>
  <w:footnote w:id="36">
    <w:p w14:paraId="07789A6E" w14:textId="77777777" w:rsidR="00E357DF" w:rsidRDefault="00E357DF" w:rsidP="00F000B0">
      <w:pPr>
        <w:shd w:val="clear" w:color="auto" w:fill="FFFFFF"/>
        <w:rPr>
          <w:rFonts w:ascii="Helvetica" w:hAnsi="Helvetica" w:cs="Helvetica"/>
          <w:color w:val="333333"/>
          <w:sz w:val="20"/>
          <w:szCs w:val="20"/>
        </w:rPr>
      </w:pPr>
      <w:r>
        <w:rPr>
          <w:rStyle w:val="Appelnotedebasdep"/>
        </w:rPr>
        <w:footnoteRef/>
      </w:r>
      <w:r>
        <w:t xml:space="preserve"> </w:t>
      </w:r>
      <w:hyperlink r:id="rId10" w:tgtFrame="_blank" w:history="1">
        <w:r>
          <w:rPr>
            <w:rStyle w:val="Lienhypertexte"/>
            <w:rFonts w:ascii="Helvetica" w:hAnsi="Helvetica" w:cs="Helvetica"/>
            <w:color w:val="551A8B"/>
            <w:sz w:val="20"/>
            <w:szCs w:val="20"/>
          </w:rPr>
          <w:t>https://drive.google.com/drive/u/1/folders/1cAsueIhKfyr6iUBQBXaRTKkKH3OIlgbc</w:t>
        </w:r>
      </w:hyperlink>
    </w:p>
    <w:p w14:paraId="38C9121D" w14:textId="77777777" w:rsidR="00E357DF" w:rsidRDefault="00E357DF" w:rsidP="00F000B0">
      <w:pPr>
        <w:pStyle w:val="Notedebasdepag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color w:val="2F5496" w:themeColor="accent5" w:themeShade="BF"/>
      </w:rPr>
      <w:alias w:val="Titre"/>
      <w:id w:val="77547040"/>
      <w:placeholder>
        <w:docPart w:val="4B8656B8178C47DD87FB48F39B039399"/>
      </w:placeholder>
      <w:dataBinding w:prefixMappings="xmlns:ns0='http://schemas.openxmlformats.org/package/2006/metadata/core-properties' xmlns:ns1='http://purl.org/dc/elements/1.1/'" w:xpath="/ns0:coreProperties[1]/ns1:title[1]" w:storeItemID="{6C3C8BC8-F283-45AE-878A-BAB7291924A1}"/>
      <w:text/>
    </w:sdtPr>
    <w:sdtContent>
      <w:p w14:paraId="47E12721" w14:textId="45BE26F4" w:rsidR="00E357DF" w:rsidRPr="00360D84" w:rsidRDefault="00E357DF">
        <w:pPr>
          <w:pStyle w:val="En-tte"/>
          <w:pBdr>
            <w:between w:val="single" w:sz="4" w:space="1" w:color="5B9BD5" w:themeColor="accent1"/>
          </w:pBdr>
          <w:spacing w:line="276" w:lineRule="auto"/>
          <w:jc w:val="center"/>
          <w:rPr>
            <w:b/>
            <w:color w:val="2F5496" w:themeColor="accent5" w:themeShade="BF"/>
          </w:rPr>
        </w:pPr>
        <w:r w:rsidRPr="00360D84">
          <w:rPr>
            <w:b/>
            <w:color w:val="2F5496" w:themeColor="accent5" w:themeShade="BF"/>
          </w:rPr>
          <w:t>Comité Exécutif</w:t>
        </w:r>
      </w:p>
    </w:sdtContent>
  </w:sdt>
  <w:sdt>
    <w:sdtPr>
      <w:rPr>
        <w:color w:val="2E74B5" w:themeColor="accent1" w:themeShade="BF"/>
      </w:rPr>
      <w:alias w:val="Date"/>
      <w:id w:val="77547044"/>
      <w:placeholder>
        <w:docPart w:val="BFBCE8B1111545928E1D5A39FF03BB7A"/>
      </w:placeholder>
      <w:dataBinding w:prefixMappings="xmlns:ns0='http://schemas.microsoft.com/office/2006/coverPageProps'" w:xpath="/ns0:CoverPageProperties[1]/ns0:PublishDate[1]" w:storeItemID="{55AF091B-3C7A-41E3-B477-F2FDAA23CFDA}"/>
      <w:date>
        <w:dateFormat w:val="d MMMM yyyy"/>
        <w:lid w:val="fr-FR"/>
        <w:storeMappedDataAs w:val="dateTime"/>
        <w:calendar w:val="gregorian"/>
      </w:date>
    </w:sdtPr>
    <w:sdtContent>
      <w:p w14:paraId="23A6EF90" w14:textId="082D9B4B" w:rsidR="00E357DF" w:rsidRPr="00360D84" w:rsidRDefault="00E357DF">
        <w:pPr>
          <w:pStyle w:val="En-tte"/>
          <w:pBdr>
            <w:between w:val="single" w:sz="4" w:space="1" w:color="5B9BD5" w:themeColor="accent1"/>
          </w:pBdr>
          <w:spacing w:line="276" w:lineRule="auto"/>
          <w:jc w:val="center"/>
          <w:rPr>
            <w:color w:val="2E74B5" w:themeColor="accent1" w:themeShade="BF"/>
          </w:rPr>
        </w:pPr>
        <w:r w:rsidRPr="00360D84">
          <w:rPr>
            <w:color w:val="2E74B5" w:themeColor="accent1" w:themeShade="BF"/>
          </w:rPr>
          <w:t>Rapport Contextuel ITIE-RDC</w:t>
        </w:r>
        <w:r>
          <w:rPr>
            <w:color w:val="2E74B5" w:themeColor="accent1" w:themeShade="BF"/>
          </w:rPr>
          <w:t xml:space="preserve"> </w:t>
        </w:r>
        <w:r w:rsidRPr="00360D84">
          <w:rPr>
            <w:color w:val="2E74B5" w:themeColor="accent1" w:themeShade="BF"/>
          </w:rPr>
          <w:t>2016</w:t>
        </w:r>
      </w:p>
    </w:sdtContent>
  </w:sdt>
  <w:p w14:paraId="494317D1" w14:textId="7813720C" w:rsidR="00E357DF" w:rsidRPr="00360D84" w:rsidRDefault="00E357DF" w:rsidP="00F000B0">
    <w:pPr>
      <w:pStyle w:val="En-tte"/>
      <w:rPr>
        <w:color w:val="2E74B5" w:themeColor="accent1" w:themeShade="BF"/>
      </w:rPr>
    </w:pPr>
    <w:r>
      <w:rPr>
        <w:noProof/>
        <w:color w:val="5B9BD5" w:themeColor="accent1"/>
        <w:lang w:eastAsia="fr-FR"/>
      </w:rPr>
      <w:drawing>
        <wp:anchor distT="0" distB="0" distL="114300" distR="114300" simplePos="0" relativeHeight="251653632" behindDoc="0" locked="0" layoutInCell="1" allowOverlap="1" wp14:anchorId="0D9846EB" wp14:editId="6F643157">
          <wp:simplePos x="0" y="0"/>
          <wp:positionH relativeFrom="column">
            <wp:posOffset>-776605</wp:posOffset>
          </wp:positionH>
          <wp:positionV relativeFrom="paragraph">
            <wp:posOffset>-792480</wp:posOffset>
          </wp:positionV>
          <wp:extent cx="845820" cy="439420"/>
          <wp:effectExtent l="0" t="0" r="0" b="0"/>
          <wp:wrapThrough wrapText="bothSides">
            <wp:wrapPolygon edited="0">
              <wp:start x="0" y="0"/>
              <wp:lineTo x="0" y="18728"/>
              <wp:lineTo x="20919" y="18728"/>
              <wp:lineTo x="20919" y="1873"/>
              <wp:lineTo x="20432" y="0"/>
              <wp:lineTo x="0" y="0"/>
            </wp:wrapPolygon>
          </wp:wrapThrough>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_itie_transparent_bon.png"/>
                  <pic:cNvPicPr/>
                </pic:nvPicPr>
                <pic:blipFill>
                  <a:blip r:embed="rId1">
                    <a:extLst>
                      <a:ext uri="{28A0092B-C50C-407E-A947-70E740481C1C}">
                        <a14:useLocalDpi xmlns:a14="http://schemas.microsoft.com/office/drawing/2010/main" val="0"/>
                      </a:ext>
                    </a:extLst>
                  </a:blip>
                  <a:stretch>
                    <a:fillRect/>
                  </a:stretch>
                </pic:blipFill>
                <pic:spPr>
                  <a:xfrm>
                    <a:off x="0" y="0"/>
                    <a:ext cx="845820" cy="4394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11.25pt;height:11.25pt" o:bullet="t">
        <v:imagedata r:id="rId1" o:title="msoFF5E"/>
      </v:shape>
    </w:pict>
  </w:numPicBullet>
  <w:abstractNum w:abstractNumId="0">
    <w:nsid w:val="01FF549A"/>
    <w:multiLevelType w:val="hybridMultilevel"/>
    <w:tmpl w:val="B528727E"/>
    <w:lvl w:ilvl="0" w:tplc="6FDEF510">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A32951"/>
    <w:multiLevelType w:val="hybridMultilevel"/>
    <w:tmpl w:val="825209C8"/>
    <w:lvl w:ilvl="0" w:tplc="6FDEF510">
      <w:start w:val="2"/>
      <w:numFmt w:val="bullet"/>
      <w:lvlText w:val="-"/>
      <w:lvlJc w:val="left"/>
      <w:pPr>
        <w:ind w:left="786" w:hanging="360"/>
      </w:pPr>
      <w:rPr>
        <w:rFonts w:ascii="Arial" w:eastAsia="Times New Roman" w:hAnsi="Arial"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
    <w:nsid w:val="074F1717"/>
    <w:multiLevelType w:val="hybridMultilevel"/>
    <w:tmpl w:val="5EF419FA"/>
    <w:lvl w:ilvl="0" w:tplc="040C0017">
      <w:start w:val="1"/>
      <w:numFmt w:val="lowerLetter"/>
      <w:lvlText w:val="%1)"/>
      <w:lvlJc w:val="left"/>
      <w:pPr>
        <w:ind w:left="720" w:hanging="360"/>
      </w:pPr>
    </w:lvl>
    <w:lvl w:ilvl="1" w:tplc="140ED67C">
      <w:start w:val="1"/>
      <w:numFmt w:val="lowerLetter"/>
      <w:lvlText w:val="(%2)"/>
      <w:lvlJc w:val="left"/>
      <w:pPr>
        <w:ind w:left="1524" w:hanging="444"/>
      </w:pPr>
      <w:rPr>
        <w:rFonts w:hint="default"/>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9995C16"/>
    <w:multiLevelType w:val="hybridMultilevel"/>
    <w:tmpl w:val="1E6A2C82"/>
    <w:lvl w:ilvl="0" w:tplc="EE4C588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9CD1D49"/>
    <w:multiLevelType w:val="hybridMultilevel"/>
    <w:tmpl w:val="C48A5A1C"/>
    <w:lvl w:ilvl="0" w:tplc="040C000F">
      <w:start w:val="1"/>
      <w:numFmt w:val="decimal"/>
      <w:lvlText w:val="%1."/>
      <w:lvlJc w:val="left"/>
      <w:pPr>
        <w:ind w:left="2628" w:hanging="360"/>
      </w:pPr>
      <w:rPr>
        <w:rFonts w:hint="default"/>
      </w:rPr>
    </w:lvl>
    <w:lvl w:ilvl="1" w:tplc="040C0019" w:tentative="1">
      <w:start w:val="1"/>
      <w:numFmt w:val="lowerLetter"/>
      <w:lvlText w:val="%2."/>
      <w:lvlJc w:val="left"/>
      <w:pPr>
        <w:ind w:left="3348" w:hanging="360"/>
      </w:pPr>
    </w:lvl>
    <w:lvl w:ilvl="2" w:tplc="040C001B" w:tentative="1">
      <w:start w:val="1"/>
      <w:numFmt w:val="lowerRoman"/>
      <w:lvlText w:val="%3."/>
      <w:lvlJc w:val="right"/>
      <w:pPr>
        <w:ind w:left="4068" w:hanging="180"/>
      </w:pPr>
    </w:lvl>
    <w:lvl w:ilvl="3" w:tplc="040C000F" w:tentative="1">
      <w:start w:val="1"/>
      <w:numFmt w:val="decimal"/>
      <w:lvlText w:val="%4."/>
      <w:lvlJc w:val="left"/>
      <w:pPr>
        <w:ind w:left="4788" w:hanging="360"/>
      </w:pPr>
    </w:lvl>
    <w:lvl w:ilvl="4" w:tplc="040C0019" w:tentative="1">
      <w:start w:val="1"/>
      <w:numFmt w:val="lowerLetter"/>
      <w:lvlText w:val="%5."/>
      <w:lvlJc w:val="left"/>
      <w:pPr>
        <w:ind w:left="5508" w:hanging="360"/>
      </w:pPr>
    </w:lvl>
    <w:lvl w:ilvl="5" w:tplc="040C001B" w:tentative="1">
      <w:start w:val="1"/>
      <w:numFmt w:val="lowerRoman"/>
      <w:lvlText w:val="%6."/>
      <w:lvlJc w:val="right"/>
      <w:pPr>
        <w:ind w:left="6228" w:hanging="180"/>
      </w:pPr>
    </w:lvl>
    <w:lvl w:ilvl="6" w:tplc="040C000F" w:tentative="1">
      <w:start w:val="1"/>
      <w:numFmt w:val="decimal"/>
      <w:lvlText w:val="%7."/>
      <w:lvlJc w:val="left"/>
      <w:pPr>
        <w:ind w:left="6948" w:hanging="360"/>
      </w:pPr>
    </w:lvl>
    <w:lvl w:ilvl="7" w:tplc="040C0019" w:tentative="1">
      <w:start w:val="1"/>
      <w:numFmt w:val="lowerLetter"/>
      <w:lvlText w:val="%8."/>
      <w:lvlJc w:val="left"/>
      <w:pPr>
        <w:ind w:left="7668" w:hanging="360"/>
      </w:pPr>
    </w:lvl>
    <w:lvl w:ilvl="8" w:tplc="040C001B" w:tentative="1">
      <w:start w:val="1"/>
      <w:numFmt w:val="lowerRoman"/>
      <w:lvlText w:val="%9."/>
      <w:lvlJc w:val="right"/>
      <w:pPr>
        <w:ind w:left="8388" w:hanging="180"/>
      </w:pPr>
    </w:lvl>
  </w:abstractNum>
  <w:abstractNum w:abstractNumId="5">
    <w:nsid w:val="0BAC705F"/>
    <w:multiLevelType w:val="hybridMultilevel"/>
    <w:tmpl w:val="671AC5BC"/>
    <w:lvl w:ilvl="0" w:tplc="C2CCAA56">
      <w:start w:val="1"/>
      <w:numFmt w:val="bullet"/>
      <w:lvlText w:val="▪"/>
      <w:lvlJc w:val="left"/>
      <w:pPr>
        <w:ind w:left="2138" w:hanging="36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1" w:tplc="040C0003">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6">
    <w:nsid w:val="0BF44122"/>
    <w:multiLevelType w:val="hybridMultilevel"/>
    <w:tmpl w:val="FE800D56"/>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0CE01E66"/>
    <w:multiLevelType w:val="hybridMultilevel"/>
    <w:tmpl w:val="CDD27B40"/>
    <w:lvl w:ilvl="0" w:tplc="6FDEF510">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0E631CBD"/>
    <w:multiLevelType w:val="hybridMultilevel"/>
    <w:tmpl w:val="6E145448"/>
    <w:lvl w:ilvl="0" w:tplc="EE4C588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3FD78FA"/>
    <w:multiLevelType w:val="hybridMultilevel"/>
    <w:tmpl w:val="74FC5DD6"/>
    <w:lvl w:ilvl="0" w:tplc="040C0007">
      <w:start w:val="1"/>
      <w:numFmt w:val="bullet"/>
      <w:lvlText w:val=""/>
      <w:lvlPicBulletId w:val="0"/>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4220853"/>
    <w:multiLevelType w:val="hybridMultilevel"/>
    <w:tmpl w:val="3D5A26A2"/>
    <w:lvl w:ilvl="0" w:tplc="6B2CE314">
      <w:start w:val="1"/>
      <w:numFmt w:val="decimal"/>
      <w:lvlText w:val="(%1)."/>
      <w:lvlJc w:val="left"/>
      <w:pPr>
        <w:ind w:left="2858" w:hanging="360"/>
      </w:pPr>
      <w:rPr>
        <w:rFonts w:ascii="Calibri" w:hAnsi="Calibri" w:cs="Calibri" w:hint="default"/>
        <w:sz w:val="16"/>
        <w:szCs w:val="16"/>
      </w:rPr>
    </w:lvl>
    <w:lvl w:ilvl="1" w:tplc="040C0019" w:tentative="1">
      <w:start w:val="1"/>
      <w:numFmt w:val="lowerLetter"/>
      <w:lvlText w:val="%2."/>
      <w:lvlJc w:val="left"/>
      <w:pPr>
        <w:ind w:left="3578" w:hanging="360"/>
      </w:pPr>
    </w:lvl>
    <w:lvl w:ilvl="2" w:tplc="040C001B" w:tentative="1">
      <w:start w:val="1"/>
      <w:numFmt w:val="lowerRoman"/>
      <w:lvlText w:val="%3."/>
      <w:lvlJc w:val="right"/>
      <w:pPr>
        <w:ind w:left="4298" w:hanging="180"/>
      </w:pPr>
    </w:lvl>
    <w:lvl w:ilvl="3" w:tplc="040C000F" w:tentative="1">
      <w:start w:val="1"/>
      <w:numFmt w:val="decimal"/>
      <w:lvlText w:val="%4."/>
      <w:lvlJc w:val="left"/>
      <w:pPr>
        <w:ind w:left="5018" w:hanging="360"/>
      </w:pPr>
    </w:lvl>
    <w:lvl w:ilvl="4" w:tplc="040C0019" w:tentative="1">
      <w:start w:val="1"/>
      <w:numFmt w:val="lowerLetter"/>
      <w:lvlText w:val="%5."/>
      <w:lvlJc w:val="left"/>
      <w:pPr>
        <w:ind w:left="5738" w:hanging="360"/>
      </w:pPr>
    </w:lvl>
    <w:lvl w:ilvl="5" w:tplc="040C001B" w:tentative="1">
      <w:start w:val="1"/>
      <w:numFmt w:val="lowerRoman"/>
      <w:lvlText w:val="%6."/>
      <w:lvlJc w:val="right"/>
      <w:pPr>
        <w:ind w:left="6458" w:hanging="180"/>
      </w:pPr>
    </w:lvl>
    <w:lvl w:ilvl="6" w:tplc="040C000F" w:tentative="1">
      <w:start w:val="1"/>
      <w:numFmt w:val="decimal"/>
      <w:lvlText w:val="%7."/>
      <w:lvlJc w:val="left"/>
      <w:pPr>
        <w:ind w:left="7178" w:hanging="360"/>
      </w:pPr>
    </w:lvl>
    <w:lvl w:ilvl="7" w:tplc="040C0019" w:tentative="1">
      <w:start w:val="1"/>
      <w:numFmt w:val="lowerLetter"/>
      <w:lvlText w:val="%8."/>
      <w:lvlJc w:val="left"/>
      <w:pPr>
        <w:ind w:left="7898" w:hanging="360"/>
      </w:pPr>
    </w:lvl>
    <w:lvl w:ilvl="8" w:tplc="040C001B" w:tentative="1">
      <w:start w:val="1"/>
      <w:numFmt w:val="lowerRoman"/>
      <w:lvlText w:val="%9."/>
      <w:lvlJc w:val="right"/>
      <w:pPr>
        <w:ind w:left="8618" w:hanging="180"/>
      </w:pPr>
    </w:lvl>
  </w:abstractNum>
  <w:abstractNum w:abstractNumId="11">
    <w:nsid w:val="14292C19"/>
    <w:multiLevelType w:val="hybridMultilevel"/>
    <w:tmpl w:val="0A98E14A"/>
    <w:lvl w:ilvl="0" w:tplc="2C005A42">
      <w:start w:val="1"/>
      <w:numFmt w:val="decimal"/>
      <w:lvlText w:val="%1."/>
      <w:lvlJc w:val="left"/>
      <w:pPr>
        <w:ind w:left="2628"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14617A99"/>
    <w:multiLevelType w:val="hybridMultilevel"/>
    <w:tmpl w:val="B4F82D4A"/>
    <w:lvl w:ilvl="0" w:tplc="D99484AC">
      <w:start w:val="1"/>
      <w:numFmt w:val="decimal"/>
      <w:lvlText w:val="%1."/>
      <w:lvlJc w:val="left"/>
      <w:pPr>
        <w:ind w:left="2628" w:hanging="360"/>
      </w:pPr>
      <w:rPr>
        <w:rFonts w:hint="default"/>
        <w:color w:val="171717" w:themeColor="background2" w:themeShade="1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15EA745F"/>
    <w:multiLevelType w:val="hybridMultilevel"/>
    <w:tmpl w:val="3F3AE306"/>
    <w:lvl w:ilvl="0" w:tplc="040C0017">
      <w:start w:val="1"/>
      <w:numFmt w:val="lowerLetter"/>
      <w:lvlText w:val="%1)"/>
      <w:lvlJc w:val="left"/>
      <w:pPr>
        <w:ind w:left="144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161726DE"/>
    <w:multiLevelType w:val="multilevel"/>
    <w:tmpl w:val="4A7A7922"/>
    <w:lvl w:ilvl="0">
      <w:start w:val="1"/>
      <w:numFmt w:val="decimal"/>
      <w:lvlText w:val="%1"/>
      <w:lvlJc w:val="left"/>
      <w:pPr>
        <w:ind w:left="720" w:hanging="360"/>
      </w:pPr>
      <w:rPr>
        <w:rFonts w:ascii="Arial" w:eastAsia="Arial" w:hAnsi="Arial" w:cs="Arial"/>
        <w:b/>
        <w:i w:val="0"/>
        <w:strike w:val="0"/>
        <w:dstrike w:val="0"/>
        <w:color w:val="000000"/>
        <w:sz w:val="28"/>
        <w:u w:val="none" w:color="000000"/>
        <w:bdr w:val="none" w:sz="0" w:space="0" w:color="auto"/>
        <w:shd w:val="clear" w:color="auto" w:fill="auto"/>
        <w:vertAlign w:val="baseline"/>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ascii="Calibri" w:hAnsi="Calibri" w:cs="Calibri" w:hint="default"/>
        <w:b w:val="0"/>
        <w:i/>
        <w:color w:val="7030A0"/>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16C656F2"/>
    <w:multiLevelType w:val="hybridMultilevel"/>
    <w:tmpl w:val="D988C73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1ACE1A26"/>
    <w:multiLevelType w:val="hybridMultilevel"/>
    <w:tmpl w:val="E91A305A"/>
    <w:lvl w:ilvl="0" w:tplc="E7AC71B0">
      <w:start w:val="1"/>
      <w:numFmt w:val="upperLetter"/>
      <w:lvlText w:val="%1."/>
      <w:lvlJc w:val="left"/>
      <w:pPr>
        <w:ind w:left="502" w:hanging="360"/>
      </w:pPr>
      <w:rPr>
        <w:rFonts w:hint="default"/>
        <w:sz w:val="28"/>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7">
    <w:nsid w:val="1CD13F4A"/>
    <w:multiLevelType w:val="hybridMultilevel"/>
    <w:tmpl w:val="6EF2CFA8"/>
    <w:lvl w:ilvl="0" w:tplc="040C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24AE507B"/>
    <w:multiLevelType w:val="hybridMultilevel"/>
    <w:tmpl w:val="832C9A8C"/>
    <w:lvl w:ilvl="0" w:tplc="EE4C588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555609B"/>
    <w:multiLevelType w:val="hybridMultilevel"/>
    <w:tmpl w:val="7EC247D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25BB21D9"/>
    <w:multiLevelType w:val="hybridMultilevel"/>
    <w:tmpl w:val="D2301254"/>
    <w:lvl w:ilvl="0" w:tplc="99BC30B4">
      <w:start w:val="1"/>
      <w:numFmt w:val="lowerRoman"/>
      <w:lvlText w:val="%1."/>
      <w:lvlJc w:val="right"/>
      <w:pPr>
        <w:ind w:left="1004" w:hanging="360"/>
      </w:pPr>
      <w:rPr>
        <w:b/>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21">
    <w:nsid w:val="27B87D5C"/>
    <w:multiLevelType w:val="hybridMultilevel"/>
    <w:tmpl w:val="A106D57C"/>
    <w:lvl w:ilvl="0" w:tplc="6C44DE4C">
      <w:start w:val="1"/>
      <w:numFmt w:val="decimal"/>
      <w:lvlText w:val="(%1)."/>
      <w:lvlJc w:val="left"/>
      <w:pPr>
        <w:ind w:left="2138" w:hanging="360"/>
      </w:pPr>
      <w:rPr>
        <w:rFonts w:hint="default"/>
        <w:b w:val="0"/>
        <w:i w:val="0"/>
        <w:strike w:val="0"/>
        <w:dstrike w:val="0"/>
        <w:color w:val="000000"/>
        <w:sz w:val="16"/>
        <w:u w:val="none" w:color="000000"/>
        <w:bdr w:val="none" w:sz="0" w:space="0" w:color="auto"/>
        <w:shd w:val="clear" w:color="auto" w:fill="auto"/>
        <w:vertAlign w:val="baseline"/>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22">
    <w:nsid w:val="28CC51D5"/>
    <w:multiLevelType w:val="hybridMultilevel"/>
    <w:tmpl w:val="9AEE1F6C"/>
    <w:lvl w:ilvl="0" w:tplc="D700C1F4">
      <w:start w:val="1"/>
      <w:numFmt w:val="decimal"/>
      <w:lvlText w:val="(%1)."/>
      <w:lvlJc w:val="left"/>
      <w:pPr>
        <w:ind w:left="2138" w:hanging="360"/>
      </w:pPr>
      <w:rPr>
        <w:rFonts w:hint="default"/>
        <w:b w:val="0"/>
        <w:i w:val="0"/>
        <w:strike w:val="0"/>
        <w:dstrike w:val="0"/>
        <w:color w:val="000000"/>
        <w:sz w:val="16"/>
        <w:szCs w:val="16"/>
        <w:u w:val="none" w:color="000000"/>
        <w:bdr w:val="none" w:sz="0" w:space="0" w:color="auto"/>
        <w:shd w:val="clear" w:color="auto" w:fill="auto"/>
        <w:vertAlign w:val="baseline"/>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23">
    <w:nsid w:val="2D4C6D4A"/>
    <w:multiLevelType w:val="hybridMultilevel"/>
    <w:tmpl w:val="9B023582"/>
    <w:lvl w:ilvl="0" w:tplc="A95CE046">
      <w:start w:val="4"/>
      <w:numFmt w:val="upperRoman"/>
      <w:lvlText w:val="%1."/>
      <w:lvlJc w:val="left"/>
      <w:pPr>
        <w:ind w:left="896"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30986929"/>
    <w:multiLevelType w:val="hybridMultilevel"/>
    <w:tmpl w:val="4986F8C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322A3540"/>
    <w:multiLevelType w:val="hybridMultilevel"/>
    <w:tmpl w:val="3DD22706"/>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33712B80"/>
    <w:multiLevelType w:val="hybridMultilevel"/>
    <w:tmpl w:val="EE6E87E6"/>
    <w:lvl w:ilvl="0" w:tplc="7AD23BD2">
      <w:start w:val="1"/>
      <w:numFmt w:val="lowerLetter"/>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33D35250"/>
    <w:multiLevelType w:val="hybridMultilevel"/>
    <w:tmpl w:val="F8EE59A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353B5D0A"/>
    <w:multiLevelType w:val="hybridMultilevel"/>
    <w:tmpl w:val="2F903428"/>
    <w:lvl w:ilvl="0" w:tplc="50EC012A">
      <w:start w:val="19"/>
      <w:numFmt w:val="bullet"/>
      <w:lvlText w:val="-"/>
      <w:lvlJc w:val="left"/>
      <w:pPr>
        <w:ind w:left="2628" w:hanging="360"/>
      </w:pPr>
      <w:rPr>
        <w:rFonts w:ascii="Calibri" w:eastAsia="Calibri" w:hAnsi="Calibri" w:cs="Times New Roman" w:hint="default"/>
        <w:b w:val="0"/>
        <w:i/>
        <w:strike w:val="0"/>
        <w:dstrike w:val="0"/>
        <w:color w:val="auto"/>
        <w:sz w:val="20"/>
        <w:u w:val="none" w:color="000000"/>
        <w:bdr w:val="none" w:sz="0" w:space="0" w:color="auto"/>
        <w:shd w:val="clear" w:color="auto" w:fill="auto"/>
        <w:vertAlign w:val="baseline"/>
      </w:rPr>
    </w:lvl>
    <w:lvl w:ilvl="1" w:tplc="040C0003" w:tentative="1">
      <w:start w:val="1"/>
      <w:numFmt w:val="bullet"/>
      <w:lvlText w:val="o"/>
      <w:lvlJc w:val="left"/>
      <w:pPr>
        <w:ind w:left="3348" w:hanging="360"/>
      </w:pPr>
      <w:rPr>
        <w:rFonts w:ascii="Courier New" w:hAnsi="Courier New" w:cs="Courier New" w:hint="default"/>
      </w:rPr>
    </w:lvl>
    <w:lvl w:ilvl="2" w:tplc="040C0005" w:tentative="1">
      <w:start w:val="1"/>
      <w:numFmt w:val="bullet"/>
      <w:lvlText w:val=""/>
      <w:lvlJc w:val="left"/>
      <w:pPr>
        <w:ind w:left="4068" w:hanging="360"/>
      </w:pPr>
      <w:rPr>
        <w:rFonts w:ascii="Wingdings" w:hAnsi="Wingdings" w:hint="default"/>
      </w:rPr>
    </w:lvl>
    <w:lvl w:ilvl="3" w:tplc="040C0001" w:tentative="1">
      <w:start w:val="1"/>
      <w:numFmt w:val="bullet"/>
      <w:lvlText w:val=""/>
      <w:lvlJc w:val="left"/>
      <w:pPr>
        <w:ind w:left="4788" w:hanging="360"/>
      </w:pPr>
      <w:rPr>
        <w:rFonts w:ascii="Symbol" w:hAnsi="Symbol" w:hint="default"/>
      </w:rPr>
    </w:lvl>
    <w:lvl w:ilvl="4" w:tplc="040C0003" w:tentative="1">
      <w:start w:val="1"/>
      <w:numFmt w:val="bullet"/>
      <w:lvlText w:val="o"/>
      <w:lvlJc w:val="left"/>
      <w:pPr>
        <w:ind w:left="5508" w:hanging="360"/>
      </w:pPr>
      <w:rPr>
        <w:rFonts w:ascii="Courier New" w:hAnsi="Courier New" w:cs="Courier New" w:hint="default"/>
      </w:rPr>
    </w:lvl>
    <w:lvl w:ilvl="5" w:tplc="040C0005" w:tentative="1">
      <w:start w:val="1"/>
      <w:numFmt w:val="bullet"/>
      <w:lvlText w:val=""/>
      <w:lvlJc w:val="left"/>
      <w:pPr>
        <w:ind w:left="6228" w:hanging="360"/>
      </w:pPr>
      <w:rPr>
        <w:rFonts w:ascii="Wingdings" w:hAnsi="Wingdings" w:hint="default"/>
      </w:rPr>
    </w:lvl>
    <w:lvl w:ilvl="6" w:tplc="040C0001" w:tentative="1">
      <w:start w:val="1"/>
      <w:numFmt w:val="bullet"/>
      <w:lvlText w:val=""/>
      <w:lvlJc w:val="left"/>
      <w:pPr>
        <w:ind w:left="6948" w:hanging="360"/>
      </w:pPr>
      <w:rPr>
        <w:rFonts w:ascii="Symbol" w:hAnsi="Symbol" w:hint="default"/>
      </w:rPr>
    </w:lvl>
    <w:lvl w:ilvl="7" w:tplc="040C0003" w:tentative="1">
      <w:start w:val="1"/>
      <w:numFmt w:val="bullet"/>
      <w:lvlText w:val="o"/>
      <w:lvlJc w:val="left"/>
      <w:pPr>
        <w:ind w:left="7668" w:hanging="360"/>
      </w:pPr>
      <w:rPr>
        <w:rFonts w:ascii="Courier New" w:hAnsi="Courier New" w:cs="Courier New" w:hint="default"/>
      </w:rPr>
    </w:lvl>
    <w:lvl w:ilvl="8" w:tplc="040C0005" w:tentative="1">
      <w:start w:val="1"/>
      <w:numFmt w:val="bullet"/>
      <w:lvlText w:val=""/>
      <w:lvlJc w:val="left"/>
      <w:pPr>
        <w:ind w:left="8388" w:hanging="360"/>
      </w:pPr>
      <w:rPr>
        <w:rFonts w:ascii="Wingdings" w:hAnsi="Wingdings" w:hint="default"/>
      </w:rPr>
    </w:lvl>
  </w:abstractNum>
  <w:abstractNum w:abstractNumId="29">
    <w:nsid w:val="362272E5"/>
    <w:multiLevelType w:val="hybridMultilevel"/>
    <w:tmpl w:val="C5D8736C"/>
    <w:lvl w:ilvl="0" w:tplc="6D3055BC">
      <w:start w:val="1"/>
      <w:numFmt w:val="lowerLetter"/>
      <w:lvlText w:val="%1)"/>
      <w:lvlJc w:val="left"/>
      <w:pPr>
        <w:ind w:left="710"/>
      </w:pPr>
      <w:rPr>
        <w:rFonts w:ascii="Calibri" w:eastAsia="Times New Roman" w:hAnsi="Calibri" w:cs="Calibri" w:hint="default"/>
        <w:b/>
        <w:i/>
        <w:strike w:val="0"/>
        <w:dstrike w:val="0"/>
        <w:color w:val="000000"/>
        <w:sz w:val="22"/>
        <w:u w:val="none" w:color="000000"/>
        <w:bdr w:val="none" w:sz="0" w:space="0" w:color="auto"/>
        <w:shd w:val="clear" w:color="auto" w:fill="auto"/>
        <w:vertAlign w:val="baseline"/>
      </w:rPr>
    </w:lvl>
    <w:lvl w:ilvl="1" w:tplc="569E4856">
      <w:start w:val="1"/>
      <w:numFmt w:val="lowerLetter"/>
      <w:lvlText w:val="%2"/>
      <w:lvlJc w:val="left"/>
      <w:pPr>
        <w:ind w:left="1339"/>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2" w:tplc="5DF4E004">
      <w:start w:val="1"/>
      <w:numFmt w:val="lowerRoman"/>
      <w:lvlText w:val="%3"/>
      <w:lvlJc w:val="left"/>
      <w:pPr>
        <w:ind w:left="2059"/>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3" w:tplc="BC7C912C">
      <w:start w:val="1"/>
      <w:numFmt w:val="decimal"/>
      <w:lvlText w:val="%4"/>
      <w:lvlJc w:val="left"/>
      <w:pPr>
        <w:ind w:left="2779"/>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4" w:tplc="C8D2A66C">
      <w:start w:val="1"/>
      <w:numFmt w:val="lowerLetter"/>
      <w:lvlText w:val="%5"/>
      <w:lvlJc w:val="left"/>
      <w:pPr>
        <w:ind w:left="3499"/>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5" w:tplc="15D85FD4">
      <w:start w:val="1"/>
      <w:numFmt w:val="lowerRoman"/>
      <w:lvlText w:val="%6"/>
      <w:lvlJc w:val="left"/>
      <w:pPr>
        <w:ind w:left="4219"/>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6" w:tplc="A1942668">
      <w:start w:val="1"/>
      <w:numFmt w:val="decimal"/>
      <w:lvlText w:val="%7"/>
      <w:lvlJc w:val="left"/>
      <w:pPr>
        <w:ind w:left="4939"/>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7" w:tplc="B716797C">
      <w:start w:val="1"/>
      <w:numFmt w:val="lowerLetter"/>
      <w:lvlText w:val="%8"/>
      <w:lvlJc w:val="left"/>
      <w:pPr>
        <w:ind w:left="5659"/>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8" w:tplc="2D0444AA">
      <w:start w:val="1"/>
      <w:numFmt w:val="lowerRoman"/>
      <w:lvlText w:val="%9"/>
      <w:lvlJc w:val="left"/>
      <w:pPr>
        <w:ind w:left="6379"/>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abstractNum>
  <w:abstractNum w:abstractNumId="30">
    <w:nsid w:val="36D07AF0"/>
    <w:multiLevelType w:val="hybridMultilevel"/>
    <w:tmpl w:val="5D2605BC"/>
    <w:lvl w:ilvl="0" w:tplc="50EC012A">
      <w:start w:val="19"/>
      <w:numFmt w:val="bullet"/>
      <w:lvlText w:val="-"/>
      <w:lvlJc w:val="left"/>
      <w:pPr>
        <w:ind w:left="720" w:hanging="360"/>
      </w:pPr>
      <w:rPr>
        <w:rFonts w:ascii="Calibri" w:eastAsia="Calibri" w:hAnsi="Calibri"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41C573A4"/>
    <w:multiLevelType w:val="hybridMultilevel"/>
    <w:tmpl w:val="8158A67A"/>
    <w:lvl w:ilvl="0" w:tplc="6FDEF510">
      <w:start w:val="2"/>
      <w:numFmt w:val="bullet"/>
      <w:lvlText w:val="-"/>
      <w:lvlJc w:val="left"/>
      <w:pPr>
        <w:ind w:left="720" w:hanging="360"/>
      </w:pPr>
      <w:rPr>
        <w:rFonts w:ascii="Arial" w:eastAsia="Times New Roman" w:hAnsi="Arial" w:cs="Arial" w:hint="default"/>
        <w:color w:val="E7E6E6" w:themeColor="background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4431574E"/>
    <w:multiLevelType w:val="hybridMultilevel"/>
    <w:tmpl w:val="2B56D450"/>
    <w:lvl w:ilvl="0" w:tplc="040C0009">
      <w:start w:val="1"/>
      <w:numFmt w:val="bullet"/>
      <w:lvlText w:val=""/>
      <w:lvlJc w:val="left"/>
      <w:pPr>
        <w:ind w:left="1648" w:hanging="360"/>
      </w:pPr>
      <w:rPr>
        <w:rFonts w:ascii="Wingdings" w:hAnsi="Wingdings" w:hint="default"/>
        <w:b w:val="0"/>
        <w:i w:val="0"/>
        <w:color w:val="auto"/>
        <w:sz w:val="24"/>
      </w:rPr>
    </w:lvl>
    <w:lvl w:ilvl="1" w:tplc="040C0019" w:tentative="1">
      <w:start w:val="1"/>
      <w:numFmt w:val="lowerLetter"/>
      <w:lvlText w:val="%2."/>
      <w:lvlJc w:val="left"/>
      <w:pPr>
        <w:ind w:left="2368" w:hanging="360"/>
      </w:pPr>
    </w:lvl>
    <w:lvl w:ilvl="2" w:tplc="040C001B" w:tentative="1">
      <w:start w:val="1"/>
      <w:numFmt w:val="lowerRoman"/>
      <w:lvlText w:val="%3."/>
      <w:lvlJc w:val="right"/>
      <w:pPr>
        <w:ind w:left="3088" w:hanging="180"/>
      </w:pPr>
    </w:lvl>
    <w:lvl w:ilvl="3" w:tplc="040C000F" w:tentative="1">
      <w:start w:val="1"/>
      <w:numFmt w:val="decimal"/>
      <w:lvlText w:val="%4."/>
      <w:lvlJc w:val="left"/>
      <w:pPr>
        <w:ind w:left="3808" w:hanging="360"/>
      </w:pPr>
    </w:lvl>
    <w:lvl w:ilvl="4" w:tplc="040C0019" w:tentative="1">
      <w:start w:val="1"/>
      <w:numFmt w:val="lowerLetter"/>
      <w:lvlText w:val="%5."/>
      <w:lvlJc w:val="left"/>
      <w:pPr>
        <w:ind w:left="4528" w:hanging="360"/>
      </w:pPr>
    </w:lvl>
    <w:lvl w:ilvl="5" w:tplc="040C001B" w:tentative="1">
      <w:start w:val="1"/>
      <w:numFmt w:val="lowerRoman"/>
      <w:lvlText w:val="%6."/>
      <w:lvlJc w:val="right"/>
      <w:pPr>
        <w:ind w:left="5248" w:hanging="180"/>
      </w:pPr>
    </w:lvl>
    <w:lvl w:ilvl="6" w:tplc="040C000F" w:tentative="1">
      <w:start w:val="1"/>
      <w:numFmt w:val="decimal"/>
      <w:lvlText w:val="%7."/>
      <w:lvlJc w:val="left"/>
      <w:pPr>
        <w:ind w:left="5968" w:hanging="360"/>
      </w:pPr>
    </w:lvl>
    <w:lvl w:ilvl="7" w:tplc="040C0019" w:tentative="1">
      <w:start w:val="1"/>
      <w:numFmt w:val="lowerLetter"/>
      <w:lvlText w:val="%8."/>
      <w:lvlJc w:val="left"/>
      <w:pPr>
        <w:ind w:left="6688" w:hanging="360"/>
      </w:pPr>
    </w:lvl>
    <w:lvl w:ilvl="8" w:tplc="040C001B" w:tentative="1">
      <w:start w:val="1"/>
      <w:numFmt w:val="lowerRoman"/>
      <w:lvlText w:val="%9."/>
      <w:lvlJc w:val="right"/>
      <w:pPr>
        <w:ind w:left="7408" w:hanging="180"/>
      </w:pPr>
    </w:lvl>
  </w:abstractNum>
  <w:abstractNum w:abstractNumId="33">
    <w:nsid w:val="44DF7024"/>
    <w:multiLevelType w:val="hybridMultilevel"/>
    <w:tmpl w:val="BCE427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470B2579"/>
    <w:multiLevelType w:val="hybridMultilevel"/>
    <w:tmpl w:val="9CA00FEE"/>
    <w:lvl w:ilvl="0" w:tplc="4C304898">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48104599"/>
    <w:multiLevelType w:val="hybridMultilevel"/>
    <w:tmpl w:val="4BAC78A4"/>
    <w:lvl w:ilvl="0" w:tplc="037AADD6">
      <w:start w:val="1"/>
      <w:numFmt w:val="lowerLetter"/>
      <w:lvlText w:val="%1)"/>
      <w:lvlJc w:val="left"/>
      <w:pPr>
        <w:ind w:left="710" w:firstLine="0"/>
      </w:pPr>
      <w:rPr>
        <w:rFonts w:ascii="Calibri" w:eastAsia="Times New Roman" w:hAnsi="Calibri" w:cs="Calibri" w:hint="default"/>
        <w:b/>
        <w:i/>
        <w:strike w:val="0"/>
        <w:dstrike w:val="0"/>
        <w:color w:val="000000"/>
        <w:sz w:val="22"/>
        <w:u w:val="none" w:color="000000"/>
        <w:vertAlign w:val="baseline"/>
      </w:rPr>
    </w:lvl>
    <w:lvl w:ilvl="1" w:tplc="8D043750">
      <w:start w:val="1"/>
      <w:numFmt w:val="low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4B0D6558"/>
    <w:multiLevelType w:val="hybridMultilevel"/>
    <w:tmpl w:val="6832AF1A"/>
    <w:lvl w:ilvl="0" w:tplc="040C0011">
      <w:start w:val="1"/>
      <w:numFmt w:val="decimal"/>
      <w:lvlText w:val="%1)"/>
      <w:lvlJc w:val="left"/>
      <w:pPr>
        <w:ind w:left="786" w:hanging="360"/>
      </w:pPr>
      <w:rPr>
        <w:rFonts w:hint="default"/>
        <w:sz w:val="22"/>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37">
    <w:nsid w:val="4D237FC5"/>
    <w:multiLevelType w:val="hybridMultilevel"/>
    <w:tmpl w:val="09A42A78"/>
    <w:lvl w:ilvl="0" w:tplc="EE4C5880">
      <w:numFmt w:val="bullet"/>
      <w:lvlText w:val="-"/>
      <w:lvlJc w:val="left"/>
      <w:pPr>
        <w:ind w:left="735" w:hanging="360"/>
      </w:pPr>
      <w:rPr>
        <w:rFonts w:ascii="Arial" w:eastAsia="Times New Roman" w:hAnsi="Arial" w:cs="Arial" w:hint="default"/>
      </w:rPr>
    </w:lvl>
    <w:lvl w:ilvl="1" w:tplc="040C0003" w:tentative="1">
      <w:start w:val="1"/>
      <w:numFmt w:val="bullet"/>
      <w:lvlText w:val="o"/>
      <w:lvlJc w:val="left"/>
      <w:pPr>
        <w:ind w:left="1455" w:hanging="360"/>
      </w:pPr>
      <w:rPr>
        <w:rFonts w:ascii="Courier New" w:hAnsi="Courier New" w:cs="Courier New" w:hint="default"/>
      </w:rPr>
    </w:lvl>
    <w:lvl w:ilvl="2" w:tplc="040C0005" w:tentative="1">
      <w:start w:val="1"/>
      <w:numFmt w:val="bullet"/>
      <w:lvlText w:val=""/>
      <w:lvlJc w:val="left"/>
      <w:pPr>
        <w:ind w:left="2175" w:hanging="360"/>
      </w:pPr>
      <w:rPr>
        <w:rFonts w:ascii="Wingdings" w:hAnsi="Wingdings" w:hint="default"/>
      </w:rPr>
    </w:lvl>
    <w:lvl w:ilvl="3" w:tplc="040C0001" w:tentative="1">
      <w:start w:val="1"/>
      <w:numFmt w:val="bullet"/>
      <w:lvlText w:val=""/>
      <w:lvlJc w:val="left"/>
      <w:pPr>
        <w:ind w:left="2895" w:hanging="360"/>
      </w:pPr>
      <w:rPr>
        <w:rFonts w:ascii="Symbol" w:hAnsi="Symbol" w:hint="default"/>
      </w:rPr>
    </w:lvl>
    <w:lvl w:ilvl="4" w:tplc="040C0003" w:tentative="1">
      <w:start w:val="1"/>
      <w:numFmt w:val="bullet"/>
      <w:lvlText w:val="o"/>
      <w:lvlJc w:val="left"/>
      <w:pPr>
        <w:ind w:left="3615" w:hanging="360"/>
      </w:pPr>
      <w:rPr>
        <w:rFonts w:ascii="Courier New" w:hAnsi="Courier New" w:cs="Courier New" w:hint="default"/>
      </w:rPr>
    </w:lvl>
    <w:lvl w:ilvl="5" w:tplc="040C0005" w:tentative="1">
      <w:start w:val="1"/>
      <w:numFmt w:val="bullet"/>
      <w:lvlText w:val=""/>
      <w:lvlJc w:val="left"/>
      <w:pPr>
        <w:ind w:left="4335" w:hanging="360"/>
      </w:pPr>
      <w:rPr>
        <w:rFonts w:ascii="Wingdings" w:hAnsi="Wingdings" w:hint="default"/>
      </w:rPr>
    </w:lvl>
    <w:lvl w:ilvl="6" w:tplc="040C0001" w:tentative="1">
      <w:start w:val="1"/>
      <w:numFmt w:val="bullet"/>
      <w:lvlText w:val=""/>
      <w:lvlJc w:val="left"/>
      <w:pPr>
        <w:ind w:left="5055" w:hanging="360"/>
      </w:pPr>
      <w:rPr>
        <w:rFonts w:ascii="Symbol" w:hAnsi="Symbol" w:hint="default"/>
      </w:rPr>
    </w:lvl>
    <w:lvl w:ilvl="7" w:tplc="040C0003" w:tentative="1">
      <w:start w:val="1"/>
      <w:numFmt w:val="bullet"/>
      <w:lvlText w:val="o"/>
      <w:lvlJc w:val="left"/>
      <w:pPr>
        <w:ind w:left="5775" w:hanging="360"/>
      </w:pPr>
      <w:rPr>
        <w:rFonts w:ascii="Courier New" w:hAnsi="Courier New" w:cs="Courier New" w:hint="default"/>
      </w:rPr>
    </w:lvl>
    <w:lvl w:ilvl="8" w:tplc="040C0005" w:tentative="1">
      <w:start w:val="1"/>
      <w:numFmt w:val="bullet"/>
      <w:lvlText w:val=""/>
      <w:lvlJc w:val="left"/>
      <w:pPr>
        <w:ind w:left="6495" w:hanging="360"/>
      </w:pPr>
      <w:rPr>
        <w:rFonts w:ascii="Wingdings" w:hAnsi="Wingdings" w:hint="default"/>
      </w:rPr>
    </w:lvl>
  </w:abstractNum>
  <w:abstractNum w:abstractNumId="38">
    <w:nsid w:val="4DBD087D"/>
    <w:multiLevelType w:val="hybridMultilevel"/>
    <w:tmpl w:val="540806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4FE831F2"/>
    <w:multiLevelType w:val="hybridMultilevel"/>
    <w:tmpl w:val="B044C1DC"/>
    <w:lvl w:ilvl="0" w:tplc="6FDEF510">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53147F54"/>
    <w:multiLevelType w:val="hybridMultilevel"/>
    <w:tmpl w:val="C0389BD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53E828A0"/>
    <w:multiLevelType w:val="hybridMultilevel"/>
    <w:tmpl w:val="6DC6D690"/>
    <w:lvl w:ilvl="0" w:tplc="EE4C5880">
      <w:numFmt w:val="bullet"/>
      <w:lvlText w:val="-"/>
      <w:lvlJc w:val="left"/>
      <w:pPr>
        <w:ind w:left="735" w:hanging="360"/>
      </w:pPr>
      <w:rPr>
        <w:rFonts w:ascii="Arial" w:eastAsia="Times New Roman" w:hAnsi="Arial" w:cs="Arial" w:hint="default"/>
      </w:rPr>
    </w:lvl>
    <w:lvl w:ilvl="1" w:tplc="040C0003" w:tentative="1">
      <w:start w:val="1"/>
      <w:numFmt w:val="bullet"/>
      <w:lvlText w:val="o"/>
      <w:lvlJc w:val="left"/>
      <w:pPr>
        <w:ind w:left="1455" w:hanging="360"/>
      </w:pPr>
      <w:rPr>
        <w:rFonts w:ascii="Courier New" w:hAnsi="Courier New" w:cs="Courier New" w:hint="default"/>
      </w:rPr>
    </w:lvl>
    <w:lvl w:ilvl="2" w:tplc="040C0005" w:tentative="1">
      <w:start w:val="1"/>
      <w:numFmt w:val="bullet"/>
      <w:lvlText w:val=""/>
      <w:lvlJc w:val="left"/>
      <w:pPr>
        <w:ind w:left="2175" w:hanging="360"/>
      </w:pPr>
      <w:rPr>
        <w:rFonts w:ascii="Wingdings" w:hAnsi="Wingdings" w:hint="default"/>
      </w:rPr>
    </w:lvl>
    <w:lvl w:ilvl="3" w:tplc="040C0001" w:tentative="1">
      <w:start w:val="1"/>
      <w:numFmt w:val="bullet"/>
      <w:lvlText w:val=""/>
      <w:lvlJc w:val="left"/>
      <w:pPr>
        <w:ind w:left="2895" w:hanging="360"/>
      </w:pPr>
      <w:rPr>
        <w:rFonts w:ascii="Symbol" w:hAnsi="Symbol" w:hint="default"/>
      </w:rPr>
    </w:lvl>
    <w:lvl w:ilvl="4" w:tplc="040C0003" w:tentative="1">
      <w:start w:val="1"/>
      <w:numFmt w:val="bullet"/>
      <w:lvlText w:val="o"/>
      <w:lvlJc w:val="left"/>
      <w:pPr>
        <w:ind w:left="3615" w:hanging="360"/>
      </w:pPr>
      <w:rPr>
        <w:rFonts w:ascii="Courier New" w:hAnsi="Courier New" w:cs="Courier New" w:hint="default"/>
      </w:rPr>
    </w:lvl>
    <w:lvl w:ilvl="5" w:tplc="040C0005" w:tentative="1">
      <w:start w:val="1"/>
      <w:numFmt w:val="bullet"/>
      <w:lvlText w:val=""/>
      <w:lvlJc w:val="left"/>
      <w:pPr>
        <w:ind w:left="4335" w:hanging="360"/>
      </w:pPr>
      <w:rPr>
        <w:rFonts w:ascii="Wingdings" w:hAnsi="Wingdings" w:hint="default"/>
      </w:rPr>
    </w:lvl>
    <w:lvl w:ilvl="6" w:tplc="040C0001" w:tentative="1">
      <w:start w:val="1"/>
      <w:numFmt w:val="bullet"/>
      <w:lvlText w:val=""/>
      <w:lvlJc w:val="left"/>
      <w:pPr>
        <w:ind w:left="5055" w:hanging="360"/>
      </w:pPr>
      <w:rPr>
        <w:rFonts w:ascii="Symbol" w:hAnsi="Symbol" w:hint="default"/>
      </w:rPr>
    </w:lvl>
    <w:lvl w:ilvl="7" w:tplc="040C0003" w:tentative="1">
      <w:start w:val="1"/>
      <w:numFmt w:val="bullet"/>
      <w:lvlText w:val="o"/>
      <w:lvlJc w:val="left"/>
      <w:pPr>
        <w:ind w:left="5775" w:hanging="360"/>
      </w:pPr>
      <w:rPr>
        <w:rFonts w:ascii="Courier New" w:hAnsi="Courier New" w:cs="Courier New" w:hint="default"/>
      </w:rPr>
    </w:lvl>
    <w:lvl w:ilvl="8" w:tplc="040C0005" w:tentative="1">
      <w:start w:val="1"/>
      <w:numFmt w:val="bullet"/>
      <w:lvlText w:val=""/>
      <w:lvlJc w:val="left"/>
      <w:pPr>
        <w:ind w:left="6495" w:hanging="360"/>
      </w:pPr>
      <w:rPr>
        <w:rFonts w:ascii="Wingdings" w:hAnsi="Wingdings" w:hint="default"/>
      </w:rPr>
    </w:lvl>
  </w:abstractNum>
  <w:abstractNum w:abstractNumId="42">
    <w:nsid w:val="553E6A52"/>
    <w:multiLevelType w:val="hybridMultilevel"/>
    <w:tmpl w:val="D3C84492"/>
    <w:lvl w:ilvl="0" w:tplc="040C0001">
      <w:start w:val="1"/>
      <w:numFmt w:val="bullet"/>
      <w:lvlText w:val=""/>
      <w:lvlJc w:val="left"/>
      <w:pPr>
        <w:ind w:left="1287" w:hanging="360"/>
      </w:pPr>
      <w:rPr>
        <w:rFonts w:ascii="Symbol" w:hAnsi="Symbol" w:hint="default"/>
      </w:rPr>
    </w:lvl>
    <w:lvl w:ilvl="1" w:tplc="C958D3A2">
      <w:start w:val="1"/>
      <w:numFmt w:val="lowerLetter"/>
      <w:lvlText w:val="%2)"/>
      <w:lvlJc w:val="left"/>
      <w:pPr>
        <w:ind w:left="2007" w:hanging="360"/>
      </w:pPr>
      <w:rPr>
        <w:rFonts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3">
    <w:nsid w:val="56415086"/>
    <w:multiLevelType w:val="hybridMultilevel"/>
    <w:tmpl w:val="A1FA690E"/>
    <w:lvl w:ilvl="0" w:tplc="C2CCAA56">
      <w:start w:val="1"/>
      <w:numFmt w:val="bullet"/>
      <w:lvlText w:val="▪"/>
      <w:lvlJc w:val="left"/>
      <w:pPr>
        <w:ind w:left="2138" w:hanging="36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1" w:tplc="A40AAB06">
      <w:start w:val="1"/>
      <w:numFmt w:val="decimal"/>
      <w:lvlText w:val="(%2)."/>
      <w:lvlJc w:val="left"/>
      <w:pPr>
        <w:ind w:left="1353" w:hanging="360"/>
      </w:pPr>
      <w:rPr>
        <w:rFonts w:hint="default"/>
        <w:sz w:val="16"/>
        <w:szCs w:val="16"/>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44">
    <w:nsid w:val="57C30C5D"/>
    <w:multiLevelType w:val="hybridMultilevel"/>
    <w:tmpl w:val="9822F64A"/>
    <w:lvl w:ilvl="0" w:tplc="0BA653F4">
      <w:start w:val="1"/>
      <w:numFmt w:val="lowerLetter"/>
      <w:lvlText w:val="%1)"/>
      <w:lvlJc w:val="left"/>
      <w:pPr>
        <w:ind w:left="1070" w:hanging="360"/>
      </w:pPr>
      <w:rPr>
        <w:rFonts w:ascii="Calibri" w:hAnsi="Calibri" w:cs="Calibri" w:hint="default"/>
        <w:b/>
        <w:i/>
        <w:sz w:val="22"/>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45">
    <w:nsid w:val="59153558"/>
    <w:multiLevelType w:val="hybridMultilevel"/>
    <w:tmpl w:val="E01E8286"/>
    <w:lvl w:ilvl="0" w:tplc="52B0998E">
      <w:start w:val="7"/>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5AF00034"/>
    <w:multiLevelType w:val="hybridMultilevel"/>
    <w:tmpl w:val="444EE1C6"/>
    <w:lvl w:ilvl="0" w:tplc="C2083EF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5BFC1FA7"/>
    <w:multiLevelType w:val="hybridMultilevel"/>
    <w:tmpl w:val="72628D64"/>
    <w:lvl w:ilvl="0" w:tplc="040C0017">
      <w:start w:val="1"/>
      <w:numFmt w:val="lowerLetter"/>
      <w:lvlText w:val="%1)"/>
      <w:lvlJc w:val="left"/>
      <w:pPr>
        <w:ind w:left="720" w:hanging="360"/>
      </w:pPr>
    </w:lvl>
    <w:lvl w:ilvl="1" w:tplc="966EA7D8">
      <w:start w:val="1"/>
      <w:numFmt w:val="decimal"/>
      <w:lvlText w:val="%2."/>
      <w:lvlJc w:val="left"/>
      <w:pPr>
        <w:ind w:left="1440" w:hanging="360"/>
      </w:pPr>
      <w:rPr>
        <w:rFonts w:hint="default"/>
        <w:color w:val="171717" w:themeColor="background2" w:themeShade="1A"/>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5C561840"/>
    <w:multiLevelType w:val="hybridMultilevel"/>
    <w:tmpl w:val="E624A67A"/>
    <w:lvl w:ilvl="0" w:tplc="6FDEF510">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nsid w:val="5EC44AFD"/>
    <w:multiLevelType w:val="hybridMultilevel"/>
    <w:tmpl w:val="E69A5886"/>
    <w:lvl w:ilvl="0" w:tplc="6FDEF510">
      <w:start w:val="2"/>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0">
    <w:nsid w:val="65BE6D3C"/>
    <w:multiLevelType w:val="hybridMultilevel"/>
    <w:tmpl w:val="2B6674F6"/>
    <w:lvl w:ilvl="0" w:tplc="87AEB614">
      <w:start w:val="1"/>
      <w:numFmt w:val="decimal"/>
      <w:lvlText w:val="(%1)."/>
      <w:lvlJc w:val="left"/>
      <w:pPr>
        <w:ind w:left="2138" w:hanging="360"/>
      </w:pPr>
      <w:rPr>
        <w:rFonts w:hint="default"/>
        <w:b w:val="0"/>
        <w:i/>
        <w:strike w:val="0"/>
        <w:dstrike w:val="0"/>
        <w:color w:val="auto"/>
        <w:sz w:val="16"/>
        <w:szCs w:val="16"/>
        <w:u w:val="none" w:color="000000"/>
        <w:bdr w:val="none" w:sz="0" w:space="0" w:color="auto"/>
        <w:shd w:val="clear" w:color="auto" w:fill="auto"/>
        <w:vertAlign w:val="baseline"/>
      </w:rPr>
    </w:lvl>
    <w:lvl w:ilvl="1" w:tplc="040C0003">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51">
    <w:nsid w:val="6A7553A6"/>
    <w:multiLevelType w:val="multilevel"/>
    <w:tmpl w:val="0972D2F2"/>
    <w:lvl w:ilvl="0">
      <w:start w:val="1"/>
      <w:numFmt w:val="upperRoman"/>
      <w:lvlText w:val="%1."/>
      <w:lvlJc w:val="left"/>
      <w:pPr>
        <w:ind w:left="862" w:hanging="720"/>
      </w:pPr>
      <w:rPr>
        <w:rFonts w:hint="default"/>
        <w:i w:val="0"/>
        <w:sz w:val="28"/>
        <w:szCs w:val="28"/>
      </w:rPr>
    </w:lvl>
    <w:lvl w:ilvl="1">
      <w:start w:val="2"/>
      <w:numFmt w:val="decimal"/>
      <w:isLgl/>
      <w:lvlText w:val="%1.%2."/>
      <w:lvlJc w:val="left"/>
      <w:pPr>
        <w:ind w:left="1216" w:hanging="720"/>
      </w:pPr>
      <w:rPr>
        <w:rFonts w:hint="default"/>
      </w:rPr>
    </w:lvl>
    <w:lvl w:ilvl="2">
      <w:start w:val="3"/>
      <w:numFmt w:val="decimal"/>
      <w:isLgl/>
      <w:lvlText w:val="%1.%2.%3."/>
      <w:lvlJc w:val="left"/>
      <w:pPr>
        <w:ind w:left="1570" w:hanging="720"/>
      </w:pPr>
      <w:rPr>
        <w:rFonts w:hint="default"/>
      </w:rPr>
    </w:lvl>
    <w:lvl w:ilvl="3">
      <w:start w:val="1"/>
      <w:numFmt w:val="decimal"/>
      <w:isLgl/>
      <w:lvlText w:val="%1.%2.%3.%4."/>
      <w:lvlJc w:val="left"/>
      <w:pPr>
        <w:ind w:left="2284" w:hanging="1080"/>
      </w:pPr>
      <w:rPr>
        <w:rFonts w:hint="default"/>
      </w:rPr>
    </w:lvl>
    <w:lvl w:ilvl="4">
      <w:start w:val="1"/>
      <w:numFmt w:val="decimal"/>
      <w:isLgl/>
      <w:lvlText w:val="%1.%2.%3.%4.%5."/>
      <w:lvlJc w:val="left"/>
      <w:pPr>
        <w:ind w:left="2998" w:hanging="1440"/>
      </w:pPr>
      <w:rPr>
        <w:rFonts w:hint="default"/>
      </w:rPr>
    </w:lvl>
    <w:lvl w:ilvl="5">
      <w:start w:val="1"/>
      <w:numFmt w:val="decimal"/>
      <w:isLgl/>
      <w:lvlText w:val="%1.%2.%3.%4.%5.%6."/>
      <w:lvlJc w:val="left"/>
      <w:pPr>
        <w:ind w:left="3352" w:hanging="1440"/>
      </w:pPr>
      <w:rPr>
        <w:rFonts w:hint="default"/>
      </w:rPr>
    </w:lvl>
    <w:lvl w:ilvl="6">
      <w:start w:val="1"/>
      <w:numFmt w:val="decimal"/>
      <w:isLgl/>
      <w:lvlText w:val="%1.%2.%3.%4.%5.%6.%7."/>
      <w:lvlJc w:val="left"/>
      <w:pPr>
        <w:ind w:left="4066" w:hanging="1800"/>
      </w:pPr>
      <w:rPr>
        <w:rFonts w:hint="default"/>
      </w:rPr>
    </w:lvl>
    <w:lvl w:ilvl="7">
      <w:start w:val="1"/>
      <w:numFmt w:val="decimal"/>
      <w:isLgl/>
      <w:lvlText w:val="%1.%2.%3.%4.%5.%6.%7.%8."/>
      <w:lvlJc w:val="left"/>
      <w:pPr>
        <w:ind w:left="4420" w:hanging="1800"/>
      </w:pPr>
      <w:rPr>
        <w:rFonts w:hint="default"/>
      </w:rPr>
    </w:lvl>
    <w:lvl w:ilvl="8">
      <w:start w:val="1"/>
      <w:numFmt w:val="decimal"/>
      <w:isLgl/>
      <w:lvlText w:val="%1.%2.%3.%4.%5.%6.%7.%8.%9."/>
      <w:lvlJc w:val="left"/>
      <w:pPr>
        <w:ind w:left="5134" w:hanging="2160"/>
      </w:pPr>
      <w:rPr>
        <w:rFonts w:hint="default"/>
      </w:rPr>
    </w:lvl>
  </w:abstractNum>
  <w:abstractNum w:abstractNumId="52">
    <w:nsid w:val="6A8124A3"/>
    <w:multiLevelType w:val="hybridMultilevel"/>
    <w:tmpl w:val="7BDC2358"/>
    <w:lvl w:ilvl="0" w:tplc="2A50AF2A">
      <w:start w:val="1"/>
      <w:numFmt w:val="decimal"/>
      <w:lvlText w:val="(%1)."/>
      <w:lvlJc w:val="left"/>
      <w:pPr>
        <w:ind w:left="720" w:hanging="360"/>
      </w:pPr>
      <w:rPr>
        <w:rFonts w:hint="default"/>
        <w:i/>
        <w:sz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nsid w:val="6A9D5BF0"/>
    <w:multiLevelType w:val="hybridMultilevel"/>
    <w:tmpl w:val="A8786C82"/>
    <w:lvl w:ilvl="0" w:tplc="EE4C5880">
      <w:numFmt w:val="bullet"/>
      <w:lvlText w:val="-"/>
      <w:lvlJc w:val="left"/>
      <w:pPr>
        <w:ind w:left="3414" w:hanging="360"/>
      </w:pPr>
      <w:rPr>
        <w:rFonts w:ascii="Arial" w:eastAsia="Times New Roman" w:hAnsi="Arial" w:cs="Arial" w:hint="default"/>
      </w:rPr>
    </w:lvl>
    <w:lvl w:ilvl="1" w:tplc="040C0003" w:tentative="1">
      <w:start w:val="1"/>
      <w:numFmt w:val="bullet"/>
      <w:lvlText w:val="o"/>
      <w:lvlJc w:val="left"/>
      <w:pPr>
        <w:ind w:left="4134" w:hanging="360"/>
      </w:pPr>
      <w:rPr>
        <w:rFonts w:ascii="Courier New" w:hAnsi="Courier New" w:cs="Courier New" w:hint="default"/>
      </w:rPr>
    </w:lvl>
    <w:lvl w:ilvl="2" w:tplc="040C0005" w:tentative="1">
      <w:start w:val="1"/>
      <w:numFmt w:val="bullet"/>
      <w:lvlText w:val=""/>
      <w:lvlJc w:val="left"/>
      <w:pPr>
        <w:ind w:left="4854" w:hanging="360"/>
      </w:pPr>
      <w:rPr>
        <w:rFonts w:ascii="Wingdings" w:hAnsi="Wingdings" w:hint="default"/>
      </w:rPr>
    </w:lvl>
    <w:lvl w:ilvl="3" w:tplc="040C0001" w:tentative="1">
      <w:start w:val="1"/>
      <w:numFmt w:val="bullet"/>
      <w:lvlText w:val=""/>
      <w:lvlJc w:val="left"/>
      <w:pPr>
        <w:ind w:left="5574" w:hanging="360"/>
      </w:pPr>
      <w:rPr>
        <w:rFonts w:ascii="Symbol" w:hAnsi="Symbol" w:hint="default"/>
      </w:rPr>
    </w:lvl>
    <w:lvl w:ilvl="4" w:tplc="040C0003" w:tentative="1">
      <w:start w:val="1"/>
      <w:numFmt w:val="bullet"/>
      <w:lvlText w:val="o"/>
      <w:lvlJc w:val="left"/>
      <w:pPr>
        <w:ind w:left="6294" w:hanging="360"/>
      </w:pPr>
      <w:rPr>
        <w:rFonts w:ascii="Courier New" w:hAnsi="Courier New" w:cs="Courier New" w:hint="default"/>
      </w:rPr>
    </w:lvl>
    <w:lvl w:ilvl="5" w:tplc="040C0005" w:tentative="1">
      <w:start w:val="1"/>
      <w:numFmt w:val="bullet"/>
      <w:lvlText w:val=""/>
      <w:lvlJc w:val="left"/>
      <w:pPr>
        <w:ind w:left="7014" w:hanging="360"/>
      </w:pPr>
      <w:rPr>
        <w:rFonts w:ascii="Wingdings" w:hAnsi="Wingdings" w:hint="default"/>
      </w:rPr>
    </w:lvl>
    <w:lvl w:ilvl="6" w:tplc="040C0001" w:tentative="1">
      <w:start w:val="1"/>
      <w:numFmt w:val="bullet"/>
      <w:lvlText w:val=""/>
      <w:lvlJc w:val="left"/>
      <w:pPr>
        <w:ind w:left="7734" w:hanging="360"/>
      </w:pPr>
      <w:rPr>
        <w:rFonts w:ascii="Symbol" w:hAnsi="Symbol" w:hint="default"/>
      </w:rPr>
    </w:lvl>
    <w:lvl w:ilvl="7" w:tplc="040C0003" w:tentative="1">
      <w:start w:val="1"/>
      <w:numFmt w:val="bullet"/>
      <w:lvlText w:val="o"/>
      <w:lvlJc w:val="left"/>
      <w:pPr>
        <w:ind w:left="8454" w:hanging="360"/>
      </w:pPr>
      <w:rPr>
        <w:rFonts w:ascii="Courier New" w:hAnsi="Courier New" w:cs="Courier New" w:hint="default"/>
      </w:rPr>
    </w:lvl>
    <w:lvl w:ilvl="8" w:tplc="040C0005" w:tentative="1">
      <w:start w:val="1"/>
      <w:numFmt w:val="bullet"/>
      <w:lvlText w:val=""/>
      <w:lvlJc w:val="left"/>
      <w:pPr>
        <w:ind w:left="9174" w:hanging="360"/>
      </w:pPr>
      <w:rPr>
        <w:rFonts w:ascii="Wingdings" w:hAnsi="Wingdings" w:hint="default"/>
      </w:rPr>
    </w:lvl>
  </w:abstractNum>
  <w:abstractNum w:abstractNumId="54">
    <w:nsid w:val="6BE03D75"/>
    <w:multiLevelType w:val="hybridMultilevel"/>
    <w:tmpl w:val="CCAC6798"/>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nsid w:val="6C0C48F4"/>
    <w:multiLevelType w:val="hybridMultilevel"/>
    <w:tmpl w:val="779C3778"/>
    <w:lvl w:ilvl="0" w:tplc="988003FE">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56">
    <w:nsid w:val="6C874493"/>
    <w:multiLevelType w:val="hybridMultilevel"/>
    <w:tmpl w:val="ACAA804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nsid w:val="6DB63B76"/>
    <w:multiLevelType w:val="hybridMultilevel"/>
    <w:tmpl w:val="E488E2B6"/>
    <w:lvl w:ilvl="0" w:tplc="8224091C">
      <w:start w:val="1"/>
      <w:numFmt w:val="lowerLetter"/>
      <w:lvlText w:val="%1."/>
      <w:lvlJc w:val="left"/>
      <w:pPr>
        <w:ind w:left="2345" w:hanging="360"/>
      </w:pPr>
      <w:rPr>
        <w:rFonts w:hint="default"/>
        <w:b/>
      </w:rPr>
    </w:lvl>
    <w:lvl w:ilvl="1" w:tplc="040C0019" w:tentative="1">
      <w:start w:val="1"/>
      <w:numFmt w:val="lowerLetter"/>
      <w:lvlText w:val="%2."/>
      <w:lvlJc w:val="left"/>
      <w:pPr>
        <w:ind w:left="3065" w:hanging="360"/>
      </w:pPr>
    </w:lvl>
    <w:lvl w:ilvl="2" w:tplc="040C001B" w:tentative="1">
      <w:start w:val="1"/>
      <w:numFmt w:val="lowerRoman"/>
      <w:lvlText w:val="%3."/>
      <w:lvlJc w:val="right"/>
      <w:pPr>
        <w:ind w:left="3785" w:hanging="180"/>
      </w:pPr>
    </w:lvl>
    <w:lvl w:ilvl="3" w:tplc="040C000F" w:tentative="1">
      <w:start w:val="1"/>
      <w:numFmt w:val="decimal"/>
      <w:lvlText w:val="%4."/>
      <w:lvlJc w:val="left"/>
      <w:pPr>
        <w:ind w:left="4505" w:hanging="360"/>
      </w:pPr>
    </w:lvl>
    <w:lvl w:ilvl="4" w:tplc="040C0019" w:tentative="1">
      <w:start w:val="1"/>
      <w:numFmt w:val="lowerLetter"/>
      <w:lvlText w:val="%5."/>
      <w:lvlJc w:val="left"/>
      <w:pPr>
        <w:ind w:left="5225" w:hanging="360"/>
      </w:pPr>
    </w:lvl>
    <w:lvl w:ilvl="5" w:tplc="040C001B" w:tentative="1">
      <w:start w:val="1"/>
      <w:numFmt w:val="lowerRoman"/>
      <w:lvlText w:val="%6."/>
      <w:lvlJc w:val="right"/>
      <w:pPr>
        <w:ind w:left="5945" w:hanging="180"/>
      </w:pPr>
    </w:lvl>
    <w:lvl w:ilvl="6" w:tplc="040C000F" w:tentative="1">
      <w:start w:val="1"/>
      <w:numFmt w:val="decimal"/>
      <w:lvlText w:val="%7."/>
      <w:lvlJc w:val="left"/>
      <w:pPr>
        <w:ind w:left="6665" w:hanging="360"/>
      </w:pPr>
    </w:lvl>
    <w:lvl w:ilvl="7" w:tplc="040C0019" w:tentative="1">
      <w:start w:val="1"/>
      <w:numFmt w:val="lowerLetter"/>
      <w:lvlText w:val="%8."/>
      <w:lvlJc w:val="left"/>
      <w:pPr>
        <w:ind w:left="7385" w:hanging="360"/>
      </w:pPr>
    </w:lvl>
    <w:lvl w:ilvl="8" w:tplc="040C001B" w:tentative="1">
      <w:start w:val="1"/>
      <w:numFmt w:val="lowerRoman"/>
      <w:lvlText w:val="%9."/>
      <w:lvlJc w:val="right"/>
      <w:pPr>
        <w:ind w:left="8105" w:hanging="180"/>
      </w:pPr>
    </w:lvl>
  </w:abstractNum>
  <w:abstractNum w:abstractNumId="58">
    <w:nsid w:val="6F822B42"/>
    <w:multiLevelType w:val="hybridMultilevel"/>
    <w:tmpl w:val="6992966E"/>
    <w:lvl w:ilvl="0" w:tplc="EE4C588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nsid w:val="703150FF"/>
    <w:multiLevelType w:val="hybridMultilevel"/>
    <w:tmpl w:val="31CE3424"/>
    <w:lvl w:ilvl="0" w:tplc="040C000D">
      <w:start w:val="1"/>
      <w:numFmt w:val="bullet"/>
      <w:lvlText w:val=""/>
      <w:lvlJc w:val="left"/>
      <w:pPr>
        <w:ind w:left="2138" w:hanging="360"/>
      </w:pPr>
      <w:rPr>
        <w:rFonts w:ascii="Wingdings" w:hAnsi="Wingdings"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60">
    <w:nsid w:val="730B47A0"/>
    <w:multiLevelType w:val="hybridMultilevel"/>
    <w:tmpl w:val="FDD0CB98"/>
    <w:lvl w:ilvl="0" w:tplc="EE4C588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nsid w:val="75FB6711"/>
    <w:multiLevelType w:val="hybridMultilevel"/>
    <w:tmpl w:val="77AA4BBE"/>
    <w:lvl w:ilvl="0" w:tplc="EE4C588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nsid w:val="79F62C2C"/>
    <w:multiLevelType w:val="hybridMultilevel"/>
    <w:tmpl w:val="735894DE"/>
    <w:lvl w:ilvl="0" w:tplc="6FDEF510">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nsid w:val="7DBB3B3C"/>
    <w:multiLevelType w:val="hybridMultilevel"/>
    <w:tmpl w:val="5BC8981E"/>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nsid w:val="7E054E52"/>
    <w:multiLevelType w:val="hybridMultilevel"/>
    <w:tmpl w:val="E418EB86"/>
    <w:lvl w:ilvl="0" w:tplc="EE4C588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7E056B4D"/>
    <w:multiLevelType w:val="hybridMultilevel"/>
    <w:tmpl w:val="58AAD4A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0"/>
  </w:num>
  <w:num w:numId="2">
    <w:abstractNumId w:val="57"/>
  </w:num>
  <w:num w:numId="3">
    <w:abstractNumId w:val="53"/>
  </w:num>
  <w:num w:numId="4">
    <w:abstractNumId w:val="51"/>
  </w:num>
  <w:num w:numId="5">
    <w:abstractNumId w:val="33"/>
  </w:num>
  <w:num w:numId="6">
    <w:abstractNumId w:val="25"/>
  </w:num>
  <w:num w:numId="7">
    <w:abstractNumId w:val="54"/>
  </w:num>
  <w:num w:numId="8">
    <w:abstractNumId w:val="41"/>
  </w:num>
  <w:num w:numId="9">
    <w:abstractNumId w:val="37"/>
  </w:num>
  <w:num w:numId="10">
    <w:abstractNumId w:val="6"/>
  </w:num>
  <w:num w:numId="11">
    <w:abstractNumId w:val="58"/>
  </w:num>
  <w:num w:numId="12">
    <w:abstractNumId w:val="4"/>
  </w:num>
  <w:num w:numId="13">
    <w:abstractNumId w:val="11"/>
  </w:num>
  <w:num w:numId="14">
    <w:abstractNumId w:val="23"/>
  </w:num>
  <w:num w:numId="15">
    <w:abstractNumId w:val="29"/>
  </w:num>
  <w:num w:numId="16">
    <w:abstractNumId w:val="14"/>
  </w:num>
  <w:num w:numId="17">
    <w:abstractNumId w:val="30"/>
  </w:num>
  <w:num w:numId="18">
    <w:abstractNumId w:val="52"/>
  </w:num>
  <w:num w:numId="19">
    <w:abstractNumId w:val="5"/>
  </w:num>
  <w:num w:numId="20">
    <w:abstractNumId w:val="22"/>
  </w:num>
  <w:num w:numId="21">
    <w:abstractNumId w:val="21"/>
  </w:num>
  <w:num w:numId="22">
    <w:abstractNumId w:val="43"/>
  </w:num>
  <w:num w:numId="23">
    <w:abstractNumId w:val="10"/>
  </w:num>
  <w:num w:numId="24">
    <w:abstractNumId w:val="50"/>
  </w:num>
  <w:num w:numId="25">
    <w:abstractNumId w:val="59"/>
  </w:num>
  <w:num w:numId="26">
    <w:abstractNumId w:val="44"/>
  </w:num>
  <w:num w:numId="27">
    <w:abstractNumId w:val="28"/>
  </w:num>
  <w:num w:numId="28">
    <w:abstractNumId w:val="35"/>
  </w:num>
  <w:num w:numId="29">
    <w:abstractNumId w:val="18"/>
  </w:num>
  <w:num w:numId="30">
    <w:abstractNumId w:val="64"/>
  </w:num>
  <w:num w:numId="31">
    <w:abstractNumId w:val="61"/>
  </w:num>
  <w:num w:numId="32">
    <w:abstractNumId w:val="60"/>
  </w:num>
  <w:num w:numId="33">
    <w:abstractNumId w:val="3"/>
  </w:num>
  <w:num w:numId="34">
    <w:abstractNumId w:val="65"/>
  </w:num>
  <w:num w:numId="35">
    <w:abstractNumId w:val="2"/>
  </w:num>
  <w:num w:numId="36">
    <w:abstractNumId w:val="47"/>
  </w:num>
  <w:num w:numId="37">
    <w:abstractNumId w:val="8"/>
  </w:num>
  <w:num w:numId="38">
    <w:abstractNumId w:val="17"/>
  </w:num>
  <w:num w:numId="39">
    <w:abstractNumId w:val="46"/>
  </w:num>
  <w:num w:numId="40">
    <w:abstractNumId w:val="20"/>
  </w:num>
  <w:num w:numId="41">
    <w:abstractNumId w:val="15"/>
  </w:num>
  <w:num w:numId="42">
    <w:abstractNumId w:val="9"/>
  </w:num>
  <w:num w:numId="43">
    <w:abstractNumId w:val="19"/>
  </w:num>
  <w:num w:numId="44">
    <w:abstractNumId w:val="34"/>
  </w:num>
  <w:num w:numId="45">
    <w:abstractNumId w:val="24"/>
  </w:num>
  <w:num w:numId="46">
    <w:abstractNumId w:val="32"/>
  </w:num>
  <w:num w:numId="47">
    <w:abstractNumId w:val="55"/>
  </w:num>
  <w:num w:numId="48">
    <w:abstractNumId w:val="39"/>
  </w:num>
  <w:num w:numId="49">
    <w:abstractNumId w:val="62"/>
  </w:num>
  <w:num w:numId="50">
    <w:abstractNumId w:val="36"/>
  </w:num>
  <w:num w:numId="51">
    <w:abstractNumId w:val="27"/>
  </w:num>
  <w:num w:numId="52">
    <w:abstractNumId w:val="49"/>
  </w:num>
  <w:num w:numId="53">
    <w:abstractNumId w:val="38"/>
  </w:num>
  <w:num w:numId="54">
    <w:abstractNumId w:val="16"/>
  </w:num>
  <w:num w:numId="55">
    <w:abstractNumId w:val="56"/>
  </w:num>
  <w:num w:numId="56">
    <w:abstractNumId w:val="42"/>
  </w:num>
  <w:num w:numId="57">
    <w:abstractNumId w:val="0"/>
  </w:num>
  <w:num w:numId="58">
    <w:abstractNumId w:val="48"/>
  </w:num>
  <w:num w:numId="59">
    <w:abstractNumId w:val="7"/>
  </w:num>
  <w:num w:numId="60">
    <w:abstractNumId w:val="31"/>
  </w:num>
  <w:num w:numId="61">
    <w:abstractNumId w:val="1"/>
  </w:num>
  <w:num w:numId="62">
    <w:abstractNumId w:val="45"/>
  </w:num>
  <w:num w:numId="63">
    <w:abstractNumId w:val="13"/>
  </w:num>
  <w:num w:numId="64">
    <w:abstractNumId w:val="26"/>
  </w:num>
  <w:num w:numId="65">
    <w:abstractNumId w:val="63"/>
  </w:num>
  <w:num w:numId="66">
    <w:abstractNumId w:val="1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9DE"/>
    <w:rsid w:val="00002ED3"/>
    <w:rsid w:val="00004F65"/>
    <w:rsid w:val="00005C6E"/>
    <w:rsid w:val="00032121"/>
    <w:rsid w:val="0003496C"/>
    <w:rsid w:val="00036088"/>
    <w:rsid w:val="0004223F"/>
    <w:rsid w:val="00051E32"/>
    <w:rsid w:val="000542AE"/>
    <w:rsid w:val="00056B07"/>
    <w:rsid w:val="000668F9"/>
    <w:rsid w:val="00070F0B"/>
    <w:rsid w:val="000738D3"/>
    <w:rsid w:val="000B411F"/>
    <w:rsid w:val="000B5866"/>
    <w:rsid w:val="000C6680"/>
    <w:rsid w:val="000E000A"/>
    <w:rsid w:val="000E4FC8"/>
    <w:rsid w:val="000F6775"/>
    <w:rsid w:val="00105074"/>
    <w:rsid w:val="00105502"/>
    <w:rsid w:val="00110AE7"/>
    <w:rsid w:val="00112CA3"/>
    <w:rsid w:val="001315A1"/>
    <w:rsid w:val="00137E62"/>
    <w:rsid w:val="00157F17"/>
    <w:rsid w:val="00163C6C"/>
    <w:rsid w:val="00194E77"/>
    <w:rsid w:val="001B0013"/>
    <w:rsid w:val="001C6BFC"/>
    <w:rsid w:val="001E22F7"/>
    <w:rsid w:val="001F7444"/>
    <w:rsid w:val="00200105"/>
    <w:rsid w:val="00207B98"/>
    <w:rsid w:val="002146F8"/>
    <w:rsid w:val="002269B4"/>
    <w:rsid w:val="00232529"/>
    <w:rsid w:val="00232958"/>
    <w:rsid w:val="00236B69"/>
    <w:rsid w:val="00242169"/>
    <w:rsid w:val="00247AD4"/>
    <w:rsid w:val="00256DE8"/>
    <w:rsid w:val="0027285F"/>
    <w:rsid w:val="00273017"/>
    <w:rsid w:val="00281590"/>
    <w:rsid w:val="0028787E"/>
    <w:rsid w:val="002942D7"/>
    <w:rsid w:val="00295E3B"/>
    <w:rsid w:val="00296D2B"/>
    <w:rsid w:val="002A7B79"/>
    <w:rsid w:val="002B425B"/>
    <w:rsid w:val="002C5CE0"/>
    <w:rsid w:val="002F7F99"/>
    <w:rsid w:val="0031567B"/>
    <w:rsid w:val="00321E73"/>
    <w:rsid w:val="00344C04"/>
    <w:rsid w:val="00344D92"/>
    <w:rsid w:val="003476DE"/>
    <w:rsid w:val="0035335B"/>
    <w:rsid w:val="003601F3"/>
    <w:rsid w:val="00360D84"/>
    <w:rsid w:val="00373401"/>
    <w:rsid w:val="00381D22"/>
    <w:rsid w:val="003A6A80"/>
    <w:rsid w:val="003A6FE4"/>
    <w:rsid w:val="003A7956"/>
    <w:rsid w:val="003B0CCF"/>
    <w:rsid w:val="003B49C0"/>
    <w:rsid w:val="003C1B4F"/>
    <w:rsid w:val="003D2464"/>
    <w:rsid w:val="003D3370"/>
    <w:rsid w:val="003F1E24"/>
    <w:rsid w:val="00400A0D"/>
    <w:rsid w:val="0040743E"/>
    <w:rsid w:val="0042474E"/>
    <w:rsid w:val="00430899"/>
    <w:rsid w:val="004326C6"/>
    <w:rsid w:val="00446AC2"/>
    <w:rsid w:val="00447514"/>
    <w:rsid w:val="004521CD"/>
    <w:rsid w:val="004735E0"/>
    <w:rsid w:val="004817D7"/>
    <w:rsid w:val="00483DC5"/>
    <w:rsid w:val="004920D7"/>
    <w:rsid w:val="00495634"/>
    <w:rsid w:val="00495B53"/>
    <w:rsid w:val="004976F8"/>
    <w:rsid w:val="004A5D83"/>
    <w:rsid w:val="004A7EE9"/>
    <w:rsid w:val="004B47CE"/>
    <w:rsid w:val="004C1B83"/>
    <w:rsid w:val="004C25AD"/>
    <w:rsid w:val="004D7873"/>
    <w:rsid w:val="004F6576"/>
    <w:rsid w:val="00522415"/>
    <w:rsid w:val="00524E02"/>
    <w:rsid w:val="00525BA2"/>
    <w:rsid w:val="0054038F"/>
    <w:rsid w:val="00553B37"/>
    <w:rsid w:val="00553F42"/>
    <w:rsid w:val="0055722F"/>
    <w:rsid w:val="00563603"/>
    <w:rsid w:val="0056364C"/>
    <w:rsid w:val="00573673"/>
    <w:rsid w:val="00584AEC"/>
    <w:rsid w:val="00587ADB"/>
    <w:rsid w:val="005A5D4C"/>
    <w:rsid w:val="005B20D6"/>
    <w:rsid w:val="005B27A1"/>
    <w:rsid w:val="005B4B6B"/>
    <w:rsid w:val="005E1164"/>
    <w:rsid w:val="005E1F15"/>
    <w:rsid w:val="00602C99"/>
    <w:rsid w:val="00605137"/>
    <w:rsid w:val="006070C9"/>
    <w:rsid w:val="006113BB"/>
    <w:rsid w:val="00617EBE"/>
    <w:rsid w:val="0062316E"/>
    <w:rsid w:val="00627D8D"/>
    <w:rsid w:val="0063635F"/>
    <w:rsid w:val="00643083"/>
    <w:rsid w:val="006443D7"/>
    <w:rsid w:val="00644BA0"/>
    <w:rsid w:val="00691D72"/>
    <w:rsid w:val="006B25C8"/>
    <w:rsid w:val="006D6A3A"/>
    <w:rsid w:val="006E53CE"/>
    <w:rsid w:val="00712B80"/>
    <w:rsid w:val="00723642"/>
    <w:rsid w:val="007304BC"/>
    <w:rsid w:val="00730E67"/>
    <w:rsid w:val="00744749"/>
    <w:rsid w:val="00753CBE"/>
    <w:rsid w:val="00753E9A"/>
    <w:rsid w:val="00756167"/>
    <w:rsid w:val="007566DD"/>
    <w:rsid w:val="00764894"/>
    <w:rsid w:val="007821CD"/>
    <w:rsid w:val="00783E42"/>
    <w:rsid w:val="00790924"/>
    <w:rsid w:val="007C4ABA"/>
    <w:rsid w:val="007C4E20"/>
    <w:rsid w:val="007C5C78"/>
    <w:rsid w:val="007D1555"/>
    <w:rsid w:val="007F0DC0"/>
    <w:rsid w:val="008120D4"/>
    <w:rsid w:val="00827E87"/>
    <w:rsid w:val="00840CD5"/>
    <w:rsid w:val="0085325F"/>
    <w:rsid w:val="00865DEC"/>
    <w:rsid w:val="00866639"/>
    <w:rsid w:val="0086771C"/>
    <w:rsid w:val="00886C5C"/>
    <w:rsid w:val="00891559"/>
    <w:rsid w:val="008A3C1F"/>
    <w:rsid w:val="008A7C18"/>
    <w:rsid w:val="008C4DBD"/>
    <w:rsid w:val="008C6D8D"/>
    <w:rsid w:val="008E2D55"/>
    <w:rsid w:val="008E309D"/>
    <w:rsid w:val="008E38DE"/>
    <w:rsid w:val="008E4F74"/>
    <w:rsid w:val="008F640B"/>
    <w:rsid w:val="00901AE6"/>
    <w:rsid w:val="00923952"/>
    <w:rsid w:val="00943F67"/>
    <w:rsid w:val="009520BE"/>
    <w:rsid w:val="00970C38"/>
    <w:rsid w:val="00974F33"/>
    <w:rsid w:val="00982965"/>
    <w:rsid w:val="00990DCA"/>
    <w:rsid w:val="00997119"/>
    <w:rsid w:val="00997C77"/>
    <w:rsid w:val="009B4E2B"/>
    <w:rsid w:val="009D7694"/>
    <w:rsid w:val="009F0B58"/>
    <w:rsid w:val="00A12860"/>
    <w:rsid w:val="00A13312"/>
    <w:rsid w:val="00A22A86"/>
    <w:rsid w:val="00A43A91"/>
    <w:rsid w:val="00A54885"/>
    <w:rsid w:val="00A55F63"/>
    <w:rsid w:val="00A570EC"/>
    <w:rsid w:val="00A66C88"/>
    <w:rsid w:val="00A8549B"/>
    <w:rsid w:val="00AA0EE1"/>
    <w:rsid w:val="00AA1F5B"/>
    <w:rsid w:val="00AA4948"/>
    <w:rsid w:val="00AA5F3F"/>
    <w:rsid w:val="00AB0C4A"/>
    <w:rsid w:val="00AB5166"/>
    <w:rsid w:val="00AB6D08"/>
    <w:rsid w:val="00AC6E67"/>
    <w:rsid w:val="00AD202D"/>
    <w:rsid w:val="00AD52F6"/>
    <w:rsid w:val="00AE03A3"/>
    <w:rsid w:val="00AE40F0"/>
    <w:rsid w:val="00B02744"/>
    <w:rsid w:val="00B23749"/>
    <w:rsid w:val="00B3254B"/>
    <w:rsid w:val="00B34CC3"/>
    <w:rsid w:val="00B41722"/>
    <w:rsid w:val="00B43E4F"/>
    <w:rsid w:val="00B50BF9"/>
    <w:rsid w:val="00B603F3"/>
    <w:rsid w:val="00B7541F"/>
    <w:rsid w:val="00B811B0"/>
    <w:rsid w:val="00BA0A9C"/>
    <w:rsid w:val="00BB3DD1"/>
    <w:rsid w:val="00BC7A6E"/>
    <w:rsid w:val="00BD7D30"/>
    <w:rsid w:val="00BE1EB7"/>
    <w:rsid w:val="00C04F4A"/>
    <w:rsid w:val="00C16598"/>
    <w:rsid w:val="00C34B93"/>
    <w:rsid w:val="00C360F0"/>
    <w:rsid w:val="00C416D8"/>
    <w:rsid w:val="00C459DE"/>
    <w:rsid w:val="00C47879"/>
    <w:rsid w:val="00C520BA"/>
    <w:rsid w:val="00C54AF9"/>
    <w:rsid w:val="00C55AE3"/>
    <w:rsid w:val="00C579DE"/>
    <w:rsid w:val="00CA3B00"/>
    <w:rsid w:val="00CA5921"/>
    <w:rsid w:val="00CB25B6"/>
    <w:rsid w:val="00CB5CFC"/>
    <w:rsid w:val="00CD36DD"/>
    <w:rsid w:val="00CD5DB3"/>
    <w:rsid w:val="00CF2D5D"/>
    <w:rsid w:val="00CF4D8F"/>
    <w:rsid w:val="00D12A83"/>
    <w:rsid w:val="00D249E4"/>
    <w:rsid w:val="00D256CC"/>
    <w:rsid w:val="00D26FA5"/>
    <w:rsid w:val="00D337BE"/>
    <w:rsid w:val="00D37D46"/>
    <w:rsid w:val="00D4524F"/>
    <w:rsid w:val="00D47E4B"/>
    <w:rsid w:val="00D6058E"/>
    <w:rsid w:val="00D648E9"/>
    <w:rsid w:val="00DA0327"/>
    <w:rsid w:val="00DA26B6"/>
    <w:rsid w:val="00DB6AFC"/>
    <w:rsid w:val="00DD6B8C"/>
    <w:rsid w:val="00DE272B"/>
    <w:rsid w:val="00E10AFD"/>
    <w:rsid w:val="00E20343"/>
    <w:rsid w:val="00E23E97"/>
    <w:rsid w:val="00E2672E"/>
    <w:rsid w:val="00E357DF"/>
    <w:rsid w:val="00E4464E"/>
    <w:rsid w:val="00E54F1D"/>
    <w:rsid w:val="00E62198"/>
    <w:rsid w:val="00E62A80"/>
    <w:rsid w:val="00E86BB5"/>
    <w:rsid w:val="00E95A58"/>
    <w:rsid w:val="00E9673A"/>
    <w:rsid w:val="00EA30E6"/>
    <w:rsid w:val="00EB516D"/>
    <w:rsid w:val="00EE2A5B"/>
    <w:rsid w:val="00EE45A4"/>
    <w:rsid w:val="00EF293C"/>
    <w:rsid w:val="00EF425B"/>
    <w:rsid w:val="00F000B0"/>
    <w:rsid w:val="00F077D5"/>
    <w:rsid w:val="00F32693"/>
    <w:rsid w:val="00F56766"/>
    <w:rsid w:val="00F706CA"/>
    <w:rsid w:val="00FA6F4D"/>
    <w:rsid w:val="00FD0B4F"/>
    <w:rsid w:val="00FE52FE"/>
    <w:rsid w:val="00FE79B7"/>
    <w:rsid w:val="00FF00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F45AB"/>
  <w15:docId w15:val="{24DF33CF-37C0-4434-9104-FE96386DC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79DE"/>
    <w:rPr>
      <w:rFonts w:ascii="Calibri" w:eastAsia="Calibri" w:hAnsi="Calibri" w:cs="Times New Roman"/>
    </w:rPr>
  </w:style>
  <w:style w:type="paragraph" w:styleId="Titre1">
    <w:name w:val="heading 1"/>
    <w:aliases w:val="1,Heading 1 Char,Heading 1 Char1 Char,Heading 1 Char Char Char,Heading 1 Char1 Char Char Char,Heading 1 Char Char Char Char Char,Heading 1 Char1 Char Char Char Char Char,Heading 1 Char Char Char Char Char Char Char,Heading 1 Char1 Char1"/>
    <w:basedOn w:val="Normal"/>
    <w:link w:val="Titre1Car"/>
    <w:qFormat/>
    <w:rsid w:val="00C579DE"/>
    <w:pPr>
      <w:keepNext/>
      <w:keepLines/>
      <w:spacing w:before="240" w:line="240" w:lineRule="auto"/>
      <w:contextualSpacing/>
      <w:outlineLvl w:val="0"/>
    </w:pPr>
    <w:rPr>
      <w:rFonts w:asciiTheme="majorHAnsi" w:eastAsiaTheme="majorEastAsia" w:hAnsiTheme="majorHAnsi" w:cstheme="majorBidi"/>
      <w:caps/>
      <w:color w:val="5B9BD5" w:themeColor="accent1"/>
      <w:spacing w:val="14"/>
      <w:sz w:val="64"/>
      <w:szCs w:val="32"/>
    </w:rPr>
  </w:style>
  <w:style w:type="paragraph" w:styleId="Titre2">
    <w:name w:val="heading 2"/>
    <w:basedOn w:val="Normal"/>
    <w:link w:val="Titre2Car"/>
    <w:uiPriority w:val="9"/>
    <w:unhideWhenUsed/>
    <w:qFormat/>
    <w:rsid w:val="00C579DE"/>
    <w:pPr>
      <w:keepNext/>
      <w:keepLines/>
      <w:spacing w:after="200" w:line="240" w:lineRule="auto"/>
      <w:contextualSpacing/>
      <w:outlineLvl w:val="1"/>
    </w:pPr>
    <w:rPr>
      <w:rFonts w:asciiTheme="majorHAnsi" w:eastAsiaTheme="majorEastAsia" w:hAnsiTheme="majorHAnsi" w:cstheme="majorBidi"/>
      <w:caps/>
      <w:color w:val="5B9BD5" w:themeColor="accent1"/>
      <w:spacing w:val="14"/>
      <w:sz w:val="40"/>
      <w:szCs w:val="26"/>
    </w:rPr>
  </w:style>
  <w:style w:type="paragraph" w:styleId="Titre3">
    <w:name w:val="heading 3"/>
    <w:basedOn w:val="Normal"/>
    <w:next w:val="Normal"/>
    <w:link w:val="Titre3Car"/>
    <w:unhideWhenUsed/>
    <w:qFormat/>
    <w:rsid w:val="00C579DE"/>
    <w:pPr>
      <w:keepNext/>
      <w:keepLines/>
      <w:spacing w:after="240" w:line="240" w:lineRule="auto"/>
      <w:contextualSpacing/>
      <w:outlineLvl w:val="2"/>
    </w:pPr>
    <w:rPr>
      <w:rFonts w:asciiTheme="majorHAnsi" w:eastAsiaTheme="majorEastAsia" w:hAnsiTheme="majorHAnsi" w:cstheme="majorBidi"/>
      <w:color w:val="5B9BD5" w:themeColor="accent1"/>
      <w:sz w:val="34"/>
    </w:rPr>
  </w:style>
  <w:style w:type="paragraph" w:styleId="Titre4">
    <w:name w:val="heading 4"/>
    <w:basedOn w:val="Normal"/>
    <w:next w:val="Normal"/>
    <w:link w:val="Titre4Car"/>
    <w:uiPriority w:val="9"/>
    <w:unhideWhenUsed/>
    <w:qFormat/>
    <w:rsid w:val="00C579D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1 Car,Heading 1 Char Car,Heading 1 Char1 Char Car,Heading 1 Char Char Char Car,Heading 1 Char1 Char Char Char Car,Heading 1 Char Char Char Char Char Car,Heading 1 Char1 Char Char Char Char Char Car,Heading 1 Char1 Char1 Car"/>
    <w:basedOn w:val="Policepardfaut"/>
    <w:link w:val="Titre1"/>
    <w:rsid w:val="00C579DE"/>
    <w:rPr>
      <w:rFonts w:asciiTheme="majorHAnsi" w:eastAsiaTheme="majorEastAsia" w:hAnsiTheme="majorHAnsi" w:cstheme="majorBidi"/>
      <w:caps/>
      <w:color w:val="5B9BD5" w:themeColor="accent1"/>
      <w:spacing w:val="14"/>
      <w:sz w:val="64"/>
      <w:szCs w:val="32"/>
    </w:rPr>
  </w:style>
  <w:style w:type="character" w:customStyle="1" w:styleId="Titre2Car">
    <w:name w:val="Titre 2 Car"/>
    <w:basedOn w:val="Policepardfaut"/>
    <w:link w:val="Titre2"/>
    <w:uiPriority w:val="9"/>
    <w:rsid w:val="00C579DE"/>
    <w:rPr>
      <w:rFonts w:asciiTheme="majorHAnsi" w:eastAsiaTheme="majorEastAsia" w:hAnsiTheme="majorHAnsi" w:cstheme="majorBidi"/>
      <w:caps/>
      <w:color w:val="5B9BD5" w:themeColor="accent1"/>
      <w:spacing w:val="14"/>
      <w:sz w:val="40"/>
      <w:szCs w:val="26"/>
    </w:rPr>
  </w:style>
  <w:style w:type="character" w:customStyle="1" w:styleId="Titre3Car">
    <w:name w:val="Titre 3 Car"/>
    <w:basedOn w:val="Policepardfaut"/>
    <w:link w:val="Titre3"/>
    <w:rsid w:val="00C579DE"/>
    <w:rPr>
      <w:rFonts w:asciiTheme="majorHAnsi" w:eastAsiaTheme="majorEastAsia" w:hAnsiTheme="majorHAnsi" w:cstheme="majorBidi"/>
      <w:color w:val="5B9BD5" w:themeColor="accent1"/>
      <w:sz w:val="34"/>
    </w:rPr>
  </w:style>
  <w:style w:type="character" w:customStyle="1" w:styleId="Titre4Car">
    <w:name w:val="Titre 4 Car"/>
    <w:basedOn w:val="Policepardfaut"/>
    <w:link w:val="Titre4"/>
    <w:uiPriority w:val="9"/>
    <w:rsid w:val="00C579DE"/>
    <w:rPr>
      <w:rFonts w:asciiTheme="majorHAnsi" w:eastAsiaTheme="majorEastAsia" w:hAnsiTheme="majorHAnsi" w:cstheme="majorBidi"/>
      <w:i/>
      <w:iCs/>
      <w:color w:val="2E74B5" w:themeColor="accent1" w:themeShade="BF"/>
    </w:rPr>
  </w:style>
  <w:style w:type="paragraph" w:styleId="Citation">
    <w:name w:val="Quote"/>
    <w:basedOn w:val="Normal"/>
    <w:next w:val="Normal"/>
    <w:link w:val="CitationCar"/>
    <w:uiPriority w:val="29"/>
    <w:unhideWhenUsed/>
    <w:qFormat/>
    <w:rsid w:val="00C579DE"/>
    <w:pPr>
      <w:spacing w:before="360" w:after="560" w:line="264" w:lineRule="auto"/>
      <w:ind w:left="605" w:right="605"/>
      <w:contextualSpacing/>
    </w:pPr>
    <w:rPr>
      <w:rFonts w:asciiTheme="majorHAnsi" w:hAnsiTheme="majorHAnsi"/>
      <w:i/>
      <w:iCs/>
      <w:color w:val="5B9BD5" w:themeColor="accent1"/>
      <w:sz w:val="40"/>
    </w:rPr>
  </w:style>
  <w:style w:type="character" w:customStyle="1" w:styleId="CitationCar">
    <w:name w:val="Citation Car"/>
    <w:basedOn w:val="Policepardfaut"/>
    <w:link w:val="Citation"/>
    <w:uiPriority w:val="29"/>
    <w:rsid w:val="00C579DE"/>
    <w:rPr>
      <w:rFonts w:asciiTheme="majorHAnsi" w:eastAsia="Calibri" w:hAnsiTheme="majorHAnsi" w:cs="Times New Roman"/>
      <w:i/>
      <w:iCs/>
      <w:color w:val="5B9BD5" w:themeColor="accent1"/>
      <w:sz w:val="40"/>
    </w:rPr>
  </w:style>
  <w:style w:type="paragraph" w:styleId="Commentaire">
    <w:name w:val="annotation text"/>
    <w:basedOn w:val="Normal"/>
    <w:link w:val="CommentaireCar"/>
    <w:uiPriority w:val="99"/>
    <w:unhideWhenUsed/>
    <w:rsid w:val="00C579DE"/>
    <w:pPr>
      <w:spacing w:line="240" w:lineRule="auto"/>
    </w:pPr>
    <w:rPr>
      <w:szCs w:val="20"/>
    </w:rPr>
  </w:style>
  <w:style w:type="character" w:customStyle="1" w:styleId="CommentaireCar">
    <w:name w:val="Commentaire Car"/>
    <w:basedOn w:val="Policepardfaut"/>
    <w:link w:val="Commentaire"/>
    <w:uiPriority w:val="99"/>
    <w:rsid w:val="00C579DE"/>
    <w:rPr>
      <w:rFonts w:ascii="Calibri" w:eastAsia="Calibri" w:hAnsi="Calibri" w:cs="Times New Roman"/>
      <w:szCs w:val="20"/>
    </w:rPr>
  </w:style>
  <w:style w:type="paragraph" w:styleId="Notedebasdepage">
    <w:name w:val="footnote text"/>
    <w:basedOn w:val="Normal"/>
    <w:link w:val="NotedebasdepageCar"/>
    <w:uiPriority w:val="99"/>
    <w:semiHidden/>
    <w:unhideWhenUsed/>
    <w:rsid w:val="00C579DE"/>
    <w:pPr>
      <w:spacing w:after="0" w:line="240" w:lineRule="auto"/>
    </w:pPr>
    <w:rPr>
      <w:szCs w:val="20"/>
    </w:rPr>
  </w:style>
  <w:style w:type="character" w:customStyle="1" w:styleId="NotedebasdepageCar">
    <w:name w:val="Note de bas de page Car"/>
    <w:basedOn w:val="Policepardfaut"/>
    <w:link w:val="Notedebasdepage"/>
    <w:uiPriority w:val="99"/>
    <w:semiHidden/>
    <w:rsid w:val="00C579DE"/>
    <w:rPr>
      <w:rFonts w:ascii="Calibri" w:eastAsia="Calibri" w:hAnsi="Calibri" w:cs="Times New Roman"/>
      <w:szCs w:val="20"/>
    </w:rPr>
  </w:style>
  <w:style w:type="paragraph" w:styleId="Paragraphedeliste">
    <w:name w:val="List Paragraph"/>
    <w:basedOn w:val="Normal"/>
    <w:link w:val="ParagraphedelisteCar"/>
    <w:uiPriority w:val="34"/>
    <w:qFormat/>
    <w:rsid w:val="00C579DE"/>
    <w:pPr>
      <w:spacing w:after="200" w:line="276" w:lineRule="auto"/>
      <w:ind w:left="720"/>
      <w:contextualSpacing/>
    </w:pPr>
    <w:rPr>
      <w:rFonts w:asciiTheme="minorHAnsi" w:eastAsiaTheme="minorHAnsi" w:hAnsiTheme="minorHAnsi" w:cstheme="minorBidi"/>
    </w:rPr>
  </w:style>
  <w:style w:type="character" w:customStyle="1" w:styleId="ParagraphedelisteCar">
    <w:name w:val="Paragraphe de liste Car"/>
    <w:link w:val="Paragraphedeliste"/>
    <w:uiPriority w:val="34"/>
    <w:locked/>
    <w:rsid w:val="00C579DE"/>
  </w:style>
  <w:style w:type="character" w:styleId="Lienhypertexte">
    <w:name w:val="Hyperlink"/>
    <w:uiPriority w:val="99"/>
    <w:rsid w:val="00C579DE"/>
    <w:rPr>
      <w:rFonts w:cs="Times New Roman"/>
      <w:color w:val="0000FF"/>
      <w:u w:val="single"/>
    </w:rPr>
  </w:style>
  <w:style w:type="table" w:customStyle="1" w:styleId="TableauListe3-Accentuation31">
    <w:name w:val="Tableau Liste 3 - Accentuation 31"/>
    <w:basedOn w:val="TableauNormal"/>
    <w:uiPriority w:val="48"/>
    <w:rsid w:val="00C579DE"/>
    <w:pPr>
      <w:spacing w:before="160" w:after="0" w:line="240" w:lineRule="auto"/>
    </w:pPr>
    <w:rPr>
      <w:color w:val="7F7F7F" w:themeColor="text1" w:themeTint="80"/>
      <w:sz w:val="24"/>
      <w:szCs w:val="24"/>
      <w:lang w:eastAsia="ja-JP"/>
    </w:r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Appelnotedebasdep">
    <w:name w:val="footnote reference"/>
    <w:basedOn w:val="Policepardfaut"/>
    <w:uiPriority w:val="99"/>
    <w:semiHidden/>
    <w:unhideWhenUsed/>
    <w:rsid w:val="00C579DE"/>
    <w:rPr>
      <w:vertAlign w:val="superscript"/>
    </w:rPr>
  </w:style>
  <w:style w:type="character" w:customStyle="1" w:styleId="citation0">
    <w:name w:val="citation"/>
    <w:basedOn w:val="Policepardfaut"/>
    <w:rsid w:val="00C579DE"/>
  </w:style>
  <w:style w:type="character" w:styleId="Lienhypertextesuivivisit">
    <w:name w:val="FollowedHyperlink"/>
    <w:basedOn w:val="Policepardfaut"/>
    <w:uiPriority w:val="99"/>
    <w:semiHidden/>
    <w:unhideWhenUsed/>
    <w:rsid w:val="000B5866"/>
    <w:rPr>
      <w:color w:val="954F72" w:themeColor="followedHyperlink"/>
      <w:u w:val="single"/>
    </w:rPr>
  </w:style>
  <w:style w:type="character" w:styleId="Marquedecommentaire">
    <w:name w:val="annotation reference"/>
    <w:basedOn w:val="Policepardfaut"/>
    <w:uiPriority w:val="99"/>
    <w:semiHidden/>
    <w:unhideWhenUsed/>
    <w:rsid w:val="00157F17"/>
    <w:rPr>
      <w:sz w:val="22"/>
      <w:szCs w:val="16"/>
    </w:rPr>
  </w:style>
  <w:style w:type="table" w:customStyle="1" w:styleId="TableauListe3-Accentuation32">
    <w:name w:val="Tableau Liste 3 - Accentuation 32"/>
    <w:basedOn w:val="TableauNormal"/>
    <w:uiPriority w:val="48"/>
    <w:rsid w:val="00157F17"/>
    <w:pPr>
      <w:spacing w:before="160" w:after="0" w:line="240" w:lineRule="auto"/>
    </w:pPr>
    <w:rPr>
      <w:color w:val="7F7F7F" w:themeColor="text1" w:themeTint="80"/>
      <w:sz w:val="24"/>
      <w:szCs w:val="24"/>
      <w:lang w:eastAsia="ja-JP"/>
    </w:r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Default">
    <w:name w:val="Default"/>
    <w:rsid w:val="00157F17"/>
    <w:pPr>
      <w:autoSpaceDE w:val="0"/>
      <w:autoSpaceDN w:val="0"/>
      <w:adjustRightInd w:val="0"/>
      <w:spacing w:after="0" w:line="240" w:lineRule="auto"/>
    </w:pPr>
    <w:rPr>
      <w:rFonts w:ascii="Tahoma" w:hAnsi="Tahoma" w:cs="Tahoma"/>
      <w:color w:val="000000"/>
      <w:sz w:val="24"/>
      <w:szCs w:val="24"/>
    </w:rPr>
  </w:style>
  <w:style w:type="paragraph" w:styleId="Textedebulles">
    <w:name w:val="Balloon Text"/>
    <w:basedOn w:val="Normal"/>
    <w:link w:val="TextedebullesCar"/>
    <w:uiPriority w:val="99"/>
    <w:semiHidden/>
    <w:unhideWhenUsed/>
    <w:rsid w:val="00207B9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07B98"/>
    <w:rPr>
      <w:rFonts w:ascii="Segoe UI" w:eastAsia="Calibri" w:hAnsi="Segoe UI" w:cs="Segoe UI"/>
      <w:sz w:val="18"/>
      <w:szCs w:val="18"/>
    </w:rPr>
  </w:style>
  <w:style w:type="table" w:customStyle="1" w:styleId="TableauGrille4-Accentuation21">
    <w:name w:val="Tableau Grille 4 - Accentuation 21"/>
    <w:basedOn w:val="TableauNormal"/>
    <w:uiPriority w:val="49"/>
    <w:rsid w:val="00EF293C"/>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lledutableau">
    <w:name w:val="Table Grid"/>
    <w:basedOn w:val="TableauNormal"/>
    <w:uiPriority w:val="59"/>
    <w:rsid w:val="00EF29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ausimple31">
    <w:name w:val="Tableau simple 31"/>
    <w:basedOn w:val="TableauNormal"/>
    <w:uiPriority w:val="43"/>
    <w:rsid w:val="00EF29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Grille1Clair1">
    <w:name w:val="Tableau Grille 1 Clair1"/>
    <w:basedOn w:val="TableauNormal"/>
    <w:uiPriority w:val="46"/>
    <w:rsid w:val="00EF293C"/>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auGrille4-Accentuation22">
    <w:name w:val="Tableau Grille 4 - Accentuation 22"/>
    <w:basedOn w:val="TableauNormal"/>
    <w:uiPriority w:val="49"/>
    <w:rsid w:val="00495B53"/>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auGrille5Fonc-Accentuation21">
    <w:name w:val="Tableau Grille 5 Foncé - Accentuation 21"/>
    <w:basedOn w:val="TableauNormal"/>
    <w:uiPriority w:val="50"/>
    <w:rsid w:val="00495B53"/>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eauGrille4-Accentuation51">
    <w:name w:val="Tableau Grille 4 - Accentuation 51"/>
    <w:basedOn w:val="TableauNormal"/>
    <w:uiPriority w:val="49"/>
    <w:rsid w:val="00E54F1D"/>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Style2">
    <w:name w:val="Style2"/>
    <w:basedOn w:val="Normal"/>
    <w:link w:val="Style2Car"/>
    <w:qFormat/>
    <w:rsid w:val="00E54F1D"/>
    <w:pPr>
      <w:keepNext/>
      <w:keepLines/>
      <w:framePr w:wrap="around" w:vAnchor="text" w:hAnchor="text" w:y="1"/>
      <w:spacing w:before="120" w:after="0" w:line="240" w:lineRule="auto"/>
      <w:outlineLvl w:val="0"/>
    </w:pPr>
    <w:rPr>
      <w:rFonts w:ascii="Adobe Garamond Pro Bold" w:eastAsiaTheme="majorEastAsia" w:hAnsi="Adobe Garamond Pro Bold" w:cstheme="majorBidi"/>
      <w:color w:val="2E74B5" w:themeColor="accent1" w:themeShade="BF"/>
      <w:sz w:val="32"/>
      <w:szCs w:val="32"/>
    </w:rPr>
  </w:style>
  <w:style w:type="character" w:customStyle="1" w:styleId="Style2Car">
    <w:name w:val="Style2 Car"/>
    <w:basedOn w:val="Policepardfaut"/>
    <w:link w:val="Style2"/>
    <w:rsid w:val="00E54F1D"/>
    <w:rPr>
      <w:rFonts w:ascii="Adobe Garamond Pro Bold" w:eastAsiaTheme="majorEastAsia" w:hAnsi="Adobe Garamond Pro Bold" w:cstheme="majorBidi"/>
      <w:color w:val="2E74B5" w:themeColor="accent1" w:themeShade="BF"/>
      <w:sz w:val="32"/>
      <w:szCs w:val="32"/>
    </w:rPr>
  </w:style>
  <w:style w:type="table" w:customStyle="1" w:styleId="Tableausimple11">
    <w:name w:val="Tableau simple 11"/>
    <w:basedOn w:val="TableauNormal"/>
    <w:uiPriority w:val="41"/>
    <w:rsid w:val="00F000B0"/>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re">
    <w:name w:val="Title"/>
    <w:basedOn w:val="Normal"/>
    <w:next w:val="Normal"/>
    <w:link w:val="TitreCar"/>
    <w:uiPriority w:val="10"/>
    <w:qFormat/>
    <w:rsid w:val="00F000B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000B0"/>
    <w:rPr>
      <w:rFonts w:asciiTheme="majorHAnsi" w:eastAsiaTheme="majorEastAsia" w:hAnsiTheme="majorHAnsi" w:cstheme="majorBidi"/>
      <w:spacing w:val="-10"/>
      <w:kern w:val="28"/>
      <w:sz w:val="56"/>
      <w:szCs w:val="56"/>
    </w:rPr>
  </w:style>
  <w:style w:type="table" w:customStyle="1" w:styleId="TableauGrille1Clair-Accentuation11">
    <w:name w:val="Tableau Grille 1 Clair - Accentuation 11"/>
    <w:basedOn w:val="TableauNormal"/>
    <w:uiPriority w:val="46"/>
    <w:rsid w:val="00F000B0"/>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Pieddepage">
    <w:name w:val="footer"/>
    <w:basedOn w:val="Normal"/>
    <w:link w:val="PieddepageCar"/>
    <w:uiPriority w:val="99"/>
    <w:unhideWhenUsed/>
    <w:rsid w:val="00F000B0"/>
    <w:pPr>
      <w:tabs>
        <w:tab w:val="center" w:pos="4536"/>
        <w:tab w:val="right" w:pos="9072"/>
      </w:tabs>
      <w:spacing w:after="0" w:line="240" w:lineRule="auto"/>
    </w:pPr>
    <w:rPr>
      <w:rFonts w:asciiTheme="minorHAnsi" w:eastAsiaTheme="minorHAnsi" w:hAnsiTheme="minorHAnsi" w:cstheme="minorBidi"/>
    </w:rPr>
  </w:style>
  <w:style w:type="character" w:customStyle="1" w:styleId="PieddepageCar">
    <w:name w:val="Pied de page Car"/>
    <w:basedOn w:val="Policepardfaut"/>
    <w:link w:val="Pieddepage"/>
    <w:uiPriority w:val="99"/>
    <w:rsid w:val="00F000B0"/>
  </w:style>
  <w:style w:type="paragraph" w:styleId="Sansinterligne">
    <w:name w:val="No Spacing"/>
    <w:link w:val="SansinterligneCar"/>
    <w:uiPriority w:val="1"/>
    <w:qFormat/>
    <w:rsid w:val="00F000B0"/>
    <w:pPr>
      <w:spacing w:after="0" w:line="240" w:lineRule="auto"/>
    </w:pPr>
  </w:style>
  <w:style w:type="character" w:customStyle="1" w:styleId="SansinterligneCar">
    <w:name w:val="Sans interligne Car"/>
    <w:basedOn w:val="Policepardfaut"/>
    <w:link w:val="Sansinterligne"/>
    <w:uiPriority w:val="1"/>
    <w:rsid w:val="00F000B0"/>
  </w:style>
  <w:style w:type="paragraph" w:styleId="En-ttedetabledesmatires">
    <w:name w:val="TOC Heading"/>
    <w:basedOn w:val="Titre1"/>
    <w:next w:val="Normal"/>
    <w:uiPriority w:val="39"/>
    <w:unhideWhenUsed/>
    <w:qFormat/>
    <w:rsid w:val="00F000B0"/>
    <w:pPr>
      <w:spacing w:after="0" w:line="259" w:lineRule="auto"/>
      <w:contextualSpacing w:val="0"/>
      <w:outlineLvl w:val="9"/>
    </w:pPr>
    <w:rPr>
      <w:caps w:val="0"/>
      <w:color w:val="2E74B5" w:themeColor="accent1" w:themeShade="BF"/>
      <w:spacing w:val="0"/>
      <w:sz w:val="32"/>
      <w:lang w:eastAsia="fr-FR"/>
    </w:rPr>
  </w:style>
  <w:style w:type="paragraph" w:styleId="TM2">
    <w:name w:val="toc 2"/>
    <w:basedOn w:val="Normal"/>
    <w:next w:val="Normal"/>
    <w:autoRedefine/>
    <w:uiPriority w:val="39"/>
    <w:unhideWhenUsed/>
    <w:rsid w:val="00553B37"/>
    <w:pPr>
      <w:tabs>
        <w:tab w:val="right" w:leader="dot" w:pos="9630"/>
      </w:tabs>
      <w:spacing w:after="100"/>
      <w:ind w:left="220" w:hanging="220"/>
    </w:pPr>
    <w:rPr>
      <w:rFonts w:asciiTheme="minorHAnsi" w:eastAsiaTheme="minorHAnsi" w:hAnsiTheme="minorHAnsi" w:cstheme="minorBidi"/>
    </w:rPr>
  </w:style>
  <w:style w:type="paragraph" w:styleId="TM3">
    <w:name w:val="toc 3"/>
    <w:basedOn w:val="Normal"/>
    <w:next w:val="Normal"/>
    <w:autoRedefine/>
    <w:uiPriority w:val="39"/>
    <w:unhideWhenUsed/>
    <w:rsid w:val="00553B37"/>
    <w:pPr>
      <w:tabs>
        <w:tab w:val="left" w:pos="660"/>
        <w:tab w:val="right" w:leader="dot" w:pos="9630"/>
      </w:tabs>
      <w:spacing w:after="100"/>
      <w:ind w:left="284" w:hanging="284"/>
    </w:pPr>
    <w:rPr>
      <w:rFonts w:asciiTheme="minorHAnsi" w:eastAsiaTheme="minorHAnsi" w:hAnsiTheme="minorHAnsi" w:cstheme="minorBidi"/>
    </w:rPr>
  </w:style>
  <w:style w:type="paragraph" w:styleId="TM1">
    <w:name w:val="toc 1"/>
    <w:basedOn w:val="Normal"/>
    <w:next w:val="Normal"/>
    <w:autoRedefine/>
    <w:uiPriority w:val="39"/>
    <w:unhideWhenUsed/>
    <w:rsid w:val="00790924"/>
    <w:pPr>
      <w:tabs>
        <w:tab w:val="left" w:pos="284"/>
        <w:tab w:val="left" w:pos="426"/>
        <w:tab w:val="left" w:pos="709"/>
        <w:tab w:val="left" w:pos="1276"/>
        <w:tab w:val="right" w:leader="dot" w:pos="9630"/>
      </w:tabs>
      <w:spacing w:after="100"/>
    </w:pPr>
    <w:rPr>
      <w:rFonts w:asciiTheme="minorHAnsi" w:eastAsiaTheme="minorHAnsi" w:hAnsiTheme="minorHAnsi" w:cstheme="minorBidi"/>
    </w:rPr>
  </w:style>
  <w:style w:type="character" w:customStyle="1" w:styleId="ObjetducommentaireCar">
    <w:name w:val="Objet du commentaire Car"/>
    <w:basedOn w:val="CommentaireCar"/>
    <w:link w:val="Objetducommentaire"/>
    <w:uiPriority w:val="99"/>
    <w:semiHidden/>
    <w:rsid w:val="00F000B0"/>
    <w:rPr>
      <w:rFonts w:ascii="Calibri" w:eastAsia="Calibri" w:hAnsi="Calibri" w:cs="Times New Roman"/>
      <w:b/>
      <w:bCs/>
      <w:sz w:val="20"/>
      <w:szCs w:val="20"/>
    </w:rPr>
  </w:style>
  <w:style w:type="paragraph" w:styleId="Objetducommentaire">
    <w:name w:val="annotation subject"/>
    <w:basedOn w:val="Commentaire"/>
    <w:next w:val="Commentaire"/>
    <w:link w:val="ObjetducommentaireCar"/>
    <w:uiPriority w:val="99"/>
    <w:semiHidden/>
    <w:unhideWhenUsed/>
    <w:rsid w:val="00F000B0"/>
    <w:rPr>
      <w:rFonts w:asciiTheme="minorHAnsi" w:eastAsiaTheme="minorHAnsi" w:hAnsiTheme="minorHAnsi" w:cstheme="minorBidi"/>
      <w:b/>
      <w:bCs/>
      <w:sz w:val="20"/>
    </w:rPr>
  </w:style>
  <w:style w:type="paragraph" w:customStyle="1" w:styleId="Paragraphedeliste1">
    <w:name w:val="Paragraphe de liste1"/>
    <w:basedOn w:val="Default"/>
    <w:next w:val="Default"/>
    <w:uiPriority w:val="99"/>
    <w:rsid w:val="00F000B0"/>
    <w:rPr>
      <w:rFonts w:ascii="BLOHFC+Arial" w:hAnsi="BLOHFC+Arial" w:cstheme="minorBidi"/>
      <w:color w:val="auto"/>
    </w:rPr>
  </w:style>
  <w:style w:type="paragraph" w:styleId="En-tte">
    <w:name w:val="header"/>
    <w:basedOn w:val="Normal"/>
    <w:link w:val="En-tteCar"/>
    <w:uiPriority w:val="99"/>
    <w:unhideWhenUsed/>
    <w:rsid w:val="00F000B0"/>
    <w:pPr>
      <w:tabs>
        <w:tab w:val="center" w:pos="4536"/>
        <w:tab w:val="right" w:pos="9072"/>
      </w:tabs>
      <w:spacing w:after="0" w:line="240" w:lineRule="auto"/>
    </w:pPr>
    <w:rPr>
      <w:rFonts w:asciiTheme="minorHAnsi" w:eastAsiaTheme="minorHAnsi" w:hAnsiTheme="minorHAnsi" w:cstheme="minorBidi"/>
    </w:rPr>
  </w:style>
  <w:style w:type="character" w:customStyle="1" w:styleId="En-tteCar">
    <w:name w:val="En-tête Car"/>
    <w:basedOn w:val="Policepardfaut"/>
    <w:link w:val="En-tte"/>
    <w:uiPriority w:val="99"/>
    <w:rsid w:val="00F000B0"/>
  </w:style>
  <w:style w:type="paragraph" w:styleId="Rvision">
    <w:name w:val="Revision"/>
    <w:hidden/>
    <w:uiPriority w:val="99"/>
    <w:semiHidden/>
    <w:rsid w:val="004976F8"/>
    <w:pPr>
      <w:spacing w:after="0" w:line="240" w:lineRule="auto"/>
    </w:pPr>
    <w:rPr>
      <w:rFonts w:ascii="Calibri" w:eastAsia="Calibri" w:hAnsi="Calibri" w:cs="Times New Roman"/>
    </w:rPr>
  </w:style>
  <w:style w:type="table" w:styleId="Tableausimple1">
    <w:name w:val="Plain Table 1"/>
    <w:basedOn w:val="TableauNormal"/>
    <w:uiPriority w:val="41"/>
    <w:rsid w:val="003A6FE4"/>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Grille1Clair">
    <w:name w:val="Grid Table 1 Light"/>
    <w:basedOn w:val="TableauNormal"/>
    <w:uiPriority w:val="46"/>
    <w:rsid w:val="00D6058E"/>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hyperlink" Target="https://drive.google.com/file/d/1qc9ADTsYzKpBJG7VtLPTocbme1UFf9BP/view" TargetMode="External"/><Relationship Id="rId26" Type="http://schemas.openxmlformats.org/officeDocument/2006/relationships/hyperlink" Target="https://drive.google.com/file/d/18XmGsV90yDqCda6g3aD3rmFivPDnIMqV/view" TargetMode="External"/><Relationship Id="rId39" Type="http://schemas.openxmlformats.org/officeDocument/2006/relationships/hyperlink" Target="http://www.itierdc.net/carte-de-la-rdc-cliquable/registre-petrolier/" TargetMode="External"/><Relationship Id="rId21" Type="http://schemas.openxmlformats.org/officeDocument/2006/relationships/hyperlink" Target="https://drive.google.com/file/d/1o1pXwAwAUiQP5lTfYmQlOkCB_IfsSsbq/view" TargetMode="External"/><Relationship Id="rId34" Type="http://schemas.openxmlformats.org/officeDocument/2006/relationships/image" Target="media/image4.jpeg"/><Relationship Id="rId42" Type="http://schemas.openxmlformats.org/officeDocument/2006/relationships/hyperlink" Target="http://www.bcc.cd/downloads/pub/rapann/rapport_annuel_2016.pdf" TargetMode="External"/><Relationship Id="rId47" Type="http://schemas.openxmlformats.org/officeDocument/2006/relationships/hyperlink" Target="https://drive.google.com/file/d/0B1C1Aj5TqAgvVHZNMlJDdWlJTjA/view" TargetMode="External"/><Relationship Id="rId50" Type="http://schemas.openxmlformats.org/officeDocument/2006/relationships/hyperlink" Target="https://drive.google.com/file/d/0B1C1Aj5TqAgvaVVmbnc0Vk1lY00/view" TargetMode="External"/><Relationship Id="rId55"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hyperlink" Target="https://drive.google.com/file/d/1h8CAO7P1hOZ1goVrKL-HMYSYN29rbLWW/view" TargetMode="External"/><Relationship Id="rId25" Type="http://schemas.openxmlformats.org/officeDocument/2006/relationships/hyperlink" Target="https://drive.google.com/file/d/18XmGsV90yDqCda6g3aD3rmFivPDnIMqV/view" TargetMode="External"/><Relationship Id="rId33" Type="http://schemas.openxmlformats.org/officeDocument/2006/relationships/image" Target="media/image3.png"/><Relationship Id="rId38" Type="http://schemas.openxmlformats.org/officeDocument/2006/relationships/hyperlink" Target="http://mines-rdc.cd/fr/index.php/contrats-des-ressources-naturelles/contrats-petroliers" TargetMode="External"/><Relationship Id="rId46" Type="http://schemas.openxmlformats.org/officeDocument/2006/relationships/image" Target="media/image5.png"/><Relationship Id="rId59"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leganet.cd/Legislation/Droit%20economique/Code%20Minier/Loi.15.012.01.08.2015.html" TargetMode="External"/><Relationship Id="rId20" Type="http://schemas.openxmlformats.org/officeDocument/2006/relationships/hyperlink" Target="https://www.droitcongolais.info/files/11443_ordonnance_du_23_fevrier_2013_taxes_impo.pdf" TargetMode="External"/><Relationship Id="rId29" Type="http://schemas.openxmlformats.org/officeDocument/2006/relationships/hyperlink" Target="https://fr.wikipedia.org/wiki/Rwanda" TargetMode="External"/><Relationship Id="rId41" Type="http://schemas.openxmlformats.org/officeDocument/2006/relationships/hyperlink" Target="https://www.mines-rdc.cd." TargetMode="External"/><Relationship Id="rId54" Type="http://schemas.openxmlformats.org/officeDocument/2006/relationships/hyperlink" Target="http://www.leganet.cd/Legislation/Dfiscal/Finances/Loi%2015.021.31.12.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hyperlink" Target="https://drive.google.com/file/d/1GBz3CGnuDl6fVG39m46pnvb6fOqzneNa/view" TargetMode="External"/><Relationship Id="rId32" Type="http://schemas.openxmlformats.org/officeDocument/2006/relationships/hyperlink" Target="https://drive.google.com/open?id=1oexHfJ1Erj7ijUXMEcDbEy9EkwZb63_o" TargetMode="External"/><Relationship Id="rId37" Type="http://schemas.openxmlformats.org/officeDocument/2006/relationships/hyperlink" Target="http://www.itierdc.net/contrats-miniers/" TargetMode="External"/><Relationship Id="rId40" Type="http://schemas.openxmlformats.org/officeDocument/2006/relationships/hyperlink" Target="http://itierdc-data.masiavuvu.fr/donnees-itie/" TargetMode="External"/><Relationship Id="rId45" Type="http://schemas.openxmlformats.org/officeDocument/2006/relationships/hyperlink" Target="https://drive.google.com/open?id=1jP-JAAkHRBpWbLkkCbBlVtsl-_FNKFuW" TargetMode="External"/><Relationship Id="rId53" Type="http://schemas.openxmlformats.org/officeDocument/2006/relationships/chart" Target="charts/chart3.xm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rive.google.com/file/d/18XmGsV90yDqCda6g3aD3rmFivPDnIMqV/view" TargetMode="External"/><Relationship Id="rId23" Type="http://schemas.openxmlformats.org/officeDocument/2006/relationships/hyperlink" Target="http://www.leganet.cd/Legislation/Droit%20Public/Ministeres/O.08.74.24.12.2008.htm" TargetMode="External"/><Relationship Id="rId28" Type="http://schemas.openxmlformats.org/officeDocument/2006/relationships/hyperlink" Target="https://fr.wikipedia.org/wiki/R%C3%A9publique_d%C3%A9mocratique_du_Congo" TargetMode="External"/><Relationship Id="rId36" Type="http://schemas.openxmlformats.org/officeDocument/2006/relationships/hyperlink" Target="http://mines-rdc.cd/fr/index.php/contrats-des-ressources-naturelles/contrats-miniers" TargetMode="External"/><Relationship Id="rId49" Type="http://schemas.openxmlformats.org/officeDocument/2006/relationships/hyperlink" Target="https://drive.google.com/file/d/0B1C1Aj5TqAgvMk9JWDMtTnNMcTA/view" TargetMode="External"/><Relationship Id="rId57" Type="http://schemas.openxmlformats.org/officeDocument/2006/relationships/hyperlink" Target="https://drive.google.com/file/d/18XmGsV90yDqCda6g3aD3rmFivPDnIMqV/view" TargetMode="External"/><Relationship Id="rId10" Type="http://schemas.openxmlformats.org/officeDocument/2006/relationships/diagramData" Target="diagrams/data1.xml"/><Relationship Id="rId19" Type="http://schemas.openxmlformats.org/officeDocument/2006/relationships/hyperlink" Target="http://cno.ohada.cd/OHADA-RDC/3_Textes_internes_(RDC)/Reglementation_changes_rdc.pdf" TargetMode="External"/><Relationship Id="rId31" Type="http://schemas.openxmlformats.org/officeDocument/2006/relationships/hyperlink" Target="https://fr.wikipedia.org/wiki/Lac_Nyos" TargetMode="External"/><Relationship Id="rId44" Type="http://schemas.openxmlformats.org/officeDocument/2006/relationships/hyperlink" Target="http://www.bcc.cd/downloads/pub/rapann/rapport_annuel_2016.pdf" TargetMode="External"/><Relationship Id="rId52" Type="http://schemas.openxmlformats.org/officeDocument/2006/relationships/chart" Target="charts/chart2.xml"/><Relationship Id="rId60"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2.gif"/><Relationship Id="rId14" Type="http://schemas.microsoft.com/office/2007/relationships/diagramDrawing" Target="diagrams/drawing1.xml"/><Relationship Id="rId22" Type="http://schemas.openxmlformats.org/officeDocument/2006/relationships/hyperlink" Target="http://leganet.cd/Legislation/JO/2016/JOS.12.11.2016.pdf" TargetMode="External"/><Relationship Id="rId27" Type="http://schemas.openxmlformats.org/officeDocument/2006/relationships/hyperlink" Target="https://fr.wikipedia.org/wiki/Grands_Lacs_(Afrique)" TargetMode="External"/><Relationship Id="rId30" Type="http://schemas.openxmlformats.org/officeDocument/2006/relationships/hyperlink" Target="https://fr.wikipedia.org/wiki/M%C3%A9thane" TargetMode="External"/><Relationship Id="rId35" Type="http://schemas.openxmlformats.org/officeDocument/2006/relationships/hyperlink" Target="https://drive.google.com/open?id=1ZZsDKEIDTLoRHe-9NJw34hG0yNV_BrtB" TargetMode="External"/><Relationship Id="rId43" Type="http://schemas.openxmlformats.org/officeDocument/2006/relationships/hyperlink" Target="http://itierdc-data.masiavuvu.fr/donnees-itie/" TargetMode="External"/><Relationship Id="rId48" Type="http://schemas.openxmlformats.org/officeDocument/2006/relationships/hyperlink" Target="https://drive.google.com/file/d/0B1C1Aj5TqAgvc2t6akRodkJmcHM/view" TargetMode="External"/><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chart" Target="charts/chart1.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8" Type="http://schemas.openxmlformats.org/officeDocument/2006/relationships/hyperlink" Target="https://drive.google.com/file/d/18XmGsV90yDqCda6g3aD3rmFivPDnIMqV/view" TargetMode="External"/><Relationship Id="rId3" Type="http://schemas.openxmlformats.org/officeDocument/2006/relationships/hyperlink" Target="https://drive.google.com/file/d/1qc9ADTsYzKpBJG7VtLPTocbme1UFf9BP/view" TargetMode="External"/><Relationship Id="rId7" Type="http://schemas.openxmlformats.org/officeDocument/2006/relationships/hyperlink" Target="https://drive.google.com/file/d/18XmGsV90yDqCda6g3aD3rmFivPDnIMqV/view" TargetMode="External"/><Relationship Id="rId2" Type="http://schemas.openxmlformats.org/officeDocument/2006/relationships/hyperlink" Target="https://drive.google.com/file/d/1h8CAO7P1hOZ1goVrKL-HMYSYN29rbLWW/view" TargetMode="External"/><Relationship Id="rId1" Type="http://schemas.openxmlformats.org/officeDocument/2006/relationships/hyperlink" Target="http://www.leganet.cd/Legislation/Droit%20economique/Code%20Minier/Loi.15.012.01.08.2015.html" TargetMode="External"/><Relationship Id="rId6" Type="http://schemas.openxmlformats.org/officeDocument/2006/relationships/hyperlink" Target="https://drive.google.com/file/d/1GBz3CGnuDl6fVG39m46pnvb6fOqzneNa/view" TargetMode="External"/><Relationship Id="rId5" Type="http://schemas.openxmlformats.org/officeDocument/2006/relationships/hyperlink" Target="https://www.droitcongolais.info/files/11443_ordonnance_du_23_fevrier_2013_taxes_impo.pdf" TargetMode="External"/><Relationship Id="rId10" Type="http://schemas.openxmlformats.org/officeDocument/2006/relationships/hyperlink" Target="https://drive.google.com/drive/u/1/folders/1cAsueIhKfyr6iUBQBXaRTKkKH3OIlgbc" TargetMode="External"/><Relationship Id="rId4" Type="http://schemas.openxmlformats.org/officeDocument/2006/relationships/hyperlink" Target="https://drive.google.com/file/d/1UbJivB7ntQmVAFVVPVvoo1vZorfnPGj3/view" TargetMode="External"/><Relationship Id="rId9" Type="http://schemas.openxmlformats.org/officeDocument/2006/relationships/hyperlink" Target="http://itierdc-data.masiavuvu.fr/donnees-it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D:\FRANCK%20NZIRA\BUREAU%20ORG\Elaboration%20du%20Rapport%20%202016\Calendrier%20GTT_projet.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Graphique%20dans%20Microsoft%20Word"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Classeur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fr-FR"/>
              <a:t>Répartion du PIB par secteur</a:t>
            </a:r>
          </a:p>
        </c:rich>
      </c:tx>
      <c:layout>
        <c:manualLayout>
          <c:xMode val="edge"/>
          <c:yMode val="edge"/>
          <c:x val="0.18607549857549857"/>
          <c:y val="3.3467202141900937E-2"/>
        </c:manualLayout>
      </c:layout>
      <c:overlay val="0"/>
      <c:spPr>
        <a:noFill/>
        <a:ln>
          <a:noFill/>
        </a:ln>
        <a:effectLst/>
      </c:sp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A8DD-4B47-AB2B-91F247F90CD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A8DD-4B47-AB2B-91F247F90CD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A8DD-4B47-AB2B-91F247F90CD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A8DD-4B47-AB2B-91F247F90CD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9-A8DD-4B47-AB2B-91F247F90CD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Feuil2!$C$10:$C$14</c:f>
              <c:strCache>
                <c:ptCount val="5"/>
                <c:pt idx="0">
                  <c:v> primaire</c:v>
                </c:pt>
                <c:pt idx="1">
                  <c:v>Industries extractives</c:v>
                </c:pt>
                <c:pt idx="2">
                  <c:v> secondaire</c:v>
                </c:pt>
                <c:pt idx="3">
                  <c:v> tertiaire</c:v>
                </c:pt>
                <c:pt idx="4">
                  <c:v>Taxes sur produit</c:v>
                </c:pt>
              </c:strCache>
            </c:strRef>
          </c:cat>
          <c:val>
            <c:numRef>
              <c:f>Feuil2!$D$10:$D$14</c:f>
              <c:numCache>
                <c:formatCode>0.00%</c:formatCode>
                <c:ptCount val="5"/>
                <c:pt idx="0">
                  <c:v>0.192</c:v>
                </c:pt>
                <c:pt idx="1">
                  <c:v>0.17799999999999999</c:v>
                </c:pt>
                <c:pt idx="2">
                  <c:v>0.222</c:v>
                </c:pt>
                <c:pt idx="3">
                  <c:v>0.34300000000000003</c:v>
                </c:pt>
                <c:pt idx="4">
                  <c:v>6.6000000000000003E-2</c:v>
                </c:pt>
              </c:numCache>
            </c:numRef>
          </c:val>
          <c:extLst xmlns:c16r2="http://schemas.microsoft.com/office/drawing/2015/06/chart">
            <c:ext xmlns:c16="http://schemas.microsoft.com/office/drawing/2014/chart" uri="{C3380CC4-5D6E-409C-BE32-E72D297353CC}">
              <c16:uniqueId val="{0000000A-A8DD-4B47-AB2B-91F247F90CD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fr-FR"/>
              <a:t>Exportations du</a:t>
            </a:r>
            <a:r>
              <a:rPr lang="fr-FR" baseline="0"/>
              <a:t> secteur extractif en 2016 (</a:t>
            </a:r>
            <a:r>
              <a:rPr lang="fr-FR" sz="1400" baseline="0"/>
              <a:t>en Million de USD)</a:t>
            </a:r>
            <a:endParaRPr lang="fr-FR" sz="1400"/>
          </a:p>
        </c:rich>
      </c:tx>
      <c:overlay val="0"/>
      <c:spPr>
        <a:noFill/>
        <a:ln>
          <a:noFill/>
        </a:ln>
        <a:effectLst/>
      </c:spPr>
    </c:title>
    <c:autoTitleDeleted val="0"/>
    <c:plotArea>
      <c:layout/>
      <c:barChart>
        <c:barDir val="bar"/>
        <c:grouping val="clustered"/>
        <c:varyColors val="0"/>
        <c:ser>
          <c:idx val="0"/>
          <c:order val="0"/>
          <c:tx>
            <c:strRef>
              <c:f>'[Graphique dans Microsoft Word]Feuil2'!$D$3</c:f>
              <c:strCache>
                <c:ptCount val="1"/>
                <c:pt idx="0">
                  <c:v>2016</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'[Graphique dans Microsoft Word]Feuil2'!$B$4:$B$12</c:f>
              <c:strCache>
                <c:ptCount val="9"/>
                <c:pt idx="0">
                  <c:v>Cuivre</c:v>
                </c:pt>
                <c:pt idx="1">
                  <c:v>Cobalt</c:v>
                </c:pt>
                <c:pt idx="2">
                  <c:v>Zinc</c:v>
                </c:pt>
                <c:pt idx="3">
                  <c:v>Plomb</c:v>
                </c:pt>
                <c:pt idx="4">
                  <c:v>Diamant</c:v>
                </c:pt>
                <c:pt idx="5">
                  <c:v>Or fin</c:v>
                </c:pt>
                <c:pt idx="6">
                  <c:v>Cassitérite</c:v>
                </c:pt>
                <c:pt idx="7">
                  <c:v>Autres</c:v>
                </c:pt>
                <c:pt idx="8">
                  <c:v>Pétrole brut</c:v>
                </c:pt>
              </c:strCache>
            </c:strRef>
          </c:cat>
          <c:val>
            <c:numRef>
              <c:f>'[Graphique dans Microsoft Word]Feuil2'!$C$4:$C$12</c:f>
              <c:numCache>
                <c:formatCode>#,##0.00</c:formatCode>
                <c:ptCount val="9"/>
                <c:pt idx="0">
                  <c:v>5762</c:v>
                </c:pt>
                <c:pt idx="1">
                  <c:v>2484.6</c:v>
                </c:pt>
                <c:pt idx="2" formatCode="General">
                  <c:v>24.7</c:v>
                </c:pt>
                <c:pt idx="3" formatCode="General">
                  <c:v>1.2</c:v>
                </c:pt>
                <c:pt idx="4" formatCode="General">
                  <c:v>254.2</c:v>
                </c:pt>
                <c:pt idx="5">
                  <c:v>1072.3</c:v>
                </c:pt>
                <c:pt idx="6" formatCode="General">
                  <c:v>0</c:v>
                </c:pt>
                <c:pt idx="7" formatCode="General">
                  <c:v>81.7</c:v>
                </c:pt>
                <c:pt idx="8" formatCode="General">
                  <c:v>403</c:v>
                </c:pt>
              </c:numCache>
            </c:numRef>
          </c:val>
          <c:extLst xmlns:c16r2="http://schemas.microsoft.com/office/drawing/2015/06/chart">
            <c:ext xmlns:c16="http://schemas.microsoft.com/office/drawing/2014/chart" uri="{C3380CC4-5D6E-409C-BE32-E72D297353CC}">
              <c16:uniqueId val="{00000000-E247-48BD-8E4D-D629A0A23253}"/>
            </c:ext>
          </c:extLst>
        </c:ser>
        <c:ser>
          <c:idx val="1"/>
          <c:order val="1"/>
          <c:tx>
            <c:strRef>
              <c:f>'[Graphique dans Microsoft Word]Feuil2'!$C$3</c:f>
              <c:strCache>
                <c:ptCount val="1"/>
                <c:pt idx="0">
                  <c:v>2015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strRef>
              <c:f>'[Graphique dans Microsoft Word]Feuil2'!$B$4:$B$12</c:f>
              <c:strCache>
                <c:ptCount val="9"/>
                <c:pt idx="0">
                  <c:v>Cuivre</c:v>
                </c:pt>
                <c:pt idx="1">
                  <c:v>Cobalt</c:v>
                </c:pt>
                <c:pt idx="2">
                  <c:v>Zinc</c:v>
                </c:pt>
                <c:pt idx="3">
                  <c:v>Plomb</c:v>
                </c:pt>
                <c:pt idx="4">
                  <c:v>Diamant</c:v>
                </c:pt>
                <c:pt idx="5">
                  <c:v>Or fin</c:v>
                </c:pt>
                <c:pt idx="6">
                  <c:v>Cassitérite</c:v>
                </c:pt>
                <c:pt idx="7">
                  <c:v>Autres</c:v>
                </c:pt>
                <c:pt idx="8">
                  <c:v>Pétrole brut</c:v>
                </c:pt>
              </c:strCache>
            </c:strRef>
          </c:cat>
          <c:val>
            <c:numRef>
              <c:f>'[Graphique dans Microsoft Word]Feuil2'!$D$4:$D$12</c:f>
              <c:numCache>
                <c:formatCode>#,##0.00</c:formatCode>
                <c:ptCount val="9"/>
                <c:pt idx="0">
                  <c:v>5609.7</c:v>
                </c:pt>
                <c:pt idx="1">
                  <c:v>2071.1999999999998</c:v>
                </c:pt>
                <c:pt idx="2" formatCode="General">
                  <c:v>26.9</c:v>
                </c:pt>
                <c:pt idx="3" formatCode="General">
                  <c:v>0.2</c:v>
                </c:pt>
                <c:pt idx="4" formatCode="General">
                  <c:v>255.9</c:v>
                </c:pt>
                <c:pt idx="5">
                  <c:v>1322.5</c:v>
                </c:pt>
                <c:pt idx="6" formatCode="General">
                  <c:v>64.099999999999994</c:v>
                </c:pt>
                <c:pt idx="7" formatCode="General">
                  <c:v>47.8</c:v>
                </c:pt>
                <c:pt idx="8" formatCode="General">
                  <c:v>335.4</c:v>
                </c:pt>
              </c:numCache>
            </c:numRef>
          </c:val>
          <c:extLst xmlns:c16r2="http://schemas.microsoft.com/office/drawing/2015/06/chart">
            <c:ext xmlns:c16="http://schemas.microsoft.com/office/drawing/2014/chart" uri="{C3380CC4-5D6E-409C-BE32-E72D297353CC}">
              <c16:uniqueId val="{00000001-E247-48BD-8E4D-D629A0A23253}"/>
            </c:ext>
          </c:extLst>
        </c:ser>
        <c:dLbls>
          <c:showLegendKey val="0"/>
          <c:showVal val="0"/>
          <c:showCatName val="0"/>
          <c:showSerName val="0"/>
          <c:showPercent val="0"/>
          <c:showBubbleSize val="0"/>
        </c:dLbls>
        <c:gapWidth val="100"/>
        <c:axId val="651043160"/>
        <c:axId val="651040024"/>
      </c:barChart>
      <c:catAx>
        <c:axId val="651043160"/>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fr-FR"/>
                  <a:t>Produit</a:t>
                </a:r>
                <a:r>
                  <a:rPr lang="fr-FR" baseline="0"/>
                  <a:t>s </a:t>
                </a:r>
                <a:r>
                  <a:rPr lang="fr-FR"/>
                  <a:t>exportés</a:t>
                </a:r>
              </a:p>
            </c:rich>
          </c:tx>
          <c:overlay val="0"/>
          <c:spPr>
            <a:noFill/>
            <a:ln>
              <a:noFill/>
            </a:ln>
            <a:effectLst/>
          </c:sp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fr-FR"/>
          </a:p>
        </c:txPr>
        <c:crossAx val="651040024"/>
        <c:crosses val="autoZero"/>
        <c:auto val="1"/>
        <c:lblAlgn val="ctr"/>
        <c:lblOffset val="100"/>
        <c:noMultiLvlLbl val="0"/>
      </c:catAx>
      <c:valAx>
        <c:axId val="651040024"/>
        <c:scaling>
          <c:orientation val="minMax"/>
        </c:scaling>
        <c:delete val="0"/>
        <c:axPos val="b"/>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fr-FR"/>
          </a:p>
        </c:txPr>
        <c:crossAx val="651043160"/>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fr-FR"/>
          </a:p>
        </c:txPr>
      </c:dTable>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fr-F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fr-FR" sz="1100"/>
              <a:t>Contribution</a:t>
            </a:r>
            <a:r>
              <a:rPr lang="fr-FR" sz="1100" baseline="0"/>
              <a:t> du secteur extractif dans les exportations en 2015 et 2016 (en million de USD) </a:t>
            </a:r>
            <a:endParaRPr lang="fr-FR" sz="1100"/>
          </a:p>
        </c:rich>
      </c:tx>
      <c:overlay val="0"/>
      <c:spPr>
        <a:noFill/>
        <a:ln>
          <a:noFill/>
        </a:ln>
        <a:effectLst/>
      </c:spPr>
    </c:title>
    <c:autoTitleDeleted val="0"/>
    <c:plotArea>
      <c:layout/>
      <c:barChart>
        <c:barDir val="bar"/>
        <c:grouping val="clustered"/>
        <c:varyColors val="0"/>
        <c:ser>
          <c:idx val="0"/>
          <c:order val="0"/>
          <c:tx>
            <c:strRef>
              <c:f>Feuil1!$C$27</c:f>
              <c:strCache>
                <c:ptCount val="1"/>
                <c:pt idx="0">
                  <c:v>Total secteur extractif</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Feuil1!$D$26:$E$26</c:f>
              <c:numCache>
                <c:formatCode>General</c:formatCode>
                <c:ptCount val="2"/>
                <c:pt idx="0">
                  <c:v>2015</c:v>
                </c:pt>
                <c:pt idx="1">
                  <c:v>2016</c:v>
                </c:pt>
              </c:numCache>
            </c:numRef>
          </c:cat>
          <c:val>
            <c:numRef>
              <c:f>Feuil1!$D$27:$E$27</c:f>
              <c:numCache>
                <c:formatCode>#,##0.00</c:formatCode>
                <c:ptCount val="2"/>
                <c:pt idx="0">
                  <c:v>10083.700000000001</c:v>
                </c:pt>
                <c:pt idx="1">
                  <c:v>9733.7000000000007</c:v>
                </c:pt>
              </c:numCache>
            </c:numRef>
          </c:val>
          <c:extLst xmlns:c16r2="http://schemas.microsoft.com/office/drawing/2015/06/chart">
            <c:ext xmlns:c16="http://schemas.microsoft.com/office/drawing/2014/chart" uri="{C3380CC4-5D6E-409C-BE32-E72D297353CC}">
              <c16:uniqueId val="{00000000-ACE9-4FB5-BAB5-CEB09CF39CBD}"/>
            </c:ext>
          </c:extLst>
        </c:ser>
        <c:ser>
          <c:idx val="1"/>
          <c:order val="1"/>
          <c:tx>
            <c:strRef>
              <c:f>Feuil1!$C$28</c:f>
              <c:strCache>
                <c:ptCount val="1"/>
                <c:pt idx="0">
                  <c:v>Total exportations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Feuil1!$D$26:$E$26</c:f>
              <c:numCache>
                <c:formatCode>General</c:formatCode>
                <c:ptCount val="2"/>
                <c:pt idx="0">
                  <c:v>2015</c:v>
                </c:pt>
                <c:pt idx="1">
                  <c:v>2016</c:v>
                </c:pt>
              </c:numCache>
            </c:numRef>
          </c:cat>
          <c:val>
            <c:numRef>
              <c:f>Feuil1!$D$28:$E$28</c:f>
              <c:numCache>
                <c:formatCode>#,##0.00</c:formatCode>
                <c:ptCount val="2"/>
                <c:pt idx="0">
                  <c:v>10284.799999999999</c:v>
                </c:pt>
                <c:pt idx="1">
                  <c:v>9979.9</c:v>
                </c:pt>
              </c:numCache>
            </c:numRef>
          </c:val>
          <c:extLst xmlns:c16r2="http://schemas.microsoft.com/office/drawing/2015/06/chart">
            <c:ext xmlns:c16="http://schemas.microsoft.com/office/drawing/2014/chart" uri="{C3380CC4-5D6E-409C-BE32-E72D297353CC}">
              <c16:uniqueId val="{00000001-ACE9-4FB5-BAB5-CEB09CF39CBD}"/>
            </c:ext>
          </c:extLst>
        </c:ser>
        <c:dLbls>
          <c:showLegendKey val="0"/>
          <c:showVal val="0"/>
          <c:showCatName val="0"/>
          <c:showSerName val="0"/>
          <c:showPercent val="0"/>
          <c:showBubbleSize val="0"/>
        </c:dLbls>
        <c:gapWidth val="115"/>
        <c:overlap val="-20"/>
        <c:axId val="651037672"/>
        <c:axId val="651039240"/>
      </c:barChart>
      <c:catAx>
        <c:axId val="651037672"/>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fr-FR"/>
                  <a:t>Années</a:t>
                </a:r>
              </a:p>
            </c:rich>
          </c:tx>
          <c:layout>
            <c:manualLayout>
              <c:xMode val="edge"/>
              <c:yMode val="edge"/>
              <c:x val="2.5569502556950254E-2"/>
              <c:y val="0.23480752405949257"/>
            </c:manualLayout>
          </c:layout>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51039240"/>
        <c:crosses val="autoZero"/>
        <c:auto val="1"/>
        <c:lblAlgn val="ctr"/>
        <c:lblOffset val="100"/>
        <c:noMultiLvlLbl val="0"/>
      </c:catAx>
      <c:valAx>
        <c:axId val="65103924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510376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dTable>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33F753-0E87-4912-B56B-91A35399B18D}" type="doc">
      <dgm:prSet loTypeId="urn:microsoft.com/office/officeart/2005/8/layout/vList5" loCatId="list" qsTypeId="urn:microsoft.com/office/officeart/2005/8/quickstyle/simple3" qsCatId="simple" csTypeId="urn:microsoft.com/office/officeart/2005/8/colors/colorful5" csCatId="colorful" phldr="1"/>
      <dgm:spPr/>
      <dgm:t>
        <a:bodyPr/>
        <a:lstStyle/>
        <a:p>
          <a:endParaRPr lang="fr-FR"/>
        </a:p>
      </dgm:t>
    </dgm:pt>
    <dgm:pt modelId="{E0A68AE0-CF42-4B3C-887D-8501F291FB56}">
      <dgm:prSet phldrT="[Texte]" custT="1"/>
      <dgm:spPr>
        <a:xfrm>
          <a:off x="537386" y="8855"/>
          <a:ext cx="939833" cy="266104"/>
        </a:xfrm>
      </dgm:spPr>
      <dgm:t>
        <a:bodyPr/>
        <a:lstStyle/>
        <a:p>
          <a:r>
            <a:rPr lang="fr-FR" sz="800" b="1">
              <a:latin typeface="Calibri"/>
              <a:ea typeface="+mn-ea"/>
              <a:cs typeface="+mn-cs"/>
            </a:rPr>
            <a:t>TEXTES LEGAUX &amp; REGLEMENTAIRES</a:t>
          </a:r>
        </a:p>
      </dgm:t>
    </dgm:pt>
    <dgm:pt modelId="{C3405CCA-FF82-4267-B88A-9D9CD02F305E}" type="parTrans" cxnId="{43ED8F6E-8E45-40BC-A755-A2E82CD20273}">
      <dgm:prSet/>
      <dgm:spPr/>
      <dgm:t>
        <a:bodyPr/>
        <a:lstStyle/>
        <a:p>
          <a:endParaRPr lang="fr-FR"/>
        </a:p>
      </dgm:t>
    </dgm:pt>
    <dgm:pt modelId="{A6231FD4-7A77-4288-BFFD-C720E30721F8}" type="sibTrans" cxnId="{43ED8F6E-8E45-40BC-A755-A2E82CD20273}">
      <dgm:prSet/>
      <dgm:spPr/>
      <dgm:t>
        <a:bodyPr/>
        <a:lstStyle/>
        <a:p>
          <a:endParaRPr lang="fr-FR"/>
        </a:p>
      </dgm:t>
    </dgm:pt>
    <dgm:pt modelId="{1F91BC66-45FD-4919-875F-AB5049ABDC15}">
      <dgm:prSet phldrT="[Texte]" custT="1"/>
      <dgm:spPr>
        <a:xfrm rot="5400000">
          <a:off x="3127667" y="-1648853"/>
          <a:ext cx="280626" cy="3581521"/>
        </a:xfrm>
      </dgm:spPr>
      <dgm:t>
        <a:bodyPr lIns="108000" rIns="180000"/>
        <a:lstStyle/>
        <a:p>
          <a:r>
            <a:rPr lang="fr-FR" sz="900" b="0" kern="700" baseline="0">
              <a:ln/>
              <a:latin typeface="Calibri"/>
              <a:ea typeface="+mn-ea"/>
              <a:cs typeface="+mn-cs"/>
            </a:rPr>
            <a:t>Cadre légal et régime fiscal</a:t>
          </a:r>
        </a:p>
      </dgm:t>
    </dgm:pt>
    <dgm:pt modelId="{CA6A72D0-07CE-49EA-82F4-27B878EA63E3}" type="parTrans" cxnId="{7304756D-943C-4BE9-8481-52DDA7E6D29A}">
      <dgm:prSet/>
      <dgm:spPr/>
      <dgm:t>
        <a:bodyPr/>
        <a:lstStyle/>
        <a:p>
          <a:endParaRPr lang="fr-FR"/>
        </a:p>
      </dgm:t>
    </dgm:pt>
    <dgm:pt modelId="{3832CFCC-8F63-4F7C-9CA2-B30D5FFDF804}" type="sibTrans" cxnId="{7304756D-943C-4BE9-8481-52DDA7E6D29A}">
      <dgm:prSet/>
      <dgm:spPr/>
      <dgm:t>
        <a:bodyPr/>
        <a:lstStyle/>
        <a:p>
          <a:endParaRPr lang="fr-FR"/>
        </a:p>
      </dgm:t>
    </dgm:pt>
    <dgm:pt modelId="{5BB7AB63-AC45-493E-B9EA-B0AB6255C2C2}">
      <dgm:prSet custT="1"/>
      <dgm:spPr>
        <a:xfrm>
          <a:off x="537386" y="307021"/>
          <a:ext cx="939833" cy="266104"/>
        </a:xfrm>
      </dgm:spPr>
      <dgm:t>
        <a:bodyPr/>
        <a:lstStyle/>
        <a:p>
          <a:r>
            <a:rPr lang="fr-FR" sz="800" b="1">
              <a:latin typeface="Calibri"/>
              <a:ea typeface="+mn-ea"/>
              <a:cs typeface="+mn-cs"/>
            </a:rPr>
            <a:t>CAMI, SGH</a:t>
          </a:r>
        </a:p>
      </dgm:t>
    </dgm:pt>
    <dgm:pt modelId="{BED2F17C-F288-4568-8B94-21BED9969414}" type="parTrans" cxnId="{D1A5B6D2-479C-44A0-9B7C-3BEC25CC827D}">
      <dgm:prSet/>
      <dgm:spPr/>
      <dgm:t>
        <a:bodyPr/>
        <a:lstStyle/>
        <a:p>
          <a:endParaRPr lang="fr-FR"/>
        </a:p>
      </dgm:t>
    </dgm:pt>
    <dgm:pt modelId="{64311211-F32C-4554-A12C-6C9446F0DE27}" type="sibTrans" cxnId="{D1A5B6D2-479C-44A0-9B7C-3BEC25CC827D}">
      <dgm:prSet/>
      <dgm:spPr/>
      <dgm:t>
        <a:bodyPr/>
        <a:lstStyle/>
        <a:p>
          <a:endParaRPr lang="fr-FR"/>
        </a:p>
      </dgm:t>
    </dgm:pt>
    <dgm:pt modelId="{44BEC48A-98E9-48C9-81D0-94C46027A794}">
      <dgm:prSet custT="1"/>
      <dgm:spPr>
        <a:xfrm rot="5400000">
          <a:off x="3127667" y="-1350687"/>
          <a:ext cx="280626" cy="3581521"/>
        </a:xfrm>
      </dgm:spPr>
      <dgm:t>
        <a:bodyPr lIns="108000" rIns="180000"/>
        <a:lstStyle/>
        <a:p>
          <a:r>
            <a:rPr lang="fr-FR" sz="900" b="0" kern="700" baseline="0">
              <a:ln/>
              <a:latin typeface="Calibri"/>
              <a:ea typeface="+mn-ea"/>
              <a:cs typeface="+mn-cs"/>
            </a:rPr>
            <a:t>Procédures d'attribution  des droits</a:t>
          </a:r>
        </a:p>
      </dgm:t>
    </dgm:pt>
    <dgm:pt modelId="{2050BD4A-DE6C-4A59-8128-E6BF73CACD38}" type="parTrans" cxnId="{F94CC44C-E505-4098-8EB6-B2D76415835C}">
      <dgm:prSet/>
      <dgm:spPr/>
      <dgm:t>
        <a:bodyPr/>
        <a:lstStyle/>
        <a:p>
          <a:endParaRPr lang="fr-FR"/>
        </a:p>
      </dgm:t>
    </dgm:pt>
    <dgm:pt modelId="{FF884253-79CB-4E42-82F0-E21AEA72A1F0}" type="sibTrans" cxnId="{F94CC44C-E505-4098-8EB6-B2D76415835C}">
      <dgm:prSet/>
      <dgm:spPr/>
      <dgm:t>
        <a:bodyPr/>
        <a:lstStyle/>
        <a:p>
          <a:endParaRPr lang="fr-FR"/>
        </a:p>
      </dgm:t>
    </dgm:pt>
    <dgm:pt modelId="{7A8C8B25-2F5D-41AE-AC66-93D00C62EF11}">
      <dgm:prSet custT="1"/>
      <dgm:spPr>
        <a:xfrm>
          <a:off x="537386" y="605187"/>
          <a:ext cx="939833" cy="266104"/>
        </a:xfrm>
      </dgm:spPr>
      <dgm:t>
        <a:bodyPr/>
        <a:lstStyle/>
        <a:p>
          <a:r>
            <a:rPr lang="fr-FR" sz="800" b="1">
              <a:latin typeface="Calibri"/>
              <a:ea typeface="+mn-ea"/>
              <a:cs typeface="+mn-cs"/>
            </a:rPr>
            <a:t>CAMI, SGH</a:t>
          </a:r>
        </a:p>
      </dgm:t>
    </dgm:pt>
    <dgm:pt modelId="{6DC4C0EC-2653-49F8-9594-7E791F871854}" type="parTrans" cxnId="{DEC262A1-C234-422D-BD33-B1536D040D0C}">
      <dgm:prSet/>
      <dgm:spPr/>
      <dgm:t>
        <a:bodyPr/>
        <a:lstStyle/>
        <a:p>
          <a:endParaRPr lang="fr-FR"/>
        </a:p>
      </dgm:t>
    </dgm:pt>
    <dgm:pt modelId="{DB0E688F-A900-48C9-84F9-1EEA8EC1E883}" type="sibTrans" cxnId="{DEC262A1-C234-422D-BD33-B1536D040D0C}">
      <dgm:prSet/>
      <dgm:spPr/>
      <dgm:t>
        <a:bodyPr/>
        <a:lstStyle/>
        <a:p>
          <a:endParaRPr lang="fr-FR"/>
        </a:p>
      </dgm:t>
    </dgm:pt>
    <dgm:pt modelId="{F702FD2F-61DF-4F27-AB35-4A49C1C270BE}">
      <dgm:prSet custT="1"/>
      <dgm:spPr>
        <a:xfrm rot="5400000">
          <a:off x="3127667" y="-1052521"/>
          <a:ext cx="280626" cy="3581521"/>
        </a:xfrm>
      </dgm:spPr>
      <dgm:t>
        <a:bodyPr lIns="108000" rIns="180000"/>
        <a:lstStyle/>
        <a:p>
          <a:r>
            <a:rPr lang="fr-FR" sz="900" b="0" kern="700" baseline="0">
              <a:ln/>
              <a:latin typeface="Calibri"/>
              <a:ea typeface="+mn-ea"/>
              <a:cs typeface="+mn-cs"/>
            </a:rPr>
            <a:t>Registres de droits</a:t>
          </a:r>
        </a:p>
      </dgm:t>
    </dgm:pt>
    <dgm:pt modelId="{1BCD56A1-EC23-4869-AB5E-03A27BFF189E}" type="parTrans" cxnId="{41926623-170A-4344-898F-C87B7B17AD36}">
      <dgm:prSet/>
      <dgm:spPr/>
      <dgm:t>
        <a:bodyPr/>
        <a:lstStyle/>
        <a:p>
          <a:endParaRPr lang="fr-FR"/>
        </a:p>
      </dgm:t>
    </dgm:pt>
    <dgm:pt modelId="{4722041A-BDA9-42DE-903B-1D758C552A06}" type="sibTrans" cxnId="{41926623-170A-4344-898F-C87B7B17AD36}">
      <dgm:prSet/>
      <dgm:spPr/>
      <dgm:t>
        <a:bodyPr/>
        <a:lstStyle/>
        <a:p>
          <a:endParaRPr lang="fr-FR"/>
        </a:p>
      </dgm:t>
    </dgm:pt>
    <dgm:pt modelId="{623B77A5-6552-4C58-8682-7B833620E8DB}">
      <dgm:prSet custT="1"/>
      <dgm:spPr>
        <a:xfrm>
          <a:off x="537386" y="903353"/>
          <a:ext cx="939833" cy="266104"/>
        </a:xfrm>
      </dgm:spPr>
      <dgm:t>
        <a:bodyPr/>
        <a:lstStyle/>
        <a:p>
          <a:r>
            <a:rPr lang="fr-FR" sz="800" b="1">
              <a:latin typeface="Calibri"/>
              <a:ea typeface="+mn-ea"/>
              <a:cs typeface="+mn-cs"/>
            </a:rPr>
            <a:t>Min. PF, Mines, Hydro</a:t>
          </a:r>
        </a:p>
      </dgm:t>
    </dgm:pt>
    <dgm:pt modelId="{47355F99-9BB6-4AA9-9023-59FA76DFBD14}" type="parTrans" cxnId="{FD474AC3-72D6-46AE-8DB1-CF52B9103EED}">
      <dgm:prSet/>
      <dgm:spPr/>
      <dgm:t>
        <a:bodyPr/>
        <a:lstStyle/>
        <a:p>
          <a:endParaRPr lang="fr-FR"/>
        </a:p>
      </dgm:t>
    </dgm:pt>
    <dgm:pt modelId="{910AE067-E411-439D-9BD6-F95064C1CE0D}" type="sibTrans" cxnId="{FD474AC3-72D6-46AE-8DB1-CF52B9103EED}">
      <dgm:prSet/>
      <dgm:spPr/>
      <dgm:t>
        <a:bodyPr/>
        <a:lstStyle/>
        <a:p>
          <a:endParaRPr lang="fr-FR"/>
        </a:p>
      </dgm:t>
    </dgm:pt>
    <dgm:pt modelId="{149CBCB2-C0B8-456C-A106-D70E13763336}">
      <dgm:prSet custT="1"/>
      <dgm:spPr>
        <a:xfrm rot="5400000">
          <a:off x="3127667" y="-754355"/>
          <a:ext cx="280626" cy="3581521"/>
        </a:xfrm>
      </dgm:spPr>
      <dgm:t>
        <a:bodyPr lIns="108000" rIns="180000"/>
        <a:lstStyle/>
        <a:p>
          <a:r>
            <a:rPr lang="fr-FR" sz="900" b="0" kern="700" baseline="0">
              <a:ln/>
              <a:latin typeface="Calibri"/>
              <a:ea typeface="+mn-ea"/>
              <a:cs typeface="+mn-cs"/>
            </a:rPr>
            <a:t>Politique de publication des contrats </a:t>
          </a:r>
        </a:p>
      </dgm:t>
    </dgm:pt>
    <dgm:pt modelId="{0FB74CE1-4F09-4183-AB8B-E58898A0D4F3}" type="parTrans" cxnId="{B7F87FFA-FF58-4784-8EC0-613C2A47E2F0}">
      <dgm:prSet/>
      <dgm:spPr/>
      <dgm:t>
        <a:bodyPr/>
        <a:lstStyle/>
        <a:p>
          <a:endParaRPr lang="fr-FR"/>
        </a:p>
      </dgm:t>
    </dgm:pt>
    <dgm:pt modelId="{1D5FD501-9E46-4BE0-A2A9-8777A87246BF}" type="sibTrans" cxnId="{B7F87FFA-FF58-4784-8EC0-613C2A47E2F0}">
      <dgm:prSet/>
      <dgm:spPr/>
      <dgm:t>
        <a:bodyPr/>
        <a:lstStyle/>
        <a:p>
          <a:endParaRPr lang="fr-FR"/>
        </a:p>
      </dgm:t>
    </dgm:pt>
    <dgm:pt modelId="{57B99788-9046-4C03-8B73-4794AD2B2E9C}">
      <dgm:prSet custT="1"/>
      <dgm:spPr>
        <a:xfrm>
          <a:off x="537386" y="1201519"/>
          <a:ext cx="939833" cy="266104"/>
        </a:xfrm>
      </dgm:spPr>
      <dgm:t>
        <a:bodyPr/>
        <a:lstStyle/>
        <a:p>
          <a:r>
            <a:rPr lang="fr-FR" sz="800" b="1">
              <a:latin typeface="Calibri"/>
              <a:ea typeface="+mn-ea"/>
              <a:cs typeface="+mn-cs"/>
            </a:rPr>
            <a:t>ENTREPRISES</a:t>
          </a:r>
        </a:p>
      </dgm:t>
    </dgm:pt>
    <dgm:pt modelId="{D048256A-E5DD-497E-90EF-7A2307BFD194}" type="parTrans" cxnId="{D5BAF9F7-961B-4D41-BBDC-0E00229318AE}">
      <dgm:prSet/>
      <dgm:spPr/>
      <dgm:t>
        <a:bodyPr/>
        <a:lstStyle/>
        <a:p>
          <a:endParaRPr lang="fr-FR"/>
        </a:p>
      </dgm:t>
    </dgm:pt>
    <dgm:pt modelId="{9834E83A-B906-47A5-9506-23E448E2271F}" type="sibTrans" cxnId="{D5BAF9F7-961B-4D41-BBDC-0E00229318AE}">
      <dgm:prSet/>
      <dgm:spPr/>
      <dgm:t>
        <a:bodyPr/>
        <a:lstStyle/>
        <a:p>
          <a:endParaRPr lang="fr-FR"/>
        </a:p>
      </dgm:t>
    </dgm:pt>
    <dgm:pt modelId="{62AEA772-7D34-44F6-ADEC-5C9F79E9217B}">
      <dgm:prSet custT="1"/>
      <dgm:spPr>
        <a:xfrm rot="5400000">
          <a:off x="3127667" y="-456189"/>
          <a:ext cx="280626" cy="3581521"/>
        </a:xfrm>
      </dgm:spPr>
      <dgm:t>
        <a:bodyPr lIns="108000" rIns="180000"/>
        <a:lstStyle/>
        <a:p>
          <a:r>
            <a:rPr lang="fr-FR" sz="900" b="0" kern="700" baseline="0">
              <a:ln/>
              <a:latin typeface="Calibri"/>
              <a:ea typeface="+mn-ea"/>
              <a:cs typeface="+mn-cs"/>
            </a:rPr>
            <a:t>Propriété réelle</a:t>
          </a:r>
        </a:p>
      </dgm:t>
    </dgm:pt>
    <dgm:pt modelId="{8BD10442-BBB5-46D4-AA9D-0A91B2B82FDB}" type="parTrans" cxnId="{BDF3FE23-2A1F-4F84-9736-0A307F78FF95}">
      <dgm:prSet/>
      <dgm:spPr/>
      <dgm:t>
        <a:bodyPr/>
        <a:lstStyle/>
        <a:p>
          <a:endParaRPr lang="fr-FR"/>
        </a:p>
      </dgm:t>
    </dgm:pt>
    <dgm:pt modelId="{8F31B176-3ECB-4C1F-B875-D6F242F8F6F4}" type="sibTrans" cxnId="{BDF3FE23-2A1F-4F84-9736-0A307F78FF95}">
      <dgm:prSet/>
      <dgm:spPr/>
      <dgm:t>
        <a:bodyPr/>
        <a:lstStyle/>
        <a:p>
          <a:endParaRPr lang="fr-FR"/>
        </a:p>
      </dgm:t>
    </dgm:pt>
    <dgm:pt modelId="{26B3E9DC-DE66-4F2A-9675-06A8525BB456}">
      <dgm:prSet custT="1"/>
      <dgm:spPr>
        <a:xfrm>
          <a:off x="537386" y="1499684"/>
          <a:ext cx="939833" cy="266104"/>
        </a:xfrm>
      </dgm:spPr>
      <dgm:t>
        <a:bodyPr/>
        <a:lstStyle/>
        <a:p>
          <a:r>
            <a:rPr lang="fr-FR" sz="800" b="1">
              <a:latin typeface="Calibri"/>
              <a:ea typeface="+mn-ea"/>
              <a:cs typeface="+mn-cs"/>
            </a:rPr>
            <a:t>Min. du PF, EPE</a:t>
          </a:r>
        </a:p>
      </dgm:t>
    </dgm:pt>
    <dgm:pt modelId="{F8D9DDF4-FC56-47FC-AEAB-F8C6E28EDCE2}" type="parTrans" cxnId="{EFA76EB8-35FA-48C7-B7A2-7B0AE1E6B0C8}">
      <dgm:prSet/>
      <dgm:spPr/>
      <dgm:t>
        <a:bodyPr/>
        <a:lstStyle/>
        <a:p>
          <a:endParaRPr lang="fr-FR"/>
        </a:p>
      </dgm:t>
    </dgm:pt>
    <dgm:pt modelId="{09F4A4D5-C879-4C75-95EF-28210CC7C5FB}" type="sibTrans" cxnId="{EFA76EB8-35FA-48C7-B7A2-7B0AE1E6B0C8}">
      <dgm:prSet/>
      <dgm:spPr/>
      <dgm:t>
        <a:bodyPr/>
        <a:lstStyle/>
        <a:p>
          <a:endParaRPr lang="fr-FR"/>
        </a:p>
      </dgm:t>
    </dgm:pt>
    <dgm:pt modelId="{686C2973-3DA2-4657-8175-5474128DFAF0}">
      <dgm:prSet custT="1"/>
      <dgm:spPr>
        <a:xfrm rot="5400000">
          <a:off x="3127667" y="-158023"/>
          <a:ext cx="280626" cy="3581521"/>
        </a:xfrm>
      </dgm:spPr>
      <dgm:t>
        <a:bodyPr lIns="108000" rIns="180000"/>
        <a:lstStyle/>
        <a:p>
          <a:r>
            <a:rPr lang="fr-FR" sz="900" b="0" kern="700" baseline="0">
              <a:ln/>
              <a:latin typeface="Calibri"/>
              <a:ea typeface="+mn-ea"/>
              <a:cs typeface="+mn-cs"/>
            </a:rPr>
            <a:t>Participation de l'Etat dans les industries extractives</a:t>
          </a:r>
        </a:p>
      </dgm:t>
    </dgm:pt>
    <dgm:pt modelId="{435CF184-9DC5-45D0-9445-6C1239C84E14}" type="parTrans" cxnId="{C383781F-D894-4C27-B23F-98C675CDF32C}">
      <dgm:prSet/>
      <dgm:spPr/>
      <dgm:t>
        <a:bodyPr/>
        <a:lstStyle/>
        <a:p>
          <a:endParaRPr lang="fr-FR"/>
        </a:p>
      </dgm:t>
    </dgm:pt>
    <dgm:pt modelId="{337FD82D-36C4-4713-9DFC-D291F1624565}" type="sibTrans" cxnId="{C383781F-D894-4C27-B23F-98C675CDF32C}">
      <dgm:prSet/>
      <dgm:spPr/>
      <dgm:t>
        <a:bodyPr/>
        <a:lstStyle/>
        <a:p>
          <a:endParaRPr lang="fr-FR"/>
        </a:p>
      </dgm:t>
    </dgm:pt>
    <dgm:pt modelId="{D6B733E7-028D-4785-AFE8-BAA4C57C09B3}">
      <dgm:prSet custT="1"/>
      <dgm:spPr>
        <a:xfrm>
          <a:off x="537386" y="1797850"/>
          <a:ext cx="939833" cy="266104"/>
        </a:xfrm>
      </dgm:spPr>
      <dgm:t>
        <a:bodyPr/>
        <a:lstStyle/>
        <a:p>
          <a:r>
            <a:rPr lang="fr-FR" sz="700" b="1">
              <a:latin typeface="Calibri"/>
              <a:ea typeface="+mn-ea"/>
              <a:cs typeface="+mn-cs"/>
            </a:rPr>
            <a:t>ENTREPRISES, CTCPM,CAMI, BCC, SGH</a:t>
          </a:r>
        </a:p>
      </dgm:t>
    </dgm:pt>
    <dgm:pt modelId="{C535346D-BE5A-4821-A51F-5F952505A917}" type="parTrans" cxnId="{8D8B075D-9212-44BB-810F-885395355EAB}">
      <dgm:prSet/>
      <dgm:spPr/>
      <dgm:t>
        <a:bodyPr/>
        <a:lstStyle/>
        <a:p>
          <a:endParaRPr lang="fr-FR"/>
        </a:p>
      </dgm:t>
    </dgm:pt>
    <dgm:pt modelId="{0110ADD9-D957-411B-8DF5-C01F08A4B635}" type="sibTrans" cxnId="{8D8B075D-9212-44BB-810F-885395355EAB}">
      <dgm:prSet/>
      <dgm:spPr/>
      <dgm:t>
        <a:bodyPr/>
        <a:lstStyle/>
        <a:p>
          <a:endParaRPr lang="fr-FR"/>
        </a:p>
      </dgm:t>
    </dgm:pt>
    <dgm:pt modelId="{033CD385-B267-4099-96DF-3EC0A415BFB1}">
      <dgm:prSet custT="1"/>
      <dgm:spPr>
        <a:xfrm rot="5400000">
          <a:off x="3127667" y="140141"/>
          <a:ext cx="280626" cy="3581521"/>
        </a:xfrm>
      </dgm:spPr>
      <dgm:t>
        <a:bodyPr lIns="108000" rIns="180000"/>
        <a:lstStyle/>
        <a:p>
          <a:r>
            <a:rPr lang="fr-FR" sz="900" b="0" kern="700" baseline="0">
              <a:ln/>
              <a:latin typeface="Calibri"/>
              <a:ea typeface="+mn-ea"/>
              <a:cs typeface="+mn-cs"/>
            </a:rPr>
            <a:t>Prospection, production et exportations</a:t>
          </a:r>
        </a:p>
      </dgm:t>
    </dgm:pt>
    <dgm:pt modelId="{EC0403AC-CB47-486D-AD69-4D9B05649D0C}" type="parTrans" cxnId="{C887BF13-29C3-4BE2-A8B9-6381BF3C52CF}">
      <dgm:prSet/>
      <dgm:spPr/>
      <dgm:t>
        <a:bodyPr/>
        <a:lstStyle/>
        <a:p>
          <a:endParaRPr lang="fr-FR"/>
        </a:p>
      </dgm:t>
    </dgm:pt>
    <dgm:pt modelId="{E8ABFAF5-796D-44B8-87DA-643F3D7A7C9F}" type="sibTrans" cxnId="{C887BF13-29C3-4BE2-A8B9-6381BF3C52CF}">
      <dgm:prSet/>
      <dgm:spPr/>
      <dgm:t>
        <a:bodyPr/>
        <a:lstStyle/>
        <a:p>
          <a:endParaRPr lang="fr-FR"/>
        </a:p>
      </dgm:t>
    </dgm:pt>
    <dgm:pt modelId="{D00EA431-5EA0-4A9B-8D7F-C1F5ABD0871E}">
      <dgm:prSet custT="1"/>
      <dgm:spPr>
        <a:xfrm>
          <a:off x="537386" y="2096016"/>
          <a:ext cx="939833" cy="266104"/>
        </a:xfrm>
      </dgm:spPr>
      <dgm:t>
        <a:bodyPr/>
        <a:lstStyle/>
        <a:p>
          <a:r>
            <a:rPr lang="fr-FR" sz="800" b="1">
              <a:latin typeface="Calibri"/>
              <a:ea typeface="+mn-ea"/>
              <a:cs typeface="+mn-cs"/>
            </a:rPr>
            <a:t>CTR, BCC</a:t>
          </a:r>
        </a:p>
      </dgm:t>
    </dgm:pt>
    <dgm:pt modelId="{7FAACA6F-DA57-4704-8850-7E9BB064EC79}" type="parTrans" cxnId="{21E87CF8-8FCD-494A-9163-AAAE0CFE8E20}">
      <dgm:prSet/>
      <dgm:spPr/>
      <dgm:t>
        <a:bodyPr/>
        <a:lstStyle/>
        <a:p>
          <a:endParaRPr lang="fr-FR"/>
        </a:p>
      </dgm:t>
    </dgm:pt>
    <dgm:pt modelId="{7F93C2A7-09BD-40BD-B78F-040E0E87E7D0}" type="sibTrans" cxnId="{21E87CF8-8FCD-494A-9163-AAAE0CFE8E20}">
      <dgm:prSet/>
      <dgm:spPr/>
      <dgm:t>
        <a:bodyPr/>
        <a:lstStyle/>
        <a:p>
          <a:endParaRPr lang="fr-FR"/>
        </a:p>
      </dgm:t>
    </dgm:pt>
    <dgm:pt modelId="{A563DE17-A4BF-402B-A9AC-102258F55852}">
      <dgm:prSet custT="1"/>
      <dgm:spPr>
        <a:xfrm rot="5400000">
          <a:off x="3127667" y="438307"/>
          <a:ext cx="280626" cy="3581521"/>
        </a:xfrm>
      </dgm:spPr>
      <dgm:t>
        <a:bodyPr lIns="108000" rIns="180000"/>
        <a:lstStyle/>
        <a:p>
          <a:r>
            <a:rPr lang="fr-FR" sz="900" b="0" kern="700" baseline="0">
              <a:ln/>
              <a:latin typeface="Calibri"/>
              <a:ea typeface="+mn-ea"/>
              <a:cs typeface="+mn-cs"/>
            </a:rPr>
            <a:t>Transferts infranationaux</a:t>
          </a:r>
        </a:p>
      </dgm:t>
    </dgm:pt>
    <dgm:pt modelId="{20A71A6C-BD2B-46CF-AA91-E814F3AAC8FC}" type="parTrans" cxnId="{1C3755E5-CA80-4DA9-8070-EE9A18A2A5AC}">
      <dgm:prSet/>
      <dgm:spPr/>
      <dgm:t>
        <a:bodyPr/>
        <a:lstStyle/>
        <a:p>
          <a:endParaRPr lang="fr-FR"/>
        </a:p>
      </dgm:t>
    </dgm:pt>
    <dgm:pt modelId="{6B14C4F2-42EF-45EC-AC1E-EB4C4B6DB112}" type="sibTrans" cxnId="{1C3755E5-CA80-4DA9-8070-EE9A18A2A5AC}">
      <dgm:prSet/>
      <dgm:spPr/>
      <dgm:t>
        <a:bodyPr/>
        <a:lstStyle/>
        <a:p>
          <a:endParaRPr lang="fr-FR"/>
        </a:p>
      </dgm:t>
    </dgm:pt>
    <dgm:pt modelId="{C2EA40D1-631D-4255-A44A-936F85D67B6F}">
      <dgm:prSet custT="1"/>
      <dgm:spPr>
        <a:xfrm>
          <a:off x="537386" y="2394182"/>
          <a:ext cx="939833" cy="266104"/>
        </a:xfrm>
      </dgm:spPr>
      <dgm:t>
        <a:bodyPr/>
        <a:lstStyle/>
        <a:p>
          <a:r>
            <a:rPr lang="fr-FR" sz="800" b="1">
              <a:latin typeface="Calibri"/>
              <a:ea typeface="+mn-ea"/>
              <a:cs typeface="+mn-cs"/>
            </a:rPr>
            <a:t>ENTREPRISES</a:t>
          </a:r>
        </a:p>
      </dgm:t>
    </dgm:pt>
    <dgm:pt modelId="{89C01376-4CEC-42FE-AEF0-1E5C969D66A7}" type="parTrans" cxnId="{B0FFA7C1-4092-4E65-9B2D-07D0E75B37EE}">
      <dgm:prSet/>
      <dgm:spPr/>
      <dgm:t>
        <a:bodyPr/>
        <a:lstStyle/>
        <a:p>
          <a:endParaRPr lang="fr-FR"/>
        </a:p>
      </dgm:t>
    </dgm:pt>
    <dgm:pt modelId="{22DF22C3-9817-49B6-9642-F80DFAF87CD6}" type="sibTrans" cxnId="{B0FFA7C1-4092-4E65-9B2D-07D0E75B37EE}">
      <dgm:prSet/>
      <dgm:spPr/>
      <dgm:t>
        <a:bodyPr/>
        <a:lstStyle/>
        <a:p>
          <a:endParaRPr lang="fr-FR"/>
        </a:p>
      </dgm:t>
    </dgm:pt>
    <dgm:pt modelId="{EFF23425-5A6B-4E4F-9E42-7B960FD2C7E4}">
      <dgm:prSet custT="1"/>
      <dgm:spPr>
        <a:xfrm rot="5400000">
          <a:off x="3127667" y="736473"/>
          <a:ext cx="280626" cy="3581521"/>
        </a:xfrm>
      </dgm:spPr>
      <dgm:t>
        <a:bodyPr lIns="108000" rIns="180000"/>
        <a:lstStyle/>
        <a:p>
          <a:r>
            <a:rPr lang="fr-FR" sz="900" b="0" kern="700" baseline="0">
              <a:ln/>
              <a:latin typeface="Calibri"/>
              <a:ea typeface="+mn-ea"/>
              <a:cs typeface="+mn-cs"/>
            </a:rPr>
            <a:t>Dépenses  sociales</a:t>
          </a:r>
        </a:p>
      </dgm:t>
    </dgm:pt>
    <dgm:pt modelId="{DFC4A8EC-3075-451E-BB06-EB5F1FE66262}" type="parTrans" cxnId="{33B298C2-0841-4727-9A2E-0DB9119DC253}">
      <dgm:prSet/>
      <dgm:spPr/>
      <dgm:t>
        <a:bodyPr/>
        <a:lstStyle/>
        <a:p>
          <a:endParaRPr lang="fr-FR"/>
        </a:p>
      </dgm:t>
    </dgm:pt>
    <dgm:pt modelId="{023CF4AC-9DD8-4A48-978D-BD0C030B047A}" type="sibTrans" cxnId="{33B298C2-0841-4727-9A2E-0DB9119DC253}">
      <dgm:prSet/>
      <dgm:spPr/>
      <dgm:t>
        <a:bodyPr/>
        <a:lstStyle/>
        <a:p>
          <a:endParaRPr lang="fr-FR"/>
        </a:p>
      </dgm:t>
    </dgm:pt>
    <dgm:pt modelId="{7DD9B75B-FAEA-4A13-AEA7-779507A0D69B}">
      <dgm:prSet custT="1"/>
      <dgm:spPr>
        <a:xfrm>
          <a:off x="537386" y="2692348"/>
          <a:ext cx="939833" cy="266104"/>
        </a:xfrm>
      </dgm:spPr>
      <dgm:t>
        <a:bodyPr/>
        <a:lstStyle/>
        <a:p>
          <a:r>
            <a:rPr lang="fr-FR" sz="800" b="1">
              <a:latin typeface="Calibri"/>
              <a:ea typeface="+mn-ea"/>
              <a:cs typeface="+mn-cs"/>
            </a:rPr>
            <a:t>EPE</a:t>
          </a:r>
        </a:p>
      </dgm:t>
    </dgm:pt>
    <dgm:pt modelId="{66688FAC-5EA0-4780-A4F7-5041D334411C}" type="parTrans" cxnId="{D4134A29-D2C0-4831-94F6-14053A943D2E}">
      <dgm:prSet/>
      <dgm:spPr/>
      <dgm:t>
        <a:bodyPr/>
        <a:lstStyle/>
        <a:p>
          <a:endParaRPr lang="fr-FR"/>
        </a:p>
      </dgm:t>
    </dgm:pt>
    <dgm:pt modelId="{8C502A28-445E-4D44-B304-00FCE3107B5A}" type="sibTrans" cxnId="{D4134A29-D2C0-4831-94F6-14053A943D2E}">
      <dgm:prSet/>
      <dgm:spPr/>
      <dgm:t>
        <a:bodyPr/>
        <a:lstStyle/>
        <a:p>
          <a:endParaRPr lang="fr-FR"/>
        </a:p>
      </dgm:t>
    </dgm:pt>
    <dgm:pt modelId="{956A5F68-D29A-44EB-9321-4D19B929C948}">
      <dgm:prSet custT="1"/>
      <dgm:spPr>
        <a:xfrm rot="5400000">
          <a:off x="3127667" y="1034639"/>
          <a:ext cx="280626" cy="3581521"/>
        </a:xfrm>
      </dgm:spPr>
      <dgm:t>
        <a:bodyPr lIns="108000" rIns="180000"/>
        <a:lstStyle/>
        <a:p>
          <a:r>
            <a:rPr lang="fr-FR" sz="900" b="0" kern="700" baseline="0">
              <a:ln/>
              <a:latin typeface="Calibri"/>
              <a:ea typeface="+mn-ea"/>
              <a:cs typeface="+mn-cs"/>
            </a:rPr>
            <a:t>Dépenses  quasi fiscales</a:t>
          </a:r>
        </a:p>
      </dgm:t>
    </dgm:pt>
    <dgm:pt modelId="{B3544000-1D36-42A1-A946-9A269ECBEEA2}" type="parTrans" cxnId="{B0422E67-A18D-4309-8B04-B7198442329F}">
      <dgm:prSet/>
      <dgm:spPr/>
      <dgm:t>
        <a:bodyPr/>
        <a:lstStyle/>
        <a:p>
          <a:endParaRPr lang="fr-FR"/>
        </a:p>
      </dgm:t>
    </dgm:pt>
    <dgm:pt modelId="{F6FC4A1F-1151-49EB-A253-959D1AC0625C}" type="sibTrans" cxnId="{B0422E67-A18D-4309-8B04-B7198442329F}">
      <dgm:prSet/>
      <dgm:spPr/>
      <dgm:t>
        <a:bodyPr/>
        <a:lstStyle/>
        <a:p>
          <a:endParaRPr lang="fr-FR"/>
        </a:p>
      </dgm:t>
    </dgm:pt>
    <dgm:pt modelId="{2A73D675-600A-4643-9D98-A6AB00722249}">
      <dgm:prSet custT="1"/>
      <dgm:spPr>
        <a:xfrm>
          <a:off x="537386" y="2990514"/>
          <a:ext cx="939833" cy="266104"/>
        </a:xfrm>
      </dgm:spPr>
      <dgm:t>
        <a:bodyPr/>
        <a:lstStyle/>
        <a:p>
          <a:r>
            <a:rPr lang="fr-FR" sz="800" b="1">
              <a:latin typeface="Calibri"/>
              <a:ea typeface="+mn-ea"/>
              <a:cs typeface="+mn-cs"/>
            </a:rPr>
            <a:t>BCC, ONEM, ENTREPRISES</a:t>
          </a:r>
        </a:p>
      </dgm:t>
    </dgm:pt>
    <dgm:pt modelId="{5AAB271C-B104-4B54-BA0C-2752888A830A}" type="parTrans" cxnId="{08AF187A-BA3E-4AAB-B7CF-E794D76DDF1D}">
      <dgm:prSet/>
      <dgm:spPr/>
      <dgm:t>
        <a:bodyPr/>
        <a:lstStyle/>
        <a:p>
          <a:endParaRPr lang="fr-FR"/>
        </a:p>
      </dgm:t>
    </dgm:pt>
    <dgm:pt modelId="{0DE3D903-C7DB-4E5A-ACBE-28F7F90C107F}" type="sibTrans" cxnId="{08AF187A-BA3E-4AAB-B7CF-E794D76DDF1D}">
      <dgm:prSet/>
      <dgm:spPr/>
      <dgm:t>
        <a:bodyPr/>
        <a:lstStyle/>
        <a:p>
          <a:endParaRPr lang="fr-FR"/>
        </a:p>
      </dgm:t>
    </dgm:pt>
    <dgm:pt modelId="{407CEDE2-822F-474B-9398-0C0D02F8AEFC}">
      <dgm:prSet custT="1"/>
      <dgm:spPr>
        <a:xfrm rot="5400000">
          <a:off x="3127667" y="1332805"/>
          <a:ext cx="280626" cy="3581521"/>
        </a:xfrm>
      </dgm:spPr>
      <dgm:t>
        <a:bodyPr lIns="108000" rIns="180000"/>
        <a:lstStyle/>
        <a:p>
          <a:r>
            <a:rPr lang="fr-FR" sz="900" b="0" kern="700" baseline="0">
              <a:ln/>
              <a:latin typeface="Calibri"/>
              <a:ea typeface="+mn-ea"/>
              <a:cs typeface="+mn-cs"/>
            </a:rPr>
            <a:t>Contribution à l'économie</a:t>
          </a:r>
        </a:p>
      </dgm:t>
    </dgm:pt>
    <dgm:pt modelId="{502FC0BC-CE84-4CE3-98E8-66CB8A331977}" type="parTrans" cxnId="{741AE271-80C3-43E2-9FE8-0F6894CE6EB7}">
      <dgm:prSet/>
      <dgm:spPr/>
      <dgm:t>
        <a:bodyPr/>
        <a:lstStyle/>
        <a:p>
          <a:endParaRPr lang="fr-FR"/>
        </a:p>
      </dgm:t>
    </dgm:pt>
    <dgm:pt modelId="{274E6F98-FBC0-4B11-983B-FBE029F771D8}" type="sibTrans" cxnId="{741AE271-80C3-43E2-9FE8-0F6894CE6EB7}">
      <dgm:prSet/>
      <dgm:spPr/>
      <dgm:t>
        <a:bodyPr/>
        <a:lstStyle/>
        <a:p>
          <a:endParaRPr lang="fr-FR"/>
        </a:p>
      </dgm:t>
    </dgm:pt>
    <dgm:pt modelId="{2316C719-7D73-4FE1-8171-11CEE53CC10B}">
      <dgm:prSet phldrT="[Texte]" custT="1"/>
      <dgm:spPr>
        <a:xfrm>
          <a:off x="537386" y="8855"/>
          <a:ext cx="939833" cy="266104"/>
        </a:xfrm>
      </dgm:spPr>
      <dgm:t>
        <a:bodyPr/>
        <a:lstStyle/>
        <a:p>
          <a:r>
            <a:rPr lang="fr-FR" sz="900" b="1">
              <a:latin typeface="Calibri"/>
              <a:ea typeface="+mn-ea"/>
              <a:cs typeface="+mn-cs"/>
            </a:rPr>
            <a:t>SOURCES</a:t>
          </a:r>
        </a:p>
      </dgm:t>
    </dgm:pt>
    <dgm:pt modelId="{93E9335E-EACC-42A7-8E49-90B19583AAAD}" type="parTrans" cxnId="{D030B6E0-B47F-4CA2-9A59-93D1F195F730}">
      <dgm:prSet/>
      <dgm:spPr/>
      <dgm:t>
        <a:bodyPr/>
        <a:lstStyle/>
        <a:p>
          <a:endParaRPr lang="fr-FR"/>
        </a:p>
      </dgm:t>
    </dgm:pt>
    <dgm:pt modelId="{59649BFC-41D6-4A87-A346-2BADB8EB7A66}" type="sibTrans" cxnId="{D030B6E0-B47F-4CA2-9A59-93D1F195F730}">
      <dgm:prSet/>
      <dgm:spPr/>
      <dgm:t>
        <a:bodyPr/>
        <a:lstStyle/>
        <a:p>
          <a:endParaRPr lang="fr-FR"/>
        </a:p>
      </dgm:t>
    </dgm:pt>
    <dgm:pt modelId="{28B7A76B-1A2A-4D25-ACE2-45C424CE2F9C}">
      <dgm:prSet phldrT="[Texte]" custT="1"/>
      <dgm:spPr>
        <a:xfrm>
          <a:off x="537386" y="8855"/>
          <a:ext cx="939833" cy="266104"/>
        </a:xfrm>
      </dgm:spPr>
      <dgm:t>
        <a:bodyPr lIns="108000"/>
        <a:lstStyle/>
        <a:p>
          <a:r>
            <a:rPr lang="fr-FR" sz="900" b="1">
              <a:latin typeface="Calibri"/>
              <a:ea typeface="+mn-ea"/>
              <a:cs typeface="+mn-cs"/>
            </a:rPr>
            <a:t>INFORMATIONS</a:t>
          </a:r>
        </a:p>
      </dgm:t>
    </dgm:pt>
    <dgm:pt modelId="{BDACA8FB-421E-4C17-906A-8C6D696817D4}" type="parTrans" cxnId="{778E0C81-47D9-4B2B-BEE0-CEB7E4991ADE}">
      <dgm:prSet/>
      <dgm:spPr/>
      <dgm:t>
        <a:bodyPr/>
        <a:lstStyle/>
        <a:p>
          <a:endParaRPr lang="fr-FR"/>
        </a:p>
      </dgm:t>
    </dgm:pt>
    <dgm:pt modelId="{EBBC8349-DD9C-4EEF-899D-9AD5EE04BAE3}" type="sibTrans" cxnId="{778E0C81-47D9-4B2B-BEE0-CEB7E4991ADE}">
      <dgm:prSet/>
      <dgm:spPr/>
      <dgm:t>
        <a:bodyPr/>
        <a:lstStyle/>
        <a:p>
          <a:endParaRPr lang="fr-FR"/>
        </a:p>
      </dgm:t>
    </dgm:pt>
    <dgm:pt modelId="{2358CC19-7BCD-4555-B51B-8C9EDCB09362}" type="pres">
      <dgm:prSet presAssocID="{4433F753-0E87-4912-B56B-91A35399B18D}" presName="Name0" presStyleCnt="0">
        <dgm:presLayoutVars>
          <dgm:dir/>
          <dgm:animLvl val="lvl"/>
          <dgm:resizeHandles val="exact"/>
        </dgm:presLayoutVars>
      </dgm:prSet>
      <dgm:spPr/>
      <dgm:t>
        <a:bodyPr/>
        <a:lstStyle/>
        <a:p>
          <a:endParaRPr lang="fr-FR"/>
        </a:p>
      </dgm:t>
    </dgm:pt>
    <dgm:pt modelId="{32AB4E8A-911F-4433-9E04-DBB9D64DB917}" type="pres">
      <dgm:prSet presAssocID="{2316C719-7D73-4FE1-8171-11CEE53CC10B}" presName="linNode" presStyleCnt="0"/>
      <dgm:spPr/>
      <dgm:t>
        <a:bodyPr/>
        <a:lstStyle/>
        <a:p>
          <a:endParaRPr lang="fr-FR"/>
        </a:p>
      </dgm:t>
    </dgm:pt>
    <dgm:pt modelId="{6DBF155B-3DB4-468B-8166-93BD98A92496}" type="pres">
      <dgm:prSet presAssocID="{2316C719-7D73-4FE1-8171-11CEE53CC10B}" presName="parentText" presStyleLbl="node1" presStyleIdx="0" presStyleCnt="12" custScaleX="45243" custScaleY="68302">
        <dgm:presLayoutVars>
          <dgm:chMax val="1"/>
          <dgm:bulletEnabled val="1"/>
        </dgm:presLayoutVars>
      </dgm:prSet>
      <dgm:spPr>
        <a:prstGeom prst="rect">
          <a:avLst/>
        </a:prstGeom>
      </dgm:spPr>
      <dgm:t>
        <a:bodyPr/>
        <a:lstStyle/>
        <a:p>
          <a:endParaRPr lang="fr-FR"/>
        </a:p>
      </dgm:t>
    </dgm:pt>
    <dgm:pt modelId="{94201C64-1883-46E8-8132-837A31B56A89}" type="pres">
      <dgm:prSet presAssocID="{2316C719-7D73-4FE1-8171-11CEE53CC10B}" presName="descendantText" presStyleLbl="alignAccFollowNode1" presStyleIdx="0" presStyleCnt="12" custScaleY="96970" custLinFactNeighborX="1089" custLinFactNeighborY="-74">
        <dgm:presLayoutVars>
          <dgm:bulletEnabled val="1"/>
        </dgm:presLayoutVars>
      </dgm:prSet>
      <dgm:spPr>
        <a:prstGeom prst="rect">
          <a:avLst/>
        </a:prstGeom>
      </dgm:spPr>
      <dgm:t>
        <a:bodyPr/>
        <a:lstStyle/>
        <a:p>
          <a:endParaRPr lang="fr-FR"/>
        </a:p>
      </dgm:t>
    </dgm:pt>
    <dgm:pt modelId="{E1E6A204-4B27-4D59-B95F-33CDB4CF7824}" type="pres">
      <dgm:prSet presAssocID="{59649BFC-41D6-4A87-A346-2BADB8EB7A66}" presName="sp" presStyleCnt="0"/>
      <dgm:spPr/>
      <dgm:t>
        <a:bodyPr/>
        <a:lstStyle/>
        <a:p>
          <a:endParaRPr lang="fr-FR"/>
        </a:p>
      </dgm:t>
    </dgm:pt>
    <dgm:pt modelId="{CEF0E39E-74D9-45AA-BFD3-DB738FE0CB3E}" type="pres">
      <dgm:prSet presAssocID="{E0A68AE0-CF42-4B3C-887D-8501F291FB56}" presName="linNode" presStyleCnt="0"/>
      <dgm:spPr/>
      <dgm:t>
        <a:bodyPr/>
        <a:lstStyle/>
        <a:p>
          <a:endParaRPr lang="fr-FR"/>
        </a:p>
      </dgm:t>
    </dgm:pt>
    <dgm:pt modelId="{C5A072F3-2259-4AC6-B1AB-4EC81DE1E5EC}" type="pres">
      <dgm:prSet presAssocID="{E0A68AE0-CF42-4B3C-887D-8501F291FB56}" presName="parentText" presStyleLbl="node1" presStyleIdx="1" presStyleCnt="12" custScaleX="46651" custScaleY="75860">
        <dgm:presLayoutVars>
          <dgm:chMax val="1"/>
          <dgm:bulletEnabled val="1"/>
        </dgm:presLayoutVars>
      </dgm:prSet>
      <dgm:spPr>
        <a:prstGeom prst="homePlate">
          <a:avLst/>
        </a:prstGeom>
      </dgm:spPr>
      <dgm:t>
        <a:bodyPr/>
        <a:lstStyle/>
        <a:p>
          <a:endParaRPr lang="fr-FR"/>
        </a:p>
      </dgm:t>
    </dgm:pt>
    <dgm:pt modelId="{ECB7FF38-5158-4885-B518-511D0F829CDA}" type="pres">
      <dgm:prSet presAssocID="{E0A68AE0-CF42-4B3C-887D-8501F291FB56}" presName="descendantText" presStyleLbl="alignAccFollowNode1" presStyleIdx="1" presStyleCnt="12">
        <dgm:presLayoutVars>
          <dgm:bulletEnabled val="1"/>
        </dgm:presLayoutVars>
      </dgm:prSet>
      <dgm:spPr>
        <a:prstGeom prst="round2SameRect">
          <a:avLst/>
        </a:prstGeom>
      </dgm:spPr>
      <dgm:t>
        <a:bodyPr/>
        <a:lstStyle/>
        <a:p>
          <a:endParaRPr lang="fr-FR"/>
        </a:p>
      </dgm:t>
    </dgm:pt>
    <dgm:pt modelId="{566F2519-45CA-472E-A245-8BECD5482B0B}" type="pres">
      <dgm:prSet presAssocID="{A6231FD4-7A77-4288-BFFD-C720E30721F8}" presName="sp" presStyleCnt="0"/>
      <dgm:spPr/>
      <dgm:t>
        <a:bodyPr/>
        <a:lstStyle/>
        <a:p>
          <a:endParaRPr lang="fr-FR"/>
        </a:p>
      </dgm:t>
    </dgm:pt>
    <dgm:pt modelId="{1C7F647B-B269-47C8-AAA8-05716E004566}" type="pres">
      <dgm:prSet presAssocID="{5BB7AB63-AC45-493E-B9EA-B0AB6255C2C2}" presName="linNode" presStyleCnt="0"/>
      <dgm:spPr/>
      <dgm:t>
        <a:bodyPr/>
        <a:lstStyle/>
        <a:p>
          <a:endParaRPr lang="fr-FR"/>
        </a:p>
      </dgm:t>
    </dgm:pt>
    <dgm:pt modelId="{B3DDA239-C377-4CDD-8A26-2823DB3A2D64}" type="pres">
      <dgm:prSet presAssocID="{5BB7AB63-AC45-493E-B9EA-B0AB6255C2C2}" presName="parentText" presStyleLbl="node1" presStyleIdx="2" presStyleCnt="12" custScaleX="46651" custScaleY="75860">
        <dgm:presLayoutVars>
          <dgm:chMax val="1"/>
          <dgm:bulletEnabled val="1"/>
        </dgm:presLayoutVars>
      </dgm:prSet>
      <dgm:spPr>
        <a:prstGeom prst="homePlate">
          <a:avLst/>
        </a:prstGeom>
      </dgm:spPr>
      <dgm:t>
        <a:bodyPr/>
        <a:lstStyle/>
        <a:p>
          <a:endParaRPr lang="fr-FR"/>
        </a:p>
      </dgm:t>
    </dgm:pt>
    <dgm:pt modelId="{166BB038-8BE3-4B2F-8FE3-C66501D334FC}" type="pres">
      <dgm:prSet presAssocID="{5BB7AB63-AC45-493E-B9EA-B0AB6255C2C2}" presName="descendantText" presStyleLbl="alignAccFollowNode1" presStyleIdx="2" presStyleCnt="12">
        <dgm:presLayoutVars>
          <dgm:bulletEnabled val="1"/>
        </dgm:presLayoutVars>
      </dgm:prSet>
      <dgm:spPr>
        <a:prstGeom prst="round2SameRect">
          <a:avLst/>
        </a:prstGeom>
      </dgm:spPr>
      <dgm:t>
        <a:bodyPr/>
        <a:lstStyle/>
        <a:p>
          <a:endParaRPr lang="fr-FR"/>
        </a:p>
      </dgm:t>
    </dgm:pt>
    <dgm:pt modelId="{DBE4CC5D-1E80-4FEF-B842-4EBBDC4ABF1B}" type="pres">
      <dgm:prSet presAssocID="{64311211-F32C-4554-A12C-6C9446F0DE27}" presName="sp" presStyleCnt="0"/>
      <dgm:spPr/>
      <dgm:t>
        <a:bodyPr/>
        <a:lstStyle/>
        <a:p>
          <a:endParaRPr lang="fr-FR"/>
        </a:p>
      </dgm:t>
    </dgm:pt>
    <dgm:pt modelId="{0BA28A9C-68C0-4AB5-82B3-071A3CF331BF}" type="pres">
      <dgm:prSet presAssocID="{7A8C8B25-2F5D-41AE-AC66-93D00C62EF11}" presName="linNode" presStyleCnt="0"/>
      <dgm:spPr/>
      <dgm:t>
        <a:bodyPr/>
        <a:lstStyle/>
        <a:p>
          <a:endParaRPr lang="fr-FR"/>
        </a:p>
      </dgm:t>
    </dgm:pt>
    <dgm:pt modelId="{4076F337-B5D2-411F-9A6A-BC84B9A933F0}" type="pres">
      <dgm:prSet presAssocID="{7A8C8B25-2F5D-41AE-AC66-93D00C62EF11}" presName="parentText" presStyleLbl="node1" presStyleIdx="3" presStyleCnt="12" custScaleX="46651" custScaleY="75860">
        <dgm:presLayoutVars>
          <dgm:chMax val="1"/>
          <dgm:bulletEnabled val="1"/>
        </dgm:presLayoutVars>
      </dgm:prSet>
      <dgm:spPr>
        <a:prstGeom prst="homePlate">
          <a:avLst/>
        </a:prstGeom>
      </dgm:spPr>
      <dgm:t>
        <a:bodyPr/>
        <a:lstStyle/>
        <a:p>
          <a:endParaRPr lang="fr-FR"/>
        </a:p>
      </dgm:t>
    </dgm:pt>
    <dgm:pt modelId="{EE37B38A-A232-4B66-B9BB-9944B4245AA9}" type="pres">
      <dgm:prSet presAssocID="{7A8C8B25-2F5D-41AE-AC66-93D00C62EF11}" presName="descendantText" presStyleLbl="alignAccFollowNode1" presStyleIdx="3" presStyleCnt="12">
        <dgm:presLayoutVars>
          <dgm:bulletEnabled val="1"/>
        </dgm:presLayoutVars>
      </dgm:prSet>
      <dgm:spPr>
        <a:prstGeom prst="round2SameRect">
          <a:avLst/>
        </a:prstGeom>
      </dgm:spPr>
      <dgm:t>
        <a:bodyPr/>
        <a:lstStyle/>
        <a:p>
          <a:endParaRPr lang="fr-FR"/>
        </a:p>
      </dgm:t>
    </dgm:pt>
    <dgm:pt modelId="{1F11220F-0B7E-4260-BBBC-74FD33081E26}" type="pres">
      <dgm:prSet presAssocID="{DB0E688F-A900-48C9-84F9-1EEA8EC1E883}" presName="sp" presStyleCnt="0"/>
      <dgm:spPr/>
      <dgm:t>
        <a:bodyPr/>
        <a:lstStyle/>
        <a:p>
          <a:endParaRPr lang="fr-FR"/>
        </a:p>
      </dgm:t>
    </dgm:pt>
    <dgm:pt modelId="{75FC091B-D35C-4CE4-A41D-01134F00A9A2}" type="pres">
      <dgm:prSet presAssocID="{623B77A5-6552-4C58-8682-7B833620E8DB}" presName="linNode" presStyleCnt="0"/>
      <dgm:spPr/>
      <dgm:t>
        <a:bodyPr/>
        <a:lstStyle/>
        <a:p>
          <a:endParaRPr lang="fr-FR"/>
        </a:p>
      </dgm:t>
    </dgm:pt>
    <dgm:pt modelId="{2F71AE09-5FEC-4634-9A3D-3586FE659A59}" type="pres">
      <dgm:prSet presAssocID="{623B77A5-6552-4C58-8682-7B833620E8DB}" presName="parentText" presStyleLbl="node1" presStyleIdx="4" presStyleCnt="12" custScaleX="46651" custScaleY="75860">
        <dgm:presLayoutVars>
          <dgm:chMax val="1"/>
          <dgm:bulletEnabled val="1"/>
        </dgm:presLayoutVars>
      </dgm:prSet>
      <dgm:spPr>
        <a:prstGeom prst="homePlate">
          <a:avLst/>
        </a:prstGeom>
      </dgm:spPr>
      <dgm:t>
        <a:bodyPr/>
        <a:lstStyle/>
        <a:p>
          <a:endParaRPr lang="fr-FR"/>
        </a:p>
      </dgm:t>
    </dgm:pt>
    <dgm:pt modelId="{C603EED1-5EA4-43DB-AFE2-66008095961D}" type="pres">
      <dgm:prSet presAssocID="{623B77A5-6552-4C58-8682-7B833620E8DB}" presName="descendantText" presStyleLbl="alignAccFollowNode1" presStyleIdx="4" presStyleCnt="12" custLinFactNeighborX="946">
        <dgm:presLayoutVars>
          <dgm:bulletEnabled val="1"/>
        </dgm:presLayoutVars>
      </dgm:prSet>
      <dgm:spPr>
        <a:prstGeom prst="round2SameRect">
          <a:avLst/>
        </a:prstGeom>
      </dgm:spPr>
      <dgm:t>
        <a:bodyPr/>
        <a:lstStyle/>
        <a:p>
          <a:endParaRPr lang="fr-FR"/>
        </a:p>
      </dgm:t>
    </dgm:pt>
    <dgm:pt modelId="{1ED3917F-7471-4512-9F23-28F8271D6EF5}" type="pres">
      <dgm:prSet presAssocID="{910AE067-E411-439D-9BD6-F95064C1CE0D}" presName="sp" presStyleCnt="0"/>
      <dgm:spPr/>
      <dgm:t>
        <a:bodyPr/>
        <a:lstStyle/>
        <a:p>
          <a:endParaRPr lang="fr-FR"/>
        </a:p>
      </dgm:t>
    </dgm:pt>
    <dgm:pt modelId="{91C5237E-8EEE-4132-9350-DACC3C91DCAC}" type="pres">
      <dgm:prSet presAssocID="{57B99788-9046-4C03-8B73-4794AD2B2E9C}" presName="linNode" presStyleCnt="0"/>
      <dgm:spPr/>
      <dgm:t>
        <a:bodyPr/>
        <a:lstStyle/>
        <a:p>
          <a:endParaRPr lang="fr-FR"/>
        </a:p>
      </dgm:t>
    </dgm:pt>
    <dgm:pt modelId="{E3EA244C-3853-4E41-BC25-0BC2499716DD}" type="pres">
      <dgm:prSet presAssocID="{57B99788-9046-4C03-8B73-4794AD2B2E9C}" presName="parentText" presStyleLbl="node1" presStyleIdx="5" presStyleCnt="12" custScaleX="46651" custScaleY="75860">
        <dgm:presLayoutVars>
          <dgm:chMax val="1"/>
          <dgm:bulletEnabled val="1"/>
        </dgm:presLayoutVars>
      </dgm:prSet>
      <dgm:spPr>
        <a:prstGeom prst="homePlate">
          <a:avLst/>
        </a:prstGeom>
      </dgm:spPr>
      <dgm:t>
        <a:bodyPr/>
        <a:lstStyle/>
        <a:p>
          <a:endParaRPr lang="fr-FR"/>
        </a:p>
      </dgm:t>
    </dgm:pt>
    <dgm:pt modelId="{DAC18469-7E86-462E-A995-1F8C782528B0}" type="pres">
      <dgm:prSet presAssocID="{57B99788-9046-4C03-8B73-4794AD2B2E9C}" presName="descendantText" presStyleLbl="alignAccFollowNode1" presStyleIdx="5" presStyleCnt="12">
        <dgm:presLayoutVars>
          <dgm:bulletEnabled val="1"/>
        </dgm:presLayoutVars>
      </dgm:prSet>
      <dgm:spPr>
        <a:prstGeom prst="round2SameRect">
          <a:avLst/>
        </a:prstGeom>
      </dgm:spPr>
      <dgm:t>
        <a:bodyPr/>
        <a:lstStyle/>
        <a:p>
          <a:endParaRPr lang="fr-FR"/>
        </a:p>
      </dgm:t>
    </dgm:pt>
    <dgm:pt modelId="{649CD228-E279-435C-8D4A-20FCEF249FEA}" type="pres">
      <dgm:prSet presAssocID="{9834E83A-B906-47A5-9506-23E448E2271F}" presName="sp" presStyleCnt="0"/>
      <dgm:spPr/>
      <dgm:t>
        <a:bodyPr/>
        <a:lstStyle/>
        <a:p>
          <a:endParaRPr lang="fr-FR"/>
        </a:p>
      </dgm:t>
    </dgm:pt>
    <dgm:pt modelId="{E3E0FD2E-DD9A-433C-AAF1-71F4301475EE}" type="pres">
      <dgm:prSet presAssocID="{26B3E9DC-DE66-4F2A-9675-06A8525BB456}" presName="linNode" presStyleCnt="0"/>
      <dgm:spPr/>
      <dgm:t>
        <a:bodyPr/>
        <a:lstStyle/>
        <a:p>
          <a:endParaRPr lang="fr-FR"/>
        </a:p>
      </dgm:t>
    </dgm:pt>
    <dgm:pt modelId="{2EFD78ED-8B48-44A3-82AE-8CD5F2725C55}" type="pres">
      <dgm:prSet presAssocID="{26B3E9DC-DE66-4F2A-9675-06A8525BB456}" presName="parentText" presStyleLbl="node1" presStyleIdx="6" presStyleCnt="12" custScaleX="46651" custScaleY="75860">
        <dgm:presLayoutVars>
          <dgm:chMax val="1"/>
          <dgm:bulletEnabled val="1"/>
        </dgm:presLayoutVars>
      </dgm:prSet>
      <dgm:spPr>
        <a:prstGeom prst="homePlate">
          <a:avLst/>
        </a:prstGeom>
      </dgm:spPr>
      <dgm:t>
        <a:bodyPr/>
        <a:lstStyle/>
        <a:p>
          <a:endParaRPr lang="fr-FR"/>
        </a:p>
      </dgm:t>
    </dgm:pt>
    <dgm:pt modelId="{5668FB45-81EF-4AF9-992F-1EDC15A034AE}" type="pres">
      <dgm:prSet presAssocID="{26B3E9DC-DE66-4F2A-9675-06A8525BB456}" presName="descendantText" presStyleLbl="alignAccFollowNode1" presStyleIdx="6" presStyleCnt="12">
        <dgm:presLayoutVars>
          <dgm:bulletEnabled val="1"/>
        </dgm:presLayoutVars>
      </dgm:prSet>
      <dgm:spPr>
        <a:prstGeom prst="round2SameRect">
          <a:avLst/>
        </a:prstGeom>
      </dgm:spPr>
      <dgm:t>
        <a:bodyPr/>
        <a:lstStyle/>
        <a:p>
          <a:endParaRPr lang="fr-FR"/>
        </a:p>
      </dgm:t>
    </dgm:pt>
    <dgm:pt modelId="{871813B5-23E7-41D5-9199-0254A76BF456}" type="pres">
      <dgm:prSet presAssocID="{09F4A4D5-C879-4C75-95EF-28210CC7C5FB}" presName="sp" presStyleCnt="0"/>
      <dgm:spPr/>
      <dgm:t>
        <a:bodyPr/>
        <a:lstStyle/>
        <a:p>
          <a:endParaRPr lang="fr-FR"/>
        </a:p>
      </dgm:t>
    </dgm:pt>
    <dgm:pt modelId="{E438EF38-34CA-4F3D-81C1-DC08809A01BE}" type="pres">
      <dgm:prSet presAssocID="{D6B733E7-028D-4785-AFE8-BAA4C57C09B3}" presName="linNode" presStyleCnt="0"/>
      <dgm:spPr/>
      <dgm:t>
        <a:bodyPr/>
        <a:lstStyle/>
        <a:p>
          <a:endParaRPr lang="fr-FR"/>
        </a:p>
      </dgm:t>
    </dgm:pt>
    <dgm:pt modelId="{348B7866-D543-4494-A5A9-BB36B7F4CF80}" type="pres">
      <dgm:prSet presAssocID="{D6B733E7-028D-4785-AFE8-BAA4C57C09B3}" presName="parentText" presStyleLbl="node1" presStyleIdx="7" presStyleCnt="12" custScaleX="46651" custScaleY="75860">
        <dgm:presLayoutVars>
          <dgm:chMax val="1"/>
          <dgm:bulletEnabled val="1"/>
        </dgm:presLayoutVars>
      </dgm:prSet>
      <dgm:spPr>
        <a:prstGeom prst="homePlate">
          <a:avLst/>
        </a:prstGeom>
      </dgm:spPr>
      <dgm:t>
        <a:bodyPr/>
        <a:lstStyle/>
        <a:p>
          <a:endParaRPr lang="fr-FR"/>
        </a:p>
      </dgm:t>
    </dgm:pt>
    <dgm:pt modelId="{FD6F9629-897A-48F4-8FD2-83C4978D2646}" type="pres">
      <dgm:prSet presAssocID="{D6B733E7-028D-4785-AFE8-BAA4C57C09B3}" presName="descendantText" presStyleLbl="alignAccFollowNode1" presStyleIdx="7" presStyleCnt="12">
        <dgm:presLayoutVars>
          <dgm:bulletEnabled val="1"/>
        </dgm:presLayoutVars>
      </dgm:prSet>
      <dgm:spPr>
        <a:prstGeom prst="round2SameRect">
          <a:avLst/>
        </a:prstGeom>
      </dgm:spPr>
      <dgm:t>
        <a:bodyPr/>
        <a:lstStyle/>
        <a:p>
          <a:endParaRPr lang="fr-FR"/>
        </a:p>
      </dgm:t>
    </dgm:pt>
    <dgm:pt modelId="{DC9B5D4B-D27D-4C06-BC65-D5745212A286}" type="pres">
      <dgm:prSet presAssocID="{0110ADD9-D957-411B-8DF5-C01F08A4B635}" presName="sp" presStyleCnt="0"/>
      <dgm:spPr/>
      <dgm:t>
        <a:bodyPr/>
        <a:lstStyle/>
        <a:p>
          <a:endParaRPr lang="fr-FR"/>
        </a:p>
      </dgm:t>
    </dgm:pt>
    <dgm:pt modelId="{755EC65C-17C5-47DD-A6BA-3C689FEF8B73}" type="pres">
      <dgm:prSet presAssocID="{D00EA431-5EA0-4A9B-8D7F-C1F5ABD0871E}" presName="linNode" presStyleCnt="0"/>
      <dgm:spPr/>
      <dgm:t>
        <a:bodyPr/>
        <a:lstStyle/>
        <a:p>
          <a:endParaRPr lang="fr-FR"/>
        </a:p>
      </dgm:t>
    </dgm:pt>
    <dgm:pt modelId="{ECF84230-D726-4FDA-87E0-B0CFDD9D2804}" type="pres">
      <dgm:prSet presAssocID="{D00EA431-5EA0-4A9B-8D7F-C1F5ABD0871E}" presName="parentText" presStyleLbl="node1" presStyleIdx="8" presStyleCnt="12" custScaleX="46651" custScaleY="75860">
        <dgm:presLayoutVars>
          <dgm:chMax val="1"/>
          <dgm:bulletEnabled val="1"/>
        </dgm:presLayoutVars>
      </dgm:prSet>
      <dgm:spPr>
        <a:prstGeom prst="homePlate">
          <a:avLst/>
        </a:prstGeom>
      </dgm:spPr>
      <dgm:t>
        <a:bodyPr/>
        <a:lstStyle/>
        <a:p>
          <a:endParaRPr lang="fr-FR"/>
        </a:p>
      </dgm:t>
    </dgm:pt>
    <dgm:pt modelId="{D345C441-DFDC-4761-A367-3E4BCDCA872D}" type="pres">
      <dgm:prSet presAssocID="{D00EA431-5EA0-4A9B-8D7F-C1F5ABD0871E}" presName="descendantText" presStyleLbl="alignAccFollowNode1" presStyleIdx="8" presStyleCnt="12">
        <dgm:presLayoutVars>
          <dgm:bulletEnabled val="1"/>
        </dgm:presLayoutVars>
      </dgm:prSet>
      <dgm:spPr>
        <a:prstGeom prst="round2SameRect">
          <a:avLst/>
        </a:prstGeom>
      </dgm:spPr>
      <dgm:t>
        <a:bodyPr/>
        <a:lstStyle/>
        <a:p>
          <a:endParaRPr lang="fr-FR"/>
        </a:p>
      </dgm:t>
    </dgm:pt>
    <dgm:pt modelId="{6E08305A-9F74-452F-8F4E-4150DC974190}" type="pres">
      <dgm:prSet presAssocID="{7F93C2A7-09BD-40BD-B78F-040E0E87E7D0}" presName="sp" presStyleCnt="0"/>
      <dgm:spPr/>
      <dgm:t>
        <a:bodyPr/>
        <a:lstStyle/>
        <a:p>
          <a:endParaRPr lang="fr-FR"/>
        </a:p>
      </dgm:t>
    </dgm:pt>
    <dgm:pt modelId="{AEC0700F-AC68-45CC-88D4-FDC2AB7187EA}" type="pres">
      <dgm:prSet presAssocID="{C2EA40D1-631D-4255-A44A-936F85D67B6F}" presName="linNode" presStyleCnt="0"/>
      <dgm:spPr/>
      <dgm:t>
        <a:bodyPr/>
        <a:lstStyle/>
        <a:p>
          <a:endParaRPr lang="fr-FR"/>
        </a:p>
      </dgm:t>
    </dgm:pt>
    <dgm:pt modelId="{759AC901-B5C6-4C65-B2DE-56614DEC4387}" type="pres">
      <dgm:prSet presAssocID="{C2EA40D1-631D-4255-A44A-936F85D67B6F}" presName="parentText" presStyleLbl="node1" presStyleIdx="9" presStyleCnt="12" custScaleX="46651" custScaleY="75860">
        <dgm:presLayoutVars>
          <dgm:chMax val="1"/>
          <dgm:bulletEnabled val="1"/>
        </dgm:presLayoutVars>
      </dgm:prSet>
      <dgm:spPr>
        <a:prstGeom prst="homePlate">
          <a:avLst/>
        </a:prstGeom>
      </dgm:spPr>
      <dgm:t>
        <a:bodyPr/>
        <a:lstStyle/>
        <a:p>
          <a:endParaRPr lang="fr-FR"/>
        </a:p>
      </dgm:t>
    </dgm:pt>
    <dgm:pt modelId="{F836AA0D-C047-4039-96C4-B69E990CBFE0}" type="pres">
      <dgm:prSet presAssocID="{C2EA40D1-631D-4255-A44A-936F85D67B6F}" presName="descendantText" presStyleLbl="alignAccFollowNode1" presStyleIdx="9" presStyleCnt="12">
        <dgm:presLayoutVars>
          <dgm:bulletEnabled val="1"/>
        </dgm:presLayoutVars>
      </dgm:prSet>
      <dgm:spPr>
        <a:prstGeom prst="round2SameRect">
          <a:avLst/>
        </a:prstGeom>
      </dgm:spPr>
      <dgm:t>
        <a:bodyPr/>
        <a:lstStyle/>
        <a:p>
          <a:endParaRPr lang="fr-FR"/>
        </a:p>
      </dgm:t>
    </dgm:pt>
    <dgm:pt modelId="{41760BC8-AAF6-4CFC-B21C-C9FCE9AC0BF9}" type="pres">
      <dgm:prSet presAssocID="{22DF22C3-9817-49B6-9642-F80DFAF87CD6}" presName="sp" presStyleCnt="0"/>
      <dgm:spPr/>
      <dgm:t>
        <a:bodyPr/>
        <a:lstStyle/>
        <a:p>
          <a:endParaRPr lang="fr-FR"/>
        </a:p>
      </dgm:t>
    </dgm:pt>
    <dgm:pt modelId="{E1CA8204-C589-489D-BA2A-FD2B83B49641}" type="pres">
      <dgm:prSet presAssocID="{7DD9B75B-FAEA-4A13-AEA7-779507A0D69B}" presName="linNode" presStyleCnt="0"/>
      <dgm:spPr/>
      <dgm:t>
        <a:bodyPr/>
        <a:lstStyle/>
        <a:p>
          <a:endParaRPr lang="fr-FR"/>
        </a:p>
      </dgm:t>
    </dgm:pt>
    <dgm:pt modelId="{527A6DB8-CC8D-4117-B64B-FE1C51498EDF}" type="pres">
      <dgm:prSet presAssocID="{7DD9B75B-FAEA-4A13-AEA7-779507A0D69B}" presName="parentText" presStyleLbl="node1" presStyleIdx="10" presStyleCnt="12" custScaleX="46651" custScaleY="75860">
        <dgm:presLayoutVars>
          <dgm:chMax val="1"/>
          <dgm:bulletEnabled val="1"/>
        </dgm:presLayoutVars>
      </dgm:prSet>
      <dgm:spPr>
        <a:prstGeom prst="homePlate">
          <a:avLst/>
        </a:prstGeom>
      </dgm:spPr>
      <dgm:t>
        <a:bodyPr/>
        <a:lstStyle/>
        <a:p>
          <a:endParaRPr lang="fr-FR"/>
        </a:p>
      </dgm:t>
    </dgm:pt>
    <dgm:pt modelId="{CF454B15-5CC5-4910-A3C4-9B5F573E73EA}" type="pres">
      <dgm:prSet presAssocID="{7DD9B75B-FAEA-4A13-AEA7-779507A0D69B}" presName="descendantText" presStyleLbl="alignAccFollowNode1" presStyleIdx="10" presStyleCnt="12">
        <dgm:presLayoutVars>
          <dgm:bulletEnabled val="1"/>
        </dgm:presLayoutVars>
      </dgm:prSet>
      <dgm:spPr>
        <a:prstGeom prst="round2SameRect">
          <a:avLst/>
        </a:prstGeom>
      </dgm:spPr>
      <dgm:t>
        <a:bodyPr/>
        <a:lstStyle/>
        <a:p>
          <a:endParaRPr lang="fr-FR"/>
        </a:p>
      </dgm:t>
    </dgm:pt>
    <dgm:pt modelId="{9E76DF7E-19C4-459F-8651-309671F98C54}" type="pres">
      <dgm:prSet presAssocID="{8C502A28-445E-4D44-B304-00FCE3107B5A}" presName="sp" presStyleCnt="0"/>
      <dgm:spPr/>
      <dgm:t>
        <a:bodyPr/>
        <a:lstStyle/>
        <a:p>
          <a:endParaRPr lang="fr-FR"/>
        </a:p>
      </dgm:t>
    </dgm:pt>
    <dgm:pt modelId="{F3DB54BB-C9F5-4DDC-9C74-5CA0747A5AC7}" type="pres">
      <dgm:prSet presAssocID="{2A73D675-600A-4643-9D98-A6AB00722249}" presName="linNode" presStyleCnt="0"/>
      <dgm:spPr/>
      <dgm:t>
        <a:bodyPr/>
        <a:lstStyle/>
        <a:p>
          <a:endParaRPr lang="fr-FR"/>
        </a:p>
      </dgm:t>
    </dgm:pt>
    <dgm:pt modelId="{491281F3-ADC6-4D0B-A518-AE608E34DFB6}" type="pres">
      <dgm:prSet presAssocID="{2A73D675-600A-4643-9D98-A6AB00722249}" presName="parentText" presStyleLbl="node1" presStyleIdx="11" presStyleCnt="12" custScaleX="46651" custScaleY="75860">
        <dgm:presLayoutVars>
          <dgm:chMax val="1"/>
          <dgm:bulletEnabled val="1"/>
        </dgm:presLayoutVars>
      </dgm:prSet>
      <dgm:spPr>
        <a:prstGeom prst="homePlate">
          <a:avLst/>
        </a:prstGeom>
      </dgm:spPr>
      <dgm:t>
        <a:bodyPr/>
        <a:lstStyle/>
        <a:p>
          <a:endParaRPr lang="fr-FR"/>
        </a:p>
      </dgm:t>
    </dgm:pt>
    <dgm:pt modelId="{522CCA70-A8BE-4659-8C00-496B771079DC}" type="pres">
      <dgm:prSet presAssocID="{2A73D675-600A-4643-9D98-A6AB00722249}" presName="descendantText" presStyleLbl="alignAccFollowNode1" presStyleIdx="11" presStyleCnt="12">
        <dgm:presLayoutVars>
          <dgm:bulletEnabled val="1"/>
        </dgm:presLayoutVars>
      </dgm:prSet>
      <dgm:spPr>
        <a:prstGeom prst="round2SameRect">
          <a:avLst/>
        </a:prstGeom>
      </dgm:spPr>
      <dgm:t>
        <a:bodyPr/>
        <a:lstStyle/>
        <a:p>
          <a:endParaRPr lang="fr-FR"/>
        </a:p>
      </dgm:t>
    </dgm:pt>
  </dgm:ptLst>
  <dgm:cxnLst>
    <dgm:cxn modelId="{7304756D-943C-4BE9-8481-52DDA7E6D29A}" srcId="{E0A68AE0-CF42-4B3C-887D-8501F291FB56}" destId="{1F91BC66-45FD-4919-875F-AB5049ABDC15}" srcOrd="0" destOrd="0" parTransId="{CA6A72D0-07CE-49EA-82F4-27B878EA63E3}" sibTransId="{3832CFCC-8F63-4F7C-9CA2-B30D5FFDF804}"/>
    <dgm:cxn modelId="{9F4514AA-406A-4ED0-8173-0EECF8FB3149}" type="presOf" srcId="{1F91BC66-45FD-4919-875F-AB5049ABDC15}" destId="{ECB7FF38-5158-4885-B518-511D0F829CDA}" srcOrd="0" destOrd="0" presId="urn:microsoft.com/office/officeart/2005/8/layout/vList5"/>
    <dgm:cxn modelId="{45DD4DF9-AC80-464D-9DC5-CE8A07AE6EF0}" type="presOf" srcId="{44BEC48A-98E9-48C9-81D0-94C46027A794}" destId="{166BB038-8BE3-4B2F-8FE3-C66501D334FC}" srcOrd="0" destOrd="0" presId="urn:microsoft.com/office/officeart/2005/8/layout/vList5"/>
    <dgm:cxn modelId="{F94CC44C-E505-4098-8EB6-B2D76415835C}" srcId="{5BB7AB63-AC45-493E-B9EA-B0AB6255C2C2}" destId="{44BEC48A-98E9-48C9-81D0-94C46027A794}" srcOrd="0" destOrd="0" parTransId="{2050BD4A-DE6C-4A59-8128-E6BF73CACD38}" sibTransId="{FF884253-79CB-4E42-82F0-E21AEA72A1F0}"/>
    <dgm:cxn modelId="{CA81987B-63C8-4CD1-AD5A-EB749CFD3860}" type="presOf" srcId="{E0A68AE0-CF42-4B3C-887D-8501F291FB56}" destId="{C5A072F3-2259-4AC6-B1AB-4EC81DE1E5EC}" srcOrd="0" destOrd="0" presId="urn:microsoft.com/office/officeart/2005/8/layout/vList5"/>
    <dgm:cxn modelId="{D938232E-ABE7-408D-99A2-88FB5360A290}" type="presOf" srcId="{D6B733E7-028D-4785-AFE8-BAA4C57C09B3}" destId="{348B7866-D543-4494-A5A9-BB36B7F4CF80}" srcOrd="0" destOrd="0" presId="urn:microsoft.com/office/officeart/2005/8/layout/vList5"/>
    <dgm:cxn modelId="{985C3B55-3A89-4AFA-AF9C-33C30D03C2A3}" type="presOf" srcId="{2316C719-7D73-4FE1-8171-11CEE53CC10B}" destId="{6DBF155B-3DB4-468B-8166-93BD98A92496}" srcOrd="0" destOrd="0" presId="urn:microsoft.com/office/officeart/2005/8/layout/vList5"/>
    <dgm:cxn modelId="{2CAEE9FE-2BCF-46B5-83C5-C0AD30619BDB}" type="presOf" srcId="{26B3E9DC-DE66-4F2A-9675-06A8525BB456}" destId="{2EFD78ED-8B48-44A3-82AE-8CD5F2725C55}" srcOrd="0" destOrd="0" presId="urn:microsoft.com/office/officeart/2005/8/layout/vList5"/>
    <dgm:cxn modelId="{69F3DB65-5BC8-4CE7-A895-08E9D9086E36}" type="presOf" srcId="{62AEA772-7D34-44F6-ADEC-5C9F79E9217B}" destId="{DAC18469-7E86-462E-A995-1F8C782528B0}" srcOrd="0" destOrd="0" presId="urn:microsoft.com/office/officeart/2005/8/layout/vList5"/>
    <dgm:cxn modelId="{A6A424AE-E730-468E-B0C5-1C93F7309A82}" type="presOf" srcId="{7A8C8B25-2F5D-41AE-AC66-93D00C62EF11}" destId="{4076F337-B5D2-411F-9A6A-BC84B9A933F0}" srcOrd="0" destOrd="0" presId="urn:microsoft.com/office/officeart/2005/8/layout/vList5"/>
    <dgm:cxn modelId="{9B45989E-7F87-4D2C-9484-C3F9AAE8DE00}" type="presOf" srcId="{686C2973-3DA2-4657-8175-5474128DFAF0}" destId="{5668FB45-81EF-4AF9-992F-1EDC15A034AE}" srcOrd="0" destOrd="0" presId="urn:microsoft.com/office/officeart/2005/8/layout/vList5"/>
    <dgm:cxn modelId="{1EBD995E-7125-483E-904A-5852627BBF7E}" type="presOf" srcId="{4433F753-0E87-4912-B56B-91A35399B18D}" destId="{2358CC19-7BCD-4555-B51B-8C9EDCB09362}" srcOrd="0" destOrd="0" presId="urn:microsoft.com/office/officeart/2005/8/layout/vList5"/>
    <dgm:cxn modelId="{B5729BBA-F7DB-4C1A-A05C-4A80C9F8CF19}" type="presOf" srcId="{5BB7AB63-AC45-493E-B9EA-B0AB6255C2C2}" destId="{B3DDA239-C377-4CDD-8A26-2823DB3A2D64}" srcOrd="0" destOrd="0" presId="urn:microsoft.com/office/officeart/2005/8/layout/vList5"/>
    <dgm:cxn modelId="{33B298C2-0841-4727-9A2E-0DB9119DC253}" srcId="{C2EA40D1-631D-4255-A44A-936F85D67B6F}" destId="{EFF23425-5A6B-4E4F-9E42-7B960FD2C7E4}" srcOrd="0" destOrd="0" parTransId="{DFC4A8EC-3075-451E-BB06-EB5F1FE66262}" sibTransId="{023CF4AC-9DD8-4A48-978D-BD0C030B047A}"/>
    <dgm:cxn modelId="{6FB4B5FC-973E-4DF1-80C0-F0F50EE7FB2B}" type="presOf" srcId="{407CEDE2-822F-474B-9398-0C0D02F8AEFC}" destId="{522CCA70-A8BE-4659-8C00-496B771079DC}" srcOrd="0" destOrd="0" presId="urn:microsoft.com/office/officeart/2005/8/layout/vList5"/>
    <dgm:cxn modelId="{1C3755E5-CA80-4DA9-8070-EE9A18A2A5AC}" srcId="{D00EA431-5EA0-4A9B-8D7F-C1F5ABD0871E}" destId="{A563DE17-A4BF-402B-A9AC-102258F55852}" srcOrd="0" destOrd="0" parTransId="{20A71A6C-BD2B-46CF-AA91-E814F3AAC8FC}" sibTransId="{6B14C4F2-42EF-45EC-AC1E-EB4C4B6DB112}"/>
    <dgm:cxn modelId="{EFA76EB8-35FA-48C7-B7A2-7B0AE1E6B0C8}" srcId="{4433F753-0E87-4912-B56B-91A35399B18D}" destId="{26B3E9DC-DE66-4F2A-9675-06A8525BB456}" srcOrd="6" destOrd="0" parTransId="{F8D9DDF4-FC56-47FC-AEAB-F8C6E28EDCE2}" sibTransId="{09F4A4D5-C879-4C75-95EF-28210CC7C5FB}"/>
    <dgm:cxn modelId="{B0422E67-A18D-4309-8B04-B7198442329F}" srcId="{7DD9B75B-FAEA-4A13-AEA7-779507A0D69B}" destId="{956A5F68-D29A-44EB-9321-4D19B929C948}" srcOrd="0" destOrd="0" parTransId="{B3544000-1D36-42A1-A946-9A269ECBEEA2}" sibTransId="{F6FC4A1F-1151-49EB-A253-959D1AC0625C}"/>
    <dgm:cxn modelId="{CAA225E4-2115-4080-A490-0CF4927489A3}" type="presOf" srcId="{28B7A76B-1A2A-4D25-ACE2-45C424CE2F9C}" destId="{94201C64-1883-46E8-8132-837A31B56A89}" srcOrd="0" destOrd="0" presId="urn:microsoft.com/office/officeart/2005/8/layout/vList5"/>
    <dgm:cxn modelId="{38F00B65-7178-4520-BE3D-D313E065C6EB}" type="presOf" srcId="{7DD9B75B-FAEA-4A13-AEA7-779507A0D69B}" destId="{527A6DB8-CC8D-4117-B64B-FE1C51498EDF}" srcOrd="0" destOrd="0" presId="urn:microsoft.com/office/officeart/2005/8/layout/vList5"/>
    <dgm:cxn modelId="{8D8B075D-9212-44BB-810F-885395355EAB}" srcId="{4433F753-0E87-4912-B56B-91A35399B18D}" destId="{D6B733E7-028D-4785-AFE8-BAA4C57C09B3}" srcOrd="7" destOrd="0" parTransId="{C535346D-BE5A-4821-A51F-5F952505A917}" sibTransId="{0110ADD9-D957-411B-8DF5-C01F08A4B635}"/>
    <dgm:cxn modelId="{D5BAF9F7-961B-4D41-BBDC-0E00229318AE}" srcId="{4433F753-0E87-4912-B56B-91A35399B18D}" destId="{57B99788-9046-4C03-8B73-4794AD2B2E9C}" srcOrd="5" destOrd="0" parTransId="{D048256A-E5DD-497E-90EF-7A2307BFD194}" sibTransId="{9834E83A-B906-47A5-9506-23E448E2271F}"/>
    <dgm:cxn modelId="{43ED8F6E-8E45-40BC-A755-A2E82CD20273}" srcId="{4433F753-0E87-4912-B56B-91A35399B18D}" destId="{E0A68AE0-CF42-4B3C-887D-8501F291FB56}" srcOrd="1" destOrd="0" parTransId="{C3405CCA-FF82-4267-B88A-9D9CD02F305E}" sibTransId="{A6231FD4-7A77-4288-BFFD-C720E30721F8}"/>
    <dgm:cxn modelId="{41926623-170A-4344-898F-C87B7B17AD36}" srcId="{7A8C8B25-2F5D-41AE-AC66-93D00C62EF11}" destId="{F702FD2F-61DF-4F27-AB35-4A49C1C270BE}" srcOrd="0" destOrd="0" parTransId="{1BCD56A1-EC23-4869-AB5E-03A27BFF189E}" sibTransId="{4722041A-BDA9-42DE-903B-1D758C552A06}"/>
    <dgm:cxn modelId="{DEC262A1-C234-422D-BD33-B1536D040D0C}" srcId="{4433F753-0E87-4912-B56B-91A35399B18D}" destId="{7A8C8B25-2F5D-41AE-AC66-93D00C62EF11}" srcOrd="3" destOrd="0" parTransId="{6DC4C0EC-2653-49F8-9594-7E791F871854}" sibTransId="{DB0E688F-A900-48C9-84F9-1EEA8EC1E883}"/>
    <dgm:cxn modelId="{452428C3-8E57-4E3C-B4CE-557C50A715C6}" type="presOf" srcId="{A563DE17-A4BF-402B-A9AC-102258F55852}" destId="{D345C441-DFDC-4761-A367-3E4BCDCA872D}" srcOrd="0" destOrd="0" presId="urn:microsoft.com/office/officeart/2005/8/layout/vList5"/>
    <dgm:cxn modelId="{7F8EA2D2-35EA-457E-AC71-595EE6DABA46}" type="presOf" srcId="{2A73D675-600A-4643-9D98-A6AB00722249}" destId="{491281F3-ADC6-4D0B-A518-AE608E34DFB6}" srcOrd="0" destOrd="0" presId="urn:microsoft.com/office/officeart/2005/8/layout/vList5"/>
    <dgm:cxn modelId="{FD474AC3-72D6-46AE-8DB1-CF52B9103EED}" srcId="{4433F753-0E87-4912-B56B-91A35399B18D}" destId="{623B77A5-6552-4C58-8682-7B833620E8DB}" srcOrd="4" destOrd="0" parTransId="{47355F99-9BB6-4AA9-9023-59FA76DFBD14}" sibTransId="{910AE067-E411-439D-9BD6-F95064C1CE0D}"/>
    <dgm:cxn modelId="{B0FFA7C1-4092-4E65-9B2D-07D0E75B37EE}" srcId="{4433F753-0E87-4912-B56B-91A35399B18D}" destId="{C2EA40D1-631D-4255-A44A-936F85D67B6F}" srcOrd="9" destOrd="0" parTransId="{89C01376-4CEC-42FE-AEF0-1E5C969D66A7}" sibTransId="{22DF22C3-9817-49B6-9642-F80DFAF87CD6}"/>
    <dgm:cxn modelId="{741AE271-80C3-43E2-9FE8-0F6894CE6EB7}" srcId="{2A73D675-600A-4643-9D98-A6AB00722249}" destId="{407CEDE2-822F-474B-9398-0C0D02F8AEFC}" srcOrd="0" destOrd="0" parTransId="{502FC0BC-CE84-4CE3-98E8-66CB8A331977}" sibTransId="{274E6F98-FBC0-4B11-983B-FBE029F771D8}"/>
    <dgm:cxn modelId="{C383781F-D894-4C27-B23F-98C675CDF32C}" srcId="{26B3E9DC-DE66-4F2A-9675-06A8525BB456}" destId="{686C2973-3DA2-4657-8175-5474128DFAF0}" srcOrd="0" destOrd="0" parTransId="{435CF184-9DC5-45D0-9445-6C1239C84E14}" sibTransId="{337FD82D-36C4-4713-9DFC-D291F1624565}"/>
    <dgm:cxn modelId="{778E0C81-47D9-4B2B-BEE0-CEB7E4991ADE}" srcId="{2316C719-7D73-4FE1-8171-11CEE53CC10B}" destId="{28B7A76B-1A2A-4D25-ACE2-45C424CE2F9C}" srcOrd="0" destOrd="0" parTransId="{BDACA8FB-421E-4C17-906A-8C6D696817D4}" sibTransId="{EBBC8349-DD9C-4EEF-899D-9AD5EE04BAE3}"/>
    <dgm:cxn modelId="{77CCB5EF-C5CE-4231-A42A-09A224EEC4A5}" type="presOf" srcId="{149CBCB2-C0B8-456C-A106-D70E13763336}" destId="{C603EED1-5EA4-43DB-AFE2-66008095961D}" srcOrd="0" destOrd="0" presId="urn:microsoft.com/office/officeart/2005/8/layout/vList5"/>
    <dgm:cxn modelId="{F1B89C57-60B2-4974-842F-67E8B46EFFB6}" type="presOf" srcId="{EFF23425-5A6B-4E4F-9E42-7B960FD2C7E4}" destId="{F836AA0D-C047-4039-96C4-B69E990CBFE0}" srcOrd="0" destOrd="0" presId="urn:microsoft.com/office/officeart/2005/8/layout/vList5"/>
    <dgm:cxn modelId="{16C14FF2-0C76-4E48-A078-6C1C8389F401}" type="presOf" srcId="{C2EA40D1-631D-4255-A44A-936F85D67B6F}" destId="{759AC901-B5C6-4C65-B2DE-56614DEC4387}" srcOrd="0" destOrd="0" presId="urn:microsoft.com/office/officeart/2005/8/layout/vList5"/>
    <dgm:cxn modelId="{8C6BB27E-EC8C-45E5-8FB6-9C4FFFBD4F5A}" type="presOf" srcId="{57B99788-9046-4C03-8B73-4794AD2B2E9C}" destId="{E3EA244C-3853-4E41-BC25-0BC2499716DD}" srcOrd="0" destOrd="0" presId="urn:microsoft.com/office/officeart/2005/8/layout/vList5"/>
    <dgm:cxn modelId="{B7F87FFA-FF58-4784-8EC0-613C2A47E2F0}" srcId="{623B77A5-6552-4C58-8682-7B833620E8DB}" destId="{149CBCB2-C0B8-456C-A106-D70E13763336}" srcOrd="0" destOrd="0" parTransId="{0FB74CE1-4F09-4183-AB8B-E58898A0D4F3}" sibTransId="{1D5FD501-9E46-4BE0-A2A9-8777A87246BF}"/>
    <dgm:cxn modelId="{02E5D7DC-A0C8-47AB-9D19-A01E7277485D}" type="presOf" srcId="{F702FD2F-61DF-4F27-AB35-4A49C1C270BE}" destId="{EE37B38A-A232-4B66-B9BB-9944B4245AA9}" srcOrd="0" destOrd="0" presId="urn:microsoft.com/office/officeart/2005/8/layout/vList5"/>
    <dgm:cxn modelId="{D1A5B6D2-479C-44A0-9B7C-3BEC25CC827D}" srcId="{4433F753-0E87-4912-B56B-91A35399B18D}" destId="{5BB7AB63-AC45-493E-B9EA-B0AB6255C2C2}" srcOrd="2" destOrd="0" parTransId="{BED2F17C-F288-4568-8B94-21BED9969414}" sibTransId="{64311211-F32C-4554-A12C-6C9446F0DE27}"/>
    <dgm:cxn modelId="{D4134A29-D2C0-4831-94F6-14053A943D2E}" srcId="{4433F753-0E87-4912-B56B-91A35399B18D}" destId="{7DD9B75B-FAEA-4A13-AEA7-779507A0D69B}" srcOrd="10" destOrd="0" parTransId="{66688FAC-5EA0-4780-A4F7-5041D334411C}" sibTransId="{8C502A28-445E-4D44-B304-00FCE3107B5A}"/>
    <dgm:cxn modelId="{21E87CF8-8FCD-494A-9163-AAAE0CFE8E20}" srcId="{4433F753-0E87-4912-B56B-91A35399B18D}" destId="{D00EA431-5EA0-4A9B-8D7F-C1F5ABD0871E}" srcOrd="8" destOrd="0" parTransId="{7FAACA6F-DA57-4704-8850-7E9BB064EC79}" sibTransId="{7F93C2A7-09BD-40BD-B78F-040E0E87E7D0}"/>
    <dgm:cxn modelId="{D20144E2-31E1-482F-84E3-D35B689A43A3}" type="presOf" srcId="{D00EA431-5EA0-4A9B-8D7F-C1F5ABD0871E}" destId="{ECF84230-D726-4FDA-87E0-B0CFDD9D2804}" srcOrd="0" destOrd="0" presId="urn:microsoft.com/office/officeart/2005/8/layout/vList5"/>
    <dgm:cxn modelId="{C887BF13-29C3-4BE2-A8B9-6381BF3C52CF}" srcId="{D6B733E7-028D-4785-AFE8-BAA4C57C09B3}" destId="{033CD385-B267-4099-96DF-3EC0A415BFB1}" srcOrd="0" destOrd="0" parTransId="{EC0403AC-CB47-486D-AD69-4D9B05649D0C}" sibTransId="{E8ABFAF5-796D-44B8-87DA-643F3D7A7C9F}"/>
    <dgm:cxn modelId="{56F76AC4-779C-43BE-8EAD-8EBC246DC843}" type="presOf" srcId="{033CD385-B267-4099-96DF-3EC0A415BFB1}" destId="{FD6F9629-897A-48F4-8FD2-83C4978D2646}" srcOrd="0" destOrd="0" presId="urn:microsoft.com/office/officeart/2005/8/layout/vList5"/>
    <dgm:cxn modelId="{3B8E9F40-A504-42A9-ADB2-907216657A11}" type="presOf" srcId="{956A5F68-D29A-44EB-9321-4D19B929C948}" destId="{CF454B15-5CC5-4910-A3C4-9B5F573E73EA}" srcOrd="0" destOrd="0" presId="urn:microsoft.com/office/officeart/2005/8/layout/vList5"/>
    <dgm:cxn modelId="{BDF3FE23-2A1F-4F84-9736-0A307F78FF95}" srcId="{57B99788-9046-4C03-8B73-4794AD2B2E9C}" destId="{62AEA772-7D34-44F6-ADEC-5C9F79E9217B}" srcOrd="0" destOrd="0" parTransId="{8BD10442-BBB5-46D4-AA9D-0A91B2B82FDB}" sibTransId="{8F31B176-3ECB-4C1F-B875-D6F242F8F6F4}"/>
    <dgm:cxn modelId="{08AF187A-BA3E-4AAB-B7CF-E794D76DDF1D}" srcId="{4433F753-0E87-4912-B56B-91A35399B18D}" destId="{2A73D675-600A-4643-9D98-A6AB00722249}" srcOrd="11" destOrd="0" parTransId="{5AAB271C-B104-4B54-BA0C-2752888A830A}" sibTransId="{0DE3D903-C7DB-4E5A-ACBE-28F7F90C107F}"/>
    <dgm:cxn modelId="{D030B6E0-B47F-4CA2-9A59-93D1F195F730}" srcId="{4433F753-0E87-4912-B56B-91A35399B18D}" destId="{2316C719-7D73-4FE1-8171-11CEE53CC10B}" srcOrd="0" destOrd="0" parTransId="{93E9335E-EACC-42A7-8E49-90B19583AAAD}" sibTransId="{59649BFC-41D6-4A87-A346-2BADB8EB7A66}"/>
    <dgm:cxn modelId="{1DEB9D34-62DB-49C5-9842-E0DE23AED7A3}" type="presOf" srcId="{623B77A5-6552-4C58-8682-7B833620E8DB}" destId="{2F71AE09-5FEC-4634-9A3D-3586FE659A59}" srcOrd="0" destOrd="0" presId="urn:microsoft.com/office/officeart/2005/8/layout/vList5"/>
    <dgm:cxn modelId="{8C602353-E0E6-47C3-BF2E-A6D1F55B5E1F}" type="presParOf" srcId="{2358CC19-7BCD-4555-B51B-8C9EDCB09362}" destId="{32AB4E8A-911F-4433-9E04-DBB9D64DB917}" srcOrd="0" destOrd="0" presId="urn:microsoft.com/office/officeart/2005/8/layout/vList5"/>
    <dgm:cxn modelId="{AC04C9AA-8DE7-4B3D-BD3F-55BCA3A414C6}" type="presParOf" srcId="{32AB4E8A-911F-4433-9E04-DBB9D64DB917}" destId="{6DBF155B-3DB4-468B-8166-93BD98A92496}" srcOrd="0" destOrd="0" presId="urn:microsoft.com/office/officeart/2005/8/layout/vList5"/>
    <dgm:cxn modelId="{A19A2A76-D429-46B2-94F1-E1AE89E99AE0}" type="presParOf" srcId="{32AB4E8A-911F-4433-9E04-DBB9D64DB917}" destId="{94201C64-1883-46E8-8132-837A31B56A89}" srcOrd="1" destOrd="0" presId="urn:microsoft.com/office/officeart/2005/8/layout/vList5"/>
    <dgm:cxn modelId="{4E2C1C8C-D5AA-4D54-B40B-ACB40BBAC1E2}" type="presParOf" srcId="{2358CC19-7BCD-4555-B51B-8C9EDCB09362}" destId="{E1E6A204-4B27-4D59-B95F-33CDB4CF7824}" srcOrd="1" destOrd="0" presId="urn:microsoft.com/office/officeart/2005/8/layout/vList5"/>
    <dgm:cxn modelId="{32DE6692-0E5F-4FB0-8130-B0946A62594C}" type="presParOf" srcId="{2358CC19-7BCD-4555-B51B-8C9EDCB09362}" destId="{CEF0E39E-74D9-45AA-BFD3-DB738FE0CB3E}" srcOrd="2" destOrd="0" presId="urn:microsoft.com/office/officeart/2005/8/layout/vList5"/>
    <dgm:cxn modelId="{C2AAB5AA-D172-4FC4-A598-DB7F28F69CF0}" type="presParOf" srcId="{CEF0E39E-74D9-45AA-BFD3-DB738FE0CB3E}" destId="{C5A072F3-2259-4AC6-B1AB-4EC81DE1E5EC}" srcOrd="0" destOrd="0" presId="urn:microsoft.com/office/officeart/2005/8/layout/vList5"/>
    <dgm:cxn modelId="{EF061D85-CEC4-4026-B126-036EB6F5842D}" type="presParOf" srcId="{CEF0E39E-74D9-45AA-BFD3-DB738FE0CB3E}" destId="{ECB7FF38-5158-4885-B518-511D0F829CDA}" srcOrd="1" destOrd="0" presId="urn:microsoft.com/office/officeart/2005/8/layout/vList5"/>
    <dgm:cxn modelId="{21AC5415-7B84-4194-B4FD-D56A31D78EAB}" type="presParOf" srcId="{2358CC19-7BCD-4555-B51B-8C9EDCB09362}" destId="{566F2519-45CA-472E-A245-8BECD5482B0B}" srcOrd="3" destOrd="0" presId="urn:microsoft.com/office/officeart/2005/8/layout/vList5"/>
    <dgm:cxn modelId="{7CA65A58-1CC0-48F3-8917-3A6402177F4C}" type="presParOf" srcId="{2358CC19-7BCD-4555-B51B-8C9EDCB09362}" destId="{1C7F647B-B269-47C8-AAA8-05716E004566}" srcOrd="4" destOrd="0" presId="urn:microsoft.com/office/officeart/2005/8/layout/vList5"/>
    <dgm:cxn modelId="{8A5FEB3C-D3CB-4ABB-8A1A-44BCA1114943}" type="presParOf" srcId="{1C7F647B-B269-47C8-AAA8-05716E004566}" destId="{B3DDA239-C377-4CDD-8A26-2823DB3A2D64}" srcOrd="0" destOrd="0" presId="urn:microsoft.com/office/officeart/2005/8/layout/vList5"/>
    <dgm:cxn modelId="{36CC3B73-2719-439F-8198-D7883B2E7F90}" type="presParOf" srcId="{1C7F647B-B269-47C8-AAA8-05716E004566}" destId="{166BB038-8BE3-4B2F-8FE3-C66501D334FC}" srcOrd="1" destOrd="0" presId="urn:microsoft.com/office/officeart/2005/8/layout/vList5"/>
    <dgm:cxn modelId="{9E8CED84-DC72-46B7-86CC-BA1EFBBF19B2}" type="presParOf" srcId="{2358CC19-7BCD-4555-B51B-8C9EDCB09362}" destId="{DBE4CC5D-1E80-4FEF-B842-4EBBDC4ABF1B}" srcOrd="5" destOrd="0" presId="urn:microsoft.com/office/officeart/2005/8/layout/vList5"/>
    <dgm:cxn modelId="{1B7198A7-4BA3-44CA-9923-707EBDA0C007}" type="presParOf" srcId="{2358CC19-7BCD-4555-B51B-8C9EDCB09362}" destId="{0BA28A9C-68C0-4AB5-82B3-071A3CF331BF}" srcOrd="6" destOrd="0" presId="urn:microsoft.com/office/officeart/2005/8/layout/vList5"/>
    <dgm:cxn modelId="{C4C7708E-29C5-423E-9888-829AFCDBB574}" type="presParOf" srcId="{0BA28A9C-68C0-4AB5-82B3-071A3CF331BF}" destId="{4076F337-B5D2-411F-9A6A-BC84B9A933F0}" srcOrd="0" destOrd="0" presId="urn:microsoft.com/office/officeart/2005/8/layout/vList5"/>
    <dgm:cxn modelId="{1AA1B33A-8048-4D25-857C-CAD2816682DF}" type="presParOf" srcId="{0BA28A9C-68C0-4AB5-82B3-071A3CF331BF}" destId="{EE37B38A-A232-4B66-B9BB-9944B4245AA9}" srcOrd="1" destOrd="0" presId="urn:microsoft.com/office/officeart/2005/8/layout/vList5"/>
    <dgm:cxn modelId="{C9893F28-4522-4F9F-94CE-B7B55FFC63BC}" type="presParOf" srcId="{2358CC19-7BCD-4555-B51B-8C9EDCB09362}" destId="{1F11220F-0B7E-4260-BBBC-74FD33081E26}" srcOrd="7" destOrd="0" presId="urn:microsoft.com/office/officeart/2005/8/layout/vList5"/>
    <dgm:cxn modelId="{973E29CF-7BFA-482A-B8EE-8BA0F558447A}" type="presParOf" srcId="{2358CC19-7BCD-4555-B51B-8C9EDCB09362}" destId="{75FC091B-D35C-4CE4-A41D-01134F00A9A2}" srcOrd="8" destOrd="0" presId="urn:microsoft.com/office/officeart/2005/8/layout/vList5"/>
    <dgm:cxn modelId="{0695E566-852C-4AF0-9977-50CA64A5B790}" type="presParOf" srcId="{75FC091B-D35C-4CE4-A41D-01134F00A9A2}" destId="{2F71AE09-5FEC-4634-9A3D-3586FE659A59}" srcOrd="0" destOrd="0" presId="urn:microsoft.com/office/officeart/2005/8/layout/vList5"/>
    <dgm:cxn modelId="{006D43A2-8699-4EF3-BE6C-0E7D6D4A6BAD}" type="presParOf" srcId="{75FC091B-D35C-4CE4-A41D-01134F00A9A2}" destId="{C603EED1-5EA4-43DB-AFE2-66008095961D}" srcOrd="1" destOrd="0" presId="urn:microsoft.com/office/officeart/2005/8/layout/vList5"/>
    <dgm:cxn modelId="{CCD32E1E-BDD4-42FF-9586-46F54AB1FA90}" type="presParOf" srcId="{2358CC19-7BCD-4555-B51B-8C9EDCB09362}" destId="{1ED3917F-7471-4512-9F23-28F8271D6EF5}" srcOrd="9" destOrd="0" presId="urn:microsoft.com/office/officeart/2005/8/layout/vList5"/>
    <dgm:cxn modelId="{AFA2B536-E294-4DD0-8761-D8623D46C313}" type="presParOf" srcId="{2358CC19-7BCD-4555-B51B-8C9EDCB09362}" destId="{91C5237E-8EEE-4132-9350-DACC3C91DCAC}" srcOrd="10" destOrd="0" presId="urn:microsoft.com/office/officeart/2005/8/layout/vList5"/>
    <dgm:cxn modelId="{C7A80A26-3D29-4C68-9D56-74D348AE6710}" type="presParOf" srcId="{91C5237E-8EEE-4132-9350-DACC3C91DCAC}" destId="{E3EA244C-3853-4E41-BC25-0BC2499716DD}" srcOrd="0" destOrd="0" presId="urn:microsoft.com/office/officeart/2005/8/layout/vList5"/>
    <dgm:cxn modelId="{C2346190-D546-4611-8DDD-9C6C465BAD29}" type="presParOf" srcId="{91C5237E-8EEE-4132-9350-DACC3C91DCAC}" destId="{DAC18469-7E86-462E-A995-1F8C782528B0}" srcOrd="1" destOrd="0" presId="urn:microsoft.com/office/officeart/2005/8/layout/vList5"/>
    <dgm:cxn modelId="{9A1CC02E-22C0-4547-8DBF-F0503964A5AC}" type="presParOf" srcId="{2358CC19-7BCD-4555-B51B-8C9EDCB09362}" destId="{649CD228-E279-435C-8D4A-20FCEF249FEA}" srcOrd="11" destOrd="0" presId="urn:microsoft.com/office/officeart/2005/8/layout/vList5"/>
    <dgm:cxn modelId="{DD9A2E77-A44A-472E-BEB9-C17A27DD1D93}" type="presParOf" srcId="{2358CC19-7BCD-4555-B51B-8C9EDCB09362}" destId="{E3E0FD2E-DD9A-433C-AAF1-71F4301475EE}" srcOrd="12" destOrd="0" presId="urn:microsoft.com/office/officeart/2005/8/layout/vList5"/>
    <dgm:cxn modelId="{0F84B7B1-238F-4857-B9A7-5504A9231925}" type="presParOf" srcId="{E3E0FD2E-DD9A-433C-AAF1-71F4301475EE}" destId="{2EFD78ED-8B48-44A3-82AE-8CD5F2725C55}" srcOrd="0" destOrd="0" presId="urn:microsoft.com/office/officeart/2005/8/layout/vList5"/>
    <dgm:cxn modelId="{AE56265A-D0BC-4CE8-9EC9-BEF359C1A20A}" type="presParOf" srcId="{E3E0FD2E-DD9A-433C-AAF1-71F4301475EE}" destId="{5668FB45-81EF-4AF9-992F-1EDC15A034AE}" srcOrd="1" destOrd="0" presId="urn:microsoft.com/office/officeart/2005/8/layout/vList5"/>
    <dgm:cxn modelId="{9AB41216-5DF8-4E5A-BB66-6601F771A1B9}" type="presParOf" srcId="{2358CC19-7BCD-4555-B51B-8C9EDCB09362}" destId="{871813B5-23E7-41D5-9199-0254A76BF456}" srcOrd="13" destOrd="0" presId="urn:microsoft.com/office/officeart/2005/8/layout/vList5"/>
    <dgm:cxn modelId="{F3CB5294-BE17-40DD-BC2E-904BDCF36B39}" type="presParOf" srcId="{2358CC19-7BCD-4555-B51B-8C9EDCB09362}" destId="{E438EF38-34CA-4F3D-81C1-DC08809A01BE}" srcOrd="14" destOrd="0" presId="urn:microsoft.com/office/officeart/2005/8/layout/vList5"/>
    <dgm:cxn modelId="{D8B2177F-8EED-4CEE-B02E-437A7CB9C829}" type="presParOf" srcId="{E438EF38-34CA-4F3D-81C1-DC08809A01BE}" destId="{348B7866-D543-4494-A5A9-BB36B7F4CF80}" srcOrd="0" destOrd="0" presId="urn:microsoft.com/office/officeart/2005/8/layout/vList5"/>
    <dgm:cxn modelId="{D82950E4-EC95-452B-914E-D59251017F2A}" type="presParOf" srcId="{E438EF38-34CA-4F3D-81C1-DC08809A01BE}" destId="{FD6F9629-897A-48F4-8FD2-83C4978D2646}" srcOrd="1" destOrd="0" presId="urn:microsoft.com/office/officeart/2005/8/layout/vList5"/>
    <dgm:cxn modelId="{A6DCC4F8-7814-41C3-9E19-5EE0680A65D4}" type="presParOf" srcId="{2358CC19-7BCD-4555-B51B-8C9EDCB09362}" destId="{DC9B5D4B-D27D-4C06-BC65-D5745212A286}" srcOrd="15" destOrd="0" presId="urn:microsoft.com/office/officeart/2005/8/layout/vList5"/>
    <dgm:cxn modelId="{A857B7D7-C049-4930-8B5C-11BE70929A1C}" type="presParOf" srcId="{2358CC19-7BCD-4555-B51B-8C9EDCB09362}" destId="{755EC65C-17C5-47DD-A6BA-3C689FEF8B73}" srcOrd="16" destOrd="0" presId="urn:microsoft.com/office/officeart/2005/8/layout/vList5"/>
    <dgm:cxn modelId="{ED7D9780-4635-4930-9A85-9E1B62764E13}" type="presParOf" srcId="{755EC65C-17C5-47DD-A6BA-3C689FEF8B73}" destId="{ECF84230-D726-4FDA-87E0-B0CFDD9D2804}" srcOrd="0" destOrd="0" presId="urn:microsoft.com/office/officeart/2005/8/layout/vList5"/>
    <dgm:cxn modelId="{D5F3536F-20BA-47C0-8E2F-9579780612A1}" type="presParOf" srcId="{755EC65C-17C5-47DD-A6BA-3C689FEF8B73}" destId="{D345C441-DFDC-4761-A367-3E4BCDCA872D}" srcOrd="1" destOrd="0" presId="urn:microsoft.com/office/officeart/2005/8/layout/vList5"/>
    <dgm:cxn modelId="{8CC054EB-305A-4243-A9F3-906186CA21BD}" type="presParOf" srcId="{2358CC19-7BCD-4555-B51B-8C9EDCB09362}" destId="{6E08305A-9F74-452F-8F4E-4150DC974190}" srcOrd="17" destOrd="0" presId="urn:microsoft.com/office/officeart/2005/8/layout/vList5"/>
    <dgm:cxn modelId="{891B8881-AC02-4FD2-A4CD-DADE27AEF946}" type="presParOf" srcId="{2358CC19-7BCD-4555-B51B-8C9EDCB09362}" destId="{AEC0700F-AC68-45CC-88D4-FDC2AB7187EA}" srcOrd="18" destOrd="0" presId="urn:microsoft.com/office/officeart/2005/8/layout/vList5"/>
    <dgm:cxn modelId="{DCBB01C7-B6F1-4785-A097-0665D4F652B0}" type="presParOf" srcId="{AEC0700F-AC68-45CC-88D4-FDC2AB7187EA}" destId="{759AC901-B5C6-4C65-B2DE-56614DEC4387}" srcOrd="0" destOrd="0" presId="urn:microsoft.com/office/officeart/2005/8/layout/vList5"/>
    <dgm:cxn modelId="{4112177F-48FB-4E0E-920D-89D440472908}" type="presParOf" srcId="{AEC0700F-AC68-45CC-88D4-FDC2AB7187EA}" destId="{F836AA0D-C047-4039-96C4-B69E990CBFE0}" srcOrd="1" destOrd="0" presId="urn:microsoft.com/office/officeart/2005/8/layout/vList5"/>
    <dgm:cxn modelId="{CBB0F67D-9F06-4B64-8324-81F6F9687535}" type="presParOf" srcId="{2358CC19-7BCD-4555-B51B-8C9EDCB09362}" destId="{41760BC8-AAF6-4CFC-B21C-C9FCE9AC0BF9}" srcOrd="19" destOrd="0" presId="urn:microsoft.com/office/officeart/2005/8/layout/vList5"/>
    <dgm:cxn modelId="{51456A20-1C67-4121-BC7C-1399248FED97}" type="presParOf" srcId="{2358CC19-7BCD-4555-B51B-8C9EDCB09362}" destId="{E1CA8204-C589-489D-BA2A-FD2B83B49641}" srcOrd="20" destOrd="0" presId="urn:microsoft.com/office/officeart/2005/8/layout/vList5"/>
    <dgm:cxn modelId="{7B6BE800-3946-40EF-96D3-A53AB44D3B68}" type="presParOf" srcId="{E1CA8204-C589-489D-BA2A-FD2B83B49641}" destId="{527A6DB8-CC8D-4117-B64B-FE1C51498EDF}" srcOrd="0" destOrd="0" presId="urn:microsoft.com/office/officeart/2005/8/layout/vList5"/>
    <dgm:cxn modelId="{7D3EA6E1-A7DB-440F-B352-EBF6F437E5C1}" type="presParOf" srcId="{E1CA8204-C589-489D-BA2A-FD2B83B49641}" destId="{CF454B15-5CC5-4910-A3C4-9B5F573E73EA}" srcOrd="1" destOrd="0" presId="urn:microsoft.com/office/officeart/2005/8/layout/vList5"/>
    <dgm:cxn modelId="{7D30A81D-81D6-4D44-B3F6-DA53E78DF4C8}" type="presParOf" srcId="{2358CC19-7BCD-4555-B51B-8C9EDCB09362}" destId="{9E76DF7E-19C4-459F-8651-309671F98C54}" srcOrd="21" destOrd="0" presId="urn:microsoft.com/office/officeart/2005/8/layout/vList5"/>
    <dgm:cxn modelId="{91E55E72-2BDA-4ED3-A80F-3C59EDA14BAE}" type="presParOf" srcId="{2358CC19-7BCD-4555-B51B-8C9EDCB09362}" destId="{F3DB54BB-C9F5-4DDC-9C74-5CA0747A5AC7}" srcOrd="22" destOrd="0" presId="urn:microsoft.com/office/officeart/2005/8/layout/vList5"/>
    <dgm:cxn modelId="{D9A1B410-F05F-45FF-9F69-44D019C0032C}" type="presParOf" srcId="{F3DB54BB-C9F5-4DDC-9C74-5CA0747A5AC7}" destId="{491281F3-ADC6-4D0B-A518-AE608E34DFB6}" srcOrd="0" destOrd="0" presId="urn:microsoft.com/office/officeart/2005/8/layout/vList5"/>
    <dgm:cxn modelId="{2F5D1466-4CFD-4648-A93B-8D1EE6F8CFD2}" type="presParOf" srcId="{F3DB54BB-C9F5-4DDC-9C74-5CA0747A5AC7}" destId="{522CCA70-A8BE-4659-8C00-496B771079DC}" srcOrd="1" destOrd="0" presId="urn:microsoft.com/office/officeart/2005/8/layout/vList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201C64-1883-46E8-8132-837A31B56A89}">
      <dsp:nvSpPr>
        <dsp:cNvPr id="0" name=""/>
        <dsp:cNvSpPr/>
      </dsp:nvSpPr>
      <dsp:spPr>
        <a:xfrm rot="5400000">
          <a:off x="3124400" y="-1654909"/>
          <a:ext cx="268533" cy="3578352"/>
        </a:xfrm>
        <a:prstGeom prst="rect">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0800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fr-FR" sz="900" b="1" kern="1200">
              <a:latin typeface="Calibri"/>
              <a:ea typeface="+mn-ea"/>
              <a:cs typeface="+mn-cs"/>
            </a:rPr>
            <a:t>INFORMATIONS</a:t>
          </a:r>
        </a:p>
      </dsp:txBody>
      <dsp:txXfrm rot="-5400000">
        <a:off x="1469491" y="0"/>
        <a:ext cx="3578352" cy="268533"/>
      </dsp:txXfrm>
    </dsp:sp>
    <dsp:sp modelId="{6DBF155B-3DB4-468B-8166-93BD98A92496}">
      <dsp:nvSpPr>
        <dsp:cNvPr id="0" name=""/>
        <dsp:cNvSpPr/>
      </dsp:nvSpPr>
      <dsp:spPr>
        <a:xfrm>
          <a:off x="536910" y="16106"/>
          <a:ext cx="910661" cy="236431"/>
        </a:xfrm>
        <a:prstGeom prst="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17145" rIns="34290" bIns="17145" numCol="1" spcCol="1270" anchor="ctr" anchorCtr="0">
          <a:noAutofit/>
        </a:bodyPr>
        <a:lstStyle/>
        <a:p>
          <a:pPr lvl="0" algn="ctr" defTabSz="400050">
            <a:lnSpc>
              <a:spcPct val="90000"/>
            </a:lnSpc>
            <a:spcBef>
              <a:spcPct val="0"/>
            </a:spcBef>
            <a:spcAft>
              <a:spcPct val="35000"/>
            </a:spcAft>
          </a:pPr>
          <a:r>
            <a:rPr lang="fr-FR" sz="900" b="1" kern="1200">
              <a:latin typeface="Calibri"/>
              <a:ea typeface="+mn-ea"/>
              <a:cs typeface="+mn-cs"/>
            </a:rPr>
            <a:t>SOURCES</a:t>
          </a:r>
        </a:p>
      </dsp:txBody>
      <dsp:txXfrm>
        <a:off x="536910" y="16106"/>
        <a:ext cx="910661" cy="236431"/>
      </dsp:txXfrm>
    </dsp:sp>
    <dsp:sp modelId="{ECB7FF38-5158-4885-B518-511D0F829CDA}">
      <dsp:nvSpPr>
        <dsp:cNvPr id="0" name=""/>
        <dsp:cNvSpPr/>
      </dsp:nvSpPr>
      <dsp:spPr>
        <a:xfrm rot="5400000">
          <a:off x="3126626" y="-1364816"/>
          <a:ext cx="276924" cy="3578352"/>
        </a:xfrm>
        <a:prstGeom prst="round2SameRect">
          <a:avLst/>
        </a:prstGeom>
        <a:solidFill>
          <a:schemeClr val="accent5">
            <a:tint val="40000"/>
            <a:alpha val="90000"/>
            <a:hueOff val="-671978"/>
            <a:satOff val="-1165"/>
            <a:lumOff val="-117"/>
            <a:alphaOff val="0"/>
          </a:schemeClr>
        </a:solidFill>
        <a:ln w="6350" cap="flat" cmpd="sng" algn="ctr">
          <a:solidFill>
            <a:schemeClr val="accent5">
              <a:tint val="40000"/>
              <a:alpha val="90000"/>
              <a:hueOff val="-671978"/>
              <a:satOff val="-1165"/>
              <a:lumOff val="-117"/>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08000" tIns="123825" rIns="180000" bIns="123825" numCol="1" spcCol="1270" anchor="ctr" anchorCtr="0">
          <a:noAutofit/>
        </a:bodyPr>
        <a:lstStyle/>
        <a:p>
          <a:pPr marL="57150" lvl="1" indent="-57150" algn="l" defTabSz="400050">
            <a:lnSpc>
              <a:spcPct val="90000"/>
            </a:lnSpc>
            <a:spcBef>
              <a:spcPct val="0"/>
            </a:spcBef>
            <a:spcAft>
              <a:spcPct val="15000"/>
            </a:spcAft>
            <a:buChar char="••"/>
          </a:pPr>
          <a:r>
            <a:rPr lang="fr-FR" sz="900" b="0" kern="700" baseline="0">
              <a:ln/>
              <a:latin typeface="Calibri"/>
              <a:ea typeface="+mn-ea"/>
              <a:cs typeface="+mn-cs"/>
            </a:rPr>
            <a:t>Cadre légal et régime fiscal</a:t>
          </a:r>
        </a:p>
      </dsp:txBody>
      <dsp:txXfrm rot="-5400000">
        <a:off x="1475912" y="299416"/>
        <a:ext cx="3564834" cy="249888"/>
      </dsp:txXfrm>
    </dsp:sp>
    <dsp:sp modelId="{C5A072F3-2259-4AC6-B1AB-4EC81DE1E5EC}">
      <dsp:nvSpPr>
        <dsp:cNvPr id="0" name=""/>
        <dsp:cNvSpPr/>
      </dsp:nvSpPr>
      <dsp:spPr>
        <a:xfrm>
          <a:off x="536910" y="293062"/>
          <a:ext cx="939002" cy="262593"/>
        </a:xfrm>
        <a:prstGeom prst="homePlate">
          <a:avLst/>
        </a:prstGeom>
        <a:gradFill rotWithShape="0">
          <a:gsLst>
            <a:gs pos="0">
              <a:schemeClr val="accent5">
                <a:hueOff val="-668486"/>
                <a:satOff val="-930"/>
                <a:lumOff val="-357"/>
                <a:alphaOff val="0"/>
                <a:lumMod val="110000"/>
                <a:satMod val="105000"/>
                <a:tint val="67000"/>
              </a:schemeClr>
            </a:gs>
            <a:gs pos="50000">
              <a:schemeClr val="accent5">
                <a:hueOff val="-668486"/>
                <a:satOff val="-930"/>
                <a:lumOff val="-357"/>
                <a:alphaOff val="0"/>
                <a:lumMod val="105000"/>
                <a:satMod val="103000"/>
                <a:tint val="73000"/>
              </a:schemeClr>
            </a:gs>
            <a:gs pos="100000">
              <a:schemeClr val="accent5">
                <a:hueOff val="-668486"/>
                <a:satOff val="-930"/>
                <a:lumOff val="-357"/>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15240" rIns="30480" bIns="15240" numCol="1" spcCol="1270" anchor="ctr" anchorCtr="0">
          <a:noAutofit/>
        </a:bodyPr>
        <a:lstStyle/>
        <a:p>
          <a:pPr lvl="0" algn="ctr" defTabSz="355600">
            <a:lnSpc>
              <a:spcPct val="90000"/>
            </a:lnSpc>
            <a:spcBef>
              <a:spcPct val="0"/>
            </a:spcBef>
            <a:spcAft>
              <a:spcPct val="35000"/>
            </a:spcAft>
          </a:pPr>
          <a:r>
            <a:rPr lang="fr-FR" sz="800" b="1" kern="1200">
              <a:latin typeface="Calibri"/>
              <a:ea typeface="+mn-ea"/>
              <a:cs typeface="+mn-cs"/>
            </a:rPr>
            <a:t>TEXTES LEGAUX &amp; REGLEMENTAIRES</a:t>
          </a:r>
        </a:p>
      </dsp:txBody>
      <dsp:txXfrm>
        <a:off x="536910" y="293062"/>
        <a:ext cx="873354" cy="262593"/>
      </dsp:txXfrm>
    </dsp:sp>
    <dsp:sp modelId="{166BB038-8BE3-4B2F-8FE3-C66501D334FC}">
      <dsp:nvSpPr>
        <dsp:cNvPr id="0" name=""/>
        <dsp:cNvSpPr/>
      </dsp:nvSpPr>
      <dsp:spPr>
        <a:xfrm rot="5400000">
          <a:off x="3126626" y="-1070584"/>
          <a:ext cx="276924" cy="3578352"/>
        </a:xfrm>
        <a:prstGeom prst="round2SameRect">
          <a:avLst/>
        </a:prstGeom>
        <a:solidFill>
          <a:schemeClr val="accent5">
            <a:tint val="40000"/>
            <a:alpha val="90000"/>
            <a:hueOff val="-1343955"/>
            <a:satOff val="-2330"/>
            <a:lumOff val="-234"/>
            <a:alphaOff val="0"/>
          </a:schemeClr>
        </a:solidFill>
        <a:ln w="6350" cap="flat" cmpd="sng" algn="ctr">
          <a:solidFill>
            <a:schemeClr val="accent5">
              <a:tint val="40000"/>
              <a:alpha val="90000"/>
              <a:hueOff val="-1343955"/>
              <a:satOff val="-2330"/>
              <a:lumOff val="-234"/>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08000" tIns="123825" rIns="180000" bIns="123825" numCol="1" spcCol="1270" anchor="ctr" anchorCtr="0">
          <a:noAutofit/>
        </a:bodyPr>
        <a:lstStyle/>
        <a:p>
          <a:pPr marL="57150" lvl="1" indent="-57150" algn="l" defTabSz="400050">
            <a:lnSpc>
              <a:spcPct val="90000"/>
            </a:lnSpc>
            <a:spcBef>
              <a:spcPct val="0"/>
            </a:spcBef>
            <a:spcAft>
              <a:spcPct val="15000"/>
            </a:spcAft>
            <a:buChar char="••"/>
          </a:pPr>
          <a:r>
            <a:rPr lang="fr-FR" sz="900" b="0" kern="700" baseline="0">
              <a:ln/>
              <a:latin typeface="Calibri"/>
              <a:ea typeface="+mn-ea"/>
              <a:cs typeface="+mn-cs"/>
            </a:rPr>
            <a:t>Procédures d'attribution  des droits</a:t>
          </a:r>
        </a:p>
      </dsp:txBody>
      <dsp:txXfrm rot="-5400000">
        <a:off x="1475912" y="593648"/>
        <a:ext cx="3564834" cy="249888"/>
      </dsp:txXfrm>
    </dsp:sp>
    <dsp:sp modelId="{B3DDA239-C377-4CDD-8A26-2823DB3A2D64}">
      <dsp:nvSpPr>
        <dsp:cNvPr id="0" name=""/>
        <dsp:cNvSpPr/>
      </dsp:nvSpPr>
      <dsp:spPr>
        <a:xfrm>
          <a:off x="536910" y="587294"/>
          <a:ext cx="939002" cy="262593"/>
        </a:xfrm>
        <a:prstGeom prst="homePlate">
          <a:avLst/>
        </a:prstGeom>
        <a:gradFill rotWithShape="0">
          <a:gsLst>
            <a:gs pos="0">
              <a:schemeClr val="accent5">
                <a:hueOff val="-1336972"/>
                <a:satOff val="-1860"/>
                <a:lumOff val="-713"/>
                <a:alphaOff val="0"/>
                <a:lumMod val="110000"/>
                <a:satMod val="105000"/>
                <a:tint val="67000"/>
              </a:schemeClr>
            </a:gs>
            <a:gs pos="50000">
              <a:schemeClr val="accent5">
                <a:hueOff val="-1336972"/>
                <a:satOff val="-1860"/>
                <a:lumOff val="-713"/>
                <a:alphaOff val="0"/>
                <a:lumMod val="105000"/>
                <a:satMod val="103000"/>
                <a:tint val="73000"/>
              </a:schemeClr>
            </a:gs>
            <a:gs pos="100000">
              <a:schemeClr val="accent5">
                <a:hueOff val="-1336972"/>
                <a:satOff val="-1860"/>
                <a:lumOff val="-71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15240" rIns="30480" bIns="15240" numCol="1" spcCol="1270" anchor="ctr" anchorCtr="0">
          <a:noAutofit/>
        </a:bodyPr>
        <a:lstStyle/>
        <a:p>
          <a:pPr lvl="0" algn="ctr" defTabSz="355600">
            <a:lnSpc>
              <a:spcPct val="90000"/>
            </a:lnSpc>
            <a:spcBef>
              <a:spcPct val="0"/>
            </a:spcBef>
            <a:spcAft>
              <a:spcPct val="35000"/>
            </a:spcAft>
          </a:pPr>
          <a:r>
            <a:rPr lang="fr-FR" sz="800" b="1" kern="1200">
              <a:latin typeface="Calibri"/>
              <a:ea typeface="+mn-ea"/>
              <a:cs typeface="+mn-cs"/>
            </a:rPr>
            <a:t>CAMI, SGH</a:t>
          </a:r>
        </a:p>
      </dsp:txBody>
      <dsp:txXfrm>
        <a:off x="536910" y="587294"/>
        <a:ext cx="873354" cy="262593"/>
      </dsp:txXfrm>
    </dsp:sp>
    <dsp:sp modelId="{EE37B38A-A232-4B66-B9BB-9944B4245AA9}">
      <dsp:nvSpPr>
        <dsp:cNvPr id="0" name=""/>
        <dsp:cNvSpPr/>
      </dsp:nvSpPr>
      <dsp:spPr>
        <a:xfrm rot="5400000">
          <a:off x="3126626" y="-776352"/>
          <a:ext cx="276924" cy="3578352"/>
        </a:xfrm>
        <a:prstGeom prst="round2SameRect">
          <a:avLst/>
        </a:prstGeom>
        <a:solidFill>
          <a:schemeClr val="accent5">
            <a:tint val="40000"/>
            <a:alpha val="90000"/>
            <a:hueOff val="-2015933"/>
            <a:satOff val="-3495"/>
            <a:lumOff val="-352"/>
            <a:alphaOff val="0"/>
          </a:schemeClr>
        </a:solidFill>
        <a:ln w="6350" cap="flat" cmpd="sng" algn="ctr">
          <a:solidFill>
            <a:schemeClr val="accent5">
              <a:tint val="40000"/>
              <a:alpha val="90000"/>
              <a:hueOff val="-2015933"/>
              <a:satOff val="-3495"/>
              <a:lumOff val="-352"/>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08000" tIns="123825" rIns="180000" bIns="123825" numCol="1" spcCol="1270" anchor="ctr" anchorCtr="0">
          <a:noAutofit/>
        </a:bodyPr>
        <a:lstStyle/>
        <a:p>
          <a:pPr marL="57150" lvl="1" indent="-57150" algn="l" defTabSz="400050">
            <a:lnSpc>
              <a:spcPct val="90000"/>
            </a:lnSpc>
            <a:spcBef>
              <a:spcPct val="0"/>
            </a:spcBef>
            <a:spcAft>
              <a:spcPct val="15000"/>
            </a:spcAft>
            <a:buChar char="••"/>
          </a:pPr>
          <a:r>
            <a:rPr lang="fr-FR" sz="900" b="0" kern="700" baseline="0">
              <a:ln/>
              <a:latin typeface="Calibri"/>
              <a:ea typeface="+mn-ea"/>
              <a:cs typeface="+mn-cs"/>
            </a:rPr>
            <a:t>Registres de droits</a:t>
          </a:r>
        </a:p>
      </dsp:txBody>
      <dsp:txXfrm rot="-5400000">
        <a:off x="1475912" y="887880"/>
        <a:ext cx="3564834" cy="249888"/>
      </dsp:txXfrm>
    </dsp:sp>
    <dsp:sp modelId="{4076F337-B5D2-411F-9A6A-BC84B9A933F0}">
      <dsp:nvSpPr>
        <dsp:cNvPr id="0" name=""/>
        <dsp:cNvSpPr/>
      </dsp:nvSpPr>
      <dsp:spPr>
        <a:xfrm>
          <a:off x="536910" y="881527"/>
          <a:ext cx="939002" cy="262593"/>
        </a:xfrm>
        <a:prstGeom prst="homePlate">
          <a:avLst/>
        </a:prstGeom>
        <a:gradFill rotWithShape="0">
          <a:gsLst>
            <a:gs pos="0">
              <a:schemeClr val="accent5">
                <a:hueOff val="-2005458"/>
                <a:satOff val="-2789"/>
                <a:lumOff val="-1070"/>
                <a:alphaOff val="0"/>
                <a:lumMod val="110000"/>
                <a:satMod val="105000"/>
                <a:tint val="67000"/>
              </a:schemeClr>
            </a:gs>
            <a:gs pos="50000">
              <a:schemeClr val="accent5">
                <a:hueOff val="-2005458"/>
                <a:satOff val="-2789"/>
                <a:lumOff val="-1070"/>
                <a:alphaOff val="0"/>
                <a:lumMod val="105000"/>
                <a:satMod val="103000"/>
                <a:tint val="73000"/>
              </a:schemeClr>
            </a:gs>
            <a:gs pos="100000">
              <a:schemeClr val="accent5">
                <a:hueOff val="-2005458"/>
                <a:satOff val="-2789"/>
                <a:lumOff val="-107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15240" rIns="30480" bIns="15240" numCol="1" spcCol="1270" anchor="ctr" anchorCtr="0">
          <a:noAutofit/>
        </a:bodyPr>
        <a:lstStyle/>
        <a:p>
          <a:pPr lvl="0" algn="ctr" defTabSz="355600">
            <a:lnSpc>
              <a:spcPct val="90000"/>
            </a:lnSpc>
            <a:spcBef>
              <a:spcPct val="0"/>
            </a:spcBef>
            <a:spcAft>
              <a:spcPct val="35000"/>
            </a:spcAft>
          </a:pPr>
          <a:r>
            <a:rPr lang="fr-FR" sz="800" b="1" kern="1200">
              <a:latin typeface="Calibri"/>
              <a:ea typeface="+mn-ea"/>
              <a:cs typeface="+mn-cs"/>
            </a:rPr>
            <a:t>CAMI, SGH</a:t>
          </a:r>
        </a:p>
      </dsp:txBody>
      <dsp:txXfrm>
        <a:off x="536910" y="881527"/>
        <a:ext cx="873354" cy="262593"/>
      </dsp:txXfrm>
    </dsp:sp>
    <dsp:sp modelId="{C603EED1-5EA4-43DB-AFE2-66008095961D}">
      <dsp:nvSpPr>
        <dsp:cNvPr id="0" name=""/>
        <dsp:cNvSpPr/>
      </dsp:nvSpPr>
      <dsp:spPr>
        <a:xfrm rot="5400000">
          <a:off x="3145667" y="-482119"/>
          <a:ext cx="276924" cy="3578352"/>
        </a:xfrm>
        <a:prstGeom prst="round2SameRect">
          <a:avLst/>
        </a:prstGeom>
        <a:solidFill>
          <a:schemeClr val="accent5">
            <a:tint val="40000"/>
            <a:alpha val="90000"/>
            <a:hueOff val="-2687911"/>
            <a:satOff val="-4660"/>
            <a:lumOff val="-469"/>
            <a:alphaOff val="0"/>
          </a:schemeClr>
        </a:solidFill>
        <a:ln w="6350" cap="flat" cmpd="sng" algn="ctr">
          <a:solidFill>
            <a:schemeClr val="accent5">
              <a:tint val="40000"/>
              <a:alpha val="90000"/>
              <a:hueOff val="-2687911"/>
              <a:satOff val="-4660"/>
              <a:lumOff val="-46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08000" tIns="123825" rIns="180000" bIns="123825" numCol="1" spcCol="1270" anchor="ctr" anchorCtr="0">
          <a:noAutofit/>
        </a:bodyPr>
        <a:lstStyle/>
        <a:p>
          <a:pPr marL="57150" lvl="1" indent="-57150" algn="l" defTabSz="400050">
            <a:lnSpc>
              <a:spcPct val="90000"/>
            </a:lnSpc>
            <a:spcBef>
              <a:spcPct val="0"/>
            </a:spcBef>
            <a:spcAft>
              <a:spcPct val="15000"/>
            </a:spcAft>
            <a:buChar char="••"/>
          </a:pPr>
          <a:r>
            <a:rPr lang="fr-FR" sz="900" b="0" kern="700" baseline="0">
              <a:ln/>
              <a:latin typeface="Calibri"/>
              <a:ea typeface="+mn-ea"/>
              <a:cs typeface="+mn-cs"/>
            </a:rPr>
            <a:t>Politique de publication des contrats </a:t>
          </a:r>
        </a:p>
      </dsp:txBody>
      <dsp:txXfrm rot="-5400000">
        <a:off x="1494953" y="1182113"/>
        <a:ext cx="3564834" cy="249888"/>
      </dsp:txXfrm>
    </dsp:sp>
    <dsp:sp modelId="{2F71AE09-5FEC-4634-9A3D-3586FE659A59}">
      <dsp:nvSpPr>
        <dsp:cNvPr id="0" name=""/>
        <dsp:cNvSpPr/>
      </dsp:nvSpPr>
      <dsp:spPr>
        <a:xfrm>
          <a:off x="536910" y="1175759"/>
          <a:ext cx="939002" cy="262593"/>
        </a:xfrm>
        <a:prstGeom prst="homePlate">
          <a:avLst/>
        </a:prstGeom>
        <a:gradFill rotWithShape="0">
          <a:gsLst>
            <a:gs pos="0">
              <a:schemeClr val="accent5">
                <a:hueOff val="-2673943"/>
                <a:satOff val="-3719"/>
                <a:lumOff val="-1426"/>
                <a:alphaOff val="0"/>
                <a:lumMod val="110000"/>
                <a:satMod val="105000"/>
                <a:tint val="67000"/>
              </a:schemeClr>
            </a:gs>
            <a:gs pos="50000">
              <a:schemeClr val="accent5">
                <a:hueOff val="-2673943"/>
                <a:satOff val="-3719"/>
                <a:lumOff val="-1426"/>
                <a:alphaOff val="0"/>
                <a:lumMod val="105000"/>
                <a:satMod val="103000"/>
                <a:tint val="73000"/>
              </a:schemeClr>
            </a:gs>
            <a:gs pos="100000">
              <a:schemeClr val="accent5">
                <a:hueOff val="-2673943"/>
                <a:satOff val="-3719"/>
                <a:lumOff val="-142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15240" rIns="30480" bIns="15240" numCol="1" spcCol="1270" anchor="ctr" anchorCtr="0">
          <a:noAutofit/>
        </a:bodyPr>
        <a:lstStyle/>
        <a:p>
          <a:pPr lvl="0" algn="ctr" defTabSz="355600">
            <a:lnSpc>
              <a:spcPct val="90000"/>
            </a:lnSpc>
            <a:spcBef>
              <a:spcPct val="0"/>
            </a:spcBef>
            <a:spcAft>
              <a:spcPct val="35000"/>
            </a:spcAft>
          </a:pPr>
          <a:r>
            <a:rPr lang="fr-FR" sz="800" b="1" kern="1200">
              <a:latin typeface="Calibri"/>
              <a:ea typeface="+mn-ea"/>
              <a:cs typeface="+mn-cs"/>
            </a:rPr>
            <a:t>Min. PF, Mines, Hydro</a:t>
          </a:r>
        </a:p>
      </dsp:txBody>
      <dsp:txXfrm>
        <a:off x="536910" y="1175759"/>
        <a:ext cx="873354" cy="262593"/>
      </dsp:txXfrm>
    </dsp:sp>
    <dsp:sp modelId="{DAC18469-7E86-462E-A995-1F8C782528B0}">
      <dsp:nvSpPr>
        <dsp:cNvPr id="0" name=""/>
        <dsp:cNvSpPr/>
      </dsp:nvSpPr>
      <dsp:spPr>
        <a:xfrm rot="5400000">
          <a:off x="3126626" y="-187887"/>
          <a:ext cx="276924" cy="3578352"/>
        </a:xfrm>
        <a:prstGeom prst="round2SameRect">
          <a:avLst/>
        </a:prstGeom>
        <a:solidFill>
          <a:schemeClr val="accent5">
            <a:tint val="40000"/>
            <a:alpha val="90000"/>
            <a:hueOff val="-3359889"/>
            <a:satOff val="-5825"/>
            <a:lumOff val="-586"/>
            <a:alphaOff val="0"/>
          </a:schemeClr>
        </a:solidFill>
        <a:ln w="6350" cap="flat" cmpd="sng" algn="ctr">
          <a:solidFill>
            <a:schemeClr val="accent5">
              <a:tint val="40000"/>
              <a:alpha val="90000"/>
              <a:hueOff val="-3359889"/>
              <a:satOff val="-5825"/>
              <a:lumOff val="-586"/>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08000" tIns="123825" rIns="180000" bIns="123825" numCol="1" spcCol="1270" anchor="ctr" anchorCtr="0">
          <a:noAutofit/>
        </a:bodyPr>
        <a:lstStyle/>
        <a:p>
          <a:pPr marL="57150" lvl="1" indent="-57150" algn="l" defTabSz="400050">
            <a:lnSpc>
              <a:spcPct val="90000"/>
            </a:lnSpc>
            <a:spcBef>
              <a:spcPct val="0"/>
            </a:spcBef>
            <a:spcAft>
              <a:spcPct val="15000"/>
            </a:spcAft>
            <a:buChar char="••"/>
          </a:pPr>
          <a:r>
            <a:rPr lang="fr-FR" sz="900" b="0" kern="700" baseline="0">
              <a:ln/>
              <a:latin typeface="Calibri"/>
              <a:ea typeface="+mn-ea"/>
              <a:cs typeface="+mn-cs"/>
            </a:rPr>
            <a:t>Propriété réelle</a:t>
          </a:r>
        </a:p>
      </dsp:txBody>
      <dsp:txXfrm rot="-5400000">
        <a:off x="1475912" y="1476345"/>
        <a:ext cx="3564834" cy="249888"/>
      </dsp:txXfrm>
    </dsp:sp>
    <dsp:sp modelId="{E3EA244C-3853-4E41-BC25-0BC2499716DD}">
      <dsp:nvSpPr>
        <dsp:cNvPr id="0" name=""/>
        <dsp:cNvSpPr/>
      </dsp:nvSpPr>
      <dsp:spPr>
        <a:xfrm>
          <a:off x="536910" y="1469991"/>
          <a:ext cx="939002" cy="262593"/>
        </a:xfrm>
        <a:prstGeom prst="homePlate">
          <a:avLst/>
        </a:prstGeom>
        <a:gradFill rotWithShape="0">
          <a:gsLst>
            <a:gs pos="0">
              <a:schemeClr val="accent5">
                <a:hueOff val="-3342429"/>
                <a:satOff val="-4649"/>
                <a:lumOff val="-1783"/>
                <a:alphaOff val="0"/>
                <a:lumMod val="110000"/>
                <a:satMod val="105000"/>
                <a:tint val="67000"/>
              </a:schemeClr>
            </a:gs>
            <a:gs pos="50000">
              <a:schemeClr val="accent5">
                <a:hueOff val="-3342429"/>
                <a:satOff val="-4649"/>
                <a:lumOff val="-1783"/>
                <a:alphaOff val="0"/>
                <a:lumMod val="105000"/>
                <a:satMod val="103000"/>
                <a:tint val="73000"/>
              </a:schemeClr>
            </a:gs>
            <a:gs pos="100000">
              <a:schemeClr val="accent5">
                <a:hueOff val="-3342429"/>
                <a:satOff val="-4649"/>
                <a:lumOff val="-178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15240" rIns="30480" bIns="15240" numCol="1" spcCol="1270" anchor="ctr" anchorCtr="0">
          <a:noAutofit/>
        </a:bodyPr>
        <a:lstStyle/>
        <a:p>
          <a:pPr lvl="0" algn="ctr" defTabSz="355600">
            <a:lnSpc>
              <a:spcPct val="90000"/>
            </a:lnSpc>
            <a:spcBef>
              <a:spcPct val="0"/>
            </a:spcBef>
            <a:spcAft>
              <a:spcPct val="35000"/>
            </a:spcAft>
          </a:pPr>
          <a:r>
            <a:rPr lang="fr-FR" sz="800" b="1" kern="1200">
              <a:latin typeface="Calibri"/>
              <a:ea typeface="+mn-ea"/>
              <a:cs typeface="+mn-cs"/>
            </a:rPr>
            <a:t>ENTREPRISES</a:t>
          </a:r>
        </a:p>
      </dsp:txBody>
      <dsp:txXfrm>
        <a:off x="536910" y="1469991"/>
        <a:ext cx="873354" cy="262593"/>
      </dsp:txXfrm>
    </dsp:sp>
    <dsp:sp modelId="{5668FB45-81EF-4AF9-992F-1EDC15A034AE}">
      <dsp:nvSpPr>
        <dsp:cNvPr id="0" name=""/>
        <dsp:cNvSpPr/>
      </dsp:nvSpPr>
      <dsp:spPr>
        <a:xfrm rot="5400000">
          <a:off x="3126626" y="106344"/>
          <a:ext cx="276924" cy="3578352"/>
        </a:xfrm>
        <a:prstGeom prst="round2SameRect">
          <a:avLst/>
        </a:prstGeom>
        <a:solidFill>
          <a:schemeClr val="accent5">
            <a:tint val="40000"/>
            <a:alpha val="90000"/>
            <a:hueOff val="-4031867"/>
            <a:satOff val="-6991"/>
            <a:lumOff val="-703"/>
            <a:alphaOff val="0"/>
          </a:schemeClr>
        </a:solidFill>
        <a:ln w="6350" cap="flat" cmpd="sng" algn="ctr">
          <a:solidFill>
            <a:schemeClr val="accent5">
              <a:tint val="40000"/>
              <a:alpha val="90000"/>
              <a:hueOff val="-4031867"/>
              <a:satOff val="-6991"/>
              <a:lumOff val="-70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08000" tIns="123825" rIns="180000" bIns="123825" numCol="1" spcCol="1270" anchor="ctr" anchorCtr="0">
          <a:noAutofit/>
        </a:bodyPr>
        <a:lstStyle/>
        <a:p>
          <a:pPr marL="57150" lvl="1" indent="-57150" algn="l" defTabSz="400050">
            <a:lnSpc>
              <a:spcPct val="90000"/>
            </a:lnSpc>
            <a:spcBef>
              <a:spcPct val="0"/>
            </a:spcBef>
            <a:spcAft>
              <a:spcPct val="15000"/>
            </a:spcAft>
            <a:buChar char="••"/>
          </a:pPr>
          <a:r>
            <a:rPr lang="fr-FR" sz="900" b="0" kern="700" baseline="0">
              <a:ln/>
              <a:latin typeface="Calibri"/>
              <a:ea typeface="+mn-ea"/>
              <a:cs typeface="+mn-cs"/>
            </a:rPr>
            <a:t>Participation de l'Etat dans les industries extractives</a:t>
          </a:r>
        </a:p>
      </dsp:txBody>
      <dsp:txXfrm rot="-5400000">
        <a:off x="1475912" y="1770576"/>
        <a:ext cx="3564834" cy="249888"/>
      </dsp:txXfrm>
    </dsp:sp>
    <dsp:sp modelId="{2EFD78ED-8B48-44A3-82AE-8CD5F2725C55}">
      <dsp:nvSpPr>
        <dsp:cNvPr id="0" name=""/>
        <dsp:cNvSpPr/>
      </dsp:nvSpPr>
      <dsp:spPr>
        <a:xfrm>
          <a:off x="536910" y="1764223"/>
          <a:ext cx="939002" cy="262593"/>
        </a:xfrm>
        <a:prstGeom prst="homePlate">
          <a:avLst/>
        </a:prstGeom>
        <a:gradFill rotWithShape="0">
          <a:gsLst>
            <a:gs pos="0">
              <a:schemeClr val="accent5">
                <a:hueOff val="-4010915"/>
                <a:satOff val="-5579"/>
                <a:lumOff val="-2139"/>
                <a:alphaOff val="0"/>
                <a:lumMod val="110000"/>
                <a:satMod val="105000"/>
                <a:tint val="67000"/>
              </a:schemeClr>
            </a:gs>
            <a:gs pos="50000">
              <a:schemeClr val="accent5">
                <a:hueOff val="-4010915"/>
                <a:satOff val="-5579"/>
                <a:lumOff val="-2139"/>
                <a:alphaOff val="0"/>
                <a:lumMod val="105000"/>
                <a:satMod val="103000"/>
                <a:tint val="73000"/>
              </a:schemeClr>
            </a:gs>
            <a:gs pos="100000">
              <a:schemeClr val="accent5">
                <a:hueOff val="-4010915"/>
                <a:satOff val="-5579"/>
                <a:lumOff val="-2139"/>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15240" rIns="30480" bIns="15240" numCol="1" spcCol="1270" anchor="ctr" anchorCtr="0">
          <a:noAutofit/>
        </a:bodyPr>
        <a:lstStyle/>
        <a:p>
          <a:pPr lvl="0" algn="ctr" defTabSz="355600">
            <a:lnSpc>
              <a:spcPct val="90000"/>
            </a:lnSpc>
            <a:spcBef>
              <a:spcPct val="0"/>
            </a:spcBef>
            <a:spcAft>
              <a:spcPct val="35000"/>
            </a:spcAft>
          </a:pPr>
          <a:r>
            <a:rPr lang="fr-FR" sz="800" b="1" kern="1200">
              <a:latin typeface="Calibri"/>
              <a:ea typeface="+mn-ea"/>
              <a:cs typeface="+mn-cs"/>
            </a:rPr>
            <a:t>Min. du PF, EPE</a:t>
          </a:r>
        </a:p>
      </dsp:txBody>
      <dsp:txXfrm>
        <a:off x="536910" y="1764223"/>
        <a:ext cx="873354" cy="262593"/>
      </dsp:txXfrm>
    </dsp:sp>
    <dsp:sp modelId="{FD6F9629-897A-48F4-8FD2-83C4978D2646}">
      <dsp:nvSpPr>
        <dsp:cNvPr id="0" name=""/>
        <dsp:cNvSpPr/>
      </dsp:nvSpPr>
      <dsp:spPr>
        <a:xfrm rot="5400000">
          <a:off x="3126626" y="400577"/>
          <a:ext cx="276924" cy="3578352"/>
        </a:xfrm>
        <a:prstGeom prst="round2SameRect">
          <a:avLst/>
        </a:prstGeom>
        <a:solidFill>
          <a:schemeClr val="accent5">
            <a:tint val="40000"/>
            <a:alpha val="90000"/>
            <a:hueOff val="-4703844"/>
            <a:satOff val="-8156"/>
            <a:lumOff val="-820"/>
            <a:alphaOff val="0"/>
          </a:schemeClr>
        </a:solidFill>
        <a:ln w="6350" cap="flat" cmpd="sng" algn="ctr">
          <a:solidFill>
            <a:schemeClr val="accent5">
              <a:tint val="40000"/>
              <a:alpha val="90000"/>
              <a:hueOff val="-4703844"/>
              <a:satOff val="-8156"/>
              <a:lumOff val="-82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08000" tIns="123825" rIns="180000" bIns="123825" numCol="1" spcCol="1270" anchor="ctr" anchorCtr="0">
          <a:noAutofit/>
        </a:bodyPr>
        <a:lstStyle/>
        <a:p>
          <a:pPr marL="57150" lvl="1" indent="-57150" algn="l" defTabSz="400050">
            <a:lnSpc>
              <a:spcPct val="90000"/>
            </a:lnSpc>
            <a:spcBef>
              <a:spcPct val="0"/>
            </a:spcBef>
            <a:spcAft>
              <a:spcPct val="15000"/>
            </a:spcAft>
            <a:buChar char="••"/>
          </a:pPr>
          <a:r>
            <a:rPr lang="fr-FR" sz="900" b="0" kern="700" baseline="0">
              <a:ln/>
              <a:latin typeface="Calibri"/>
              <a:ea typeface="+mn-ea"/>
              <a:cs typeface="+mn-cs"/>
            </a:rPr>
            <a:t>Prospection, production et exportations</a:t>
          </a:r>
        </a:p>
      </dsp:txBody>
      <dsp:txXfrm rot="-5400000">
        <a:off x="1475912" y="2064809"/>
        <a:ext cx="3564834" cy="249888"/>
      </dsp:txXfrm>
    </dsp:sp>
    <dsp:sp modelId="{348B7866-D543-4494-A5A9-BB36B7F4CF80}">
      <dsp:nvSpPr>
        <dsp:cNvPr id="0" name=""/>
        <dsp:cNvSpPr/>
      </dsp:nvSpPr>
      <dsp:spPr>
        <a:xfrm>
          <a:off x="536910" y="2058456"/>
          <a:ext cx="939002" cy="262593"/>
        </a:xfrm>
        <a:prstGeom prst="homePlate">
          <a:avLst/>
        </a:prstGeom>
        <a:gradFill rotWithShape="0">
          <a:gsLst>
            <a:gs pos="0">
              <a:schemeClr val="accent5">
                <a:hueOff val="-4679401"/>
                <a:satOff val="-6509"/>
                <a:lumOff val="-2496"/>
                <a:alphaOff val="0"/>
                <a:lumMod val="110000"/>
                <a:satMod val="105000"/>
                <a:tint val="67000"/>
              </a:schemeClr>
            </a:gs>
            <a:gs pos="50000">
              <a:schemeClr val="accent5">
                <a:hueOff val="-4679401"/>
                <a:satOff val="-6509"/>
                <a:lumOff val="-2496"/>
                <a:alphaOff val="0"/>
                <a:lumMod val="105000"/>
                <a:satMod val="103000"/>
                <a:tint val="73000"/>
              </a:schemeClr>
            </a:gs>
            <a:gs pos="100000">
              <a:schemeClr val="accent5">
                <a:hueOff val="-4679401"/>
                <a:satOff val="-6509"/>
                <a:lumOff val="-249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13335" rIns="26670" bIns="13335" numCol="1" spcCol="1270" anchor="ctr" anchorCtr="0">
          <a:noAutofit/>
        </a:bodyPr>
        <a:lstStyle/>
        <a:p>
          <a:pPr lvl="0" algn="ctr" defTabSz="311150">
            <a:lnSpc>
              <a:spcPct val="90000"/>
            </a:lnSpc>
            <a:spcBef>
              <a:spcPct val="0"/>
            </a:spcBef>
            <a:spcAft>
              <a:spcPct val="35000"/>
            </a:spcAft>
          </a:pPr>
          <a:r>
            <a:rPr lang="fr-FR" sz="700" b="1" kern="1200">
              <a:latin typeface="Calibri"/>
              <a:ea typeface="+mn-ea"/>
              <a:cs typeface="+mn-cs"/>
            </a:rPr>
            <a:t>ENTREPRISES, CTCPM,CAMI, BCC, SGH</a:t>
          </a:r>
        </a:p>
      </dsp:txBody>
      <dsp:txXfrm>
        <a:off x="536910" y="2058456"/>
        <a:ext cx="873354" cy="262593"/>
      </dsp:txXfrm>
    </dsp:sp>
    <dsp:sp modelId="{D345C441-DFDC-4761-A367-3E4BCDCA872D}">
      <dsp:nvSpPr>
        <dsp:cNvPr id="0" name=""/>
        <dsp:cNvSpPr/>
      </dsp:nvSpPr>
      <dsp:spPr>
        <a:xfrm rot="5400000">
          <a:off x="3126626" y="694809"/>
          <a:ext cx="276924" cy="3578352"/>
        </a:xfrm>
        <a:prstGeom prst="round2SameRect">
          <a:avLst/>
        </a:prstGeom>
        <a:solidFill>
          <a:schemeClr val="accent5">
            <a:tint val="40000"/>
            <a:alpha val="90000"/>
            <a:hueOff val="-5375822"/>
            <a:satOff val="-9321"/>
            <a:lumOff val="-937"/>
            <a:alphaOff val="0"/>
          </a:schemeClr>
        </a:solidFill>
        <a:ln w="6350" cap="flat" cmpd="sng" algn="ctr">
          <a:solidFill>
            <a:schemeClr val="accent5">
              <a:tint val="40000"/>
              <a:alpha val="90000"/>
              <a:hueOff val="-5375822"/>
              <a:satOff val="-9321"/>
              <a:lumOff val="-937"/>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08000" tIns="123825" rIns="180000" bIns="123825" numCol="1" spcCol="1270" anchor="ctr" anchorCtr="0">
          <a:noAutofit/>
        </a:bodyPr>
        <a:lstStyle/>
        <a:p>
          <a:pPr marL="57150" lvl="1" indent="-57150" algn="l" defTabSz="400050">
            <a:lnSpc>
              <a:spcPct val="90000"/>
            </a:lnSpc>
            <a:spcBef>
              <a:spcPct val="0"/>
            </a:spcBef>
            <a:spcAft>
              <a:spcPct val="15000"/>
            </a:spcAft>
            <a:buChar char="••"/>
          </a:pPr>
          <a:r>
            <a:rPr lang="fr-FR" sz="900" b="0" kern="700" baseline="0">
              <a:ln/>
              <a:latin typeface="Calibri"/>
              <a:ea typeface="+mn-ea"/>
              <a:cs typeface="+mn-cs"/>
            </a:rPr>
            <a:t>Transferts infranationaux</a:t>
          </a:r>
        </a:p>
      </dsp:txBody>
      <dsp:txXfrm rot="-5400000">
        <a:off x="1475912" y="2359041"/>
        <a:ext cx="3564834" cy="249888"/>
      </dsp:txXfrm>
    </dsp:sp>
    <dsp:sp modelId="{ECF84230-D726-4FDA-87E0-B0CFDD9D2804}">
      <dsp:nvSpPr>
        <dsp:cNvPr id="0" name=""/>
        <dsp:cNvSpPr/>
      </dsp:nvSpPr>
      <dsp:spPr>
        <a:xfrm>
          <a:off x="536910" y="2352688"/>
          <a:ext cx="939002" cy="262593"/>
        </a:xfrm>
        <a:prstGeom prst="homePlate">
          <a:avLst/>
        </a:prstGeom>
        <a:gradFill rotWithShape="0">
          <a:gsLst>
            <a:gs pos="0">
              <a:schemeClr val="accent5">
                <a:hueOff val="-5347887"/>
                <a:satOff val="-7439"/>
                <a:lumOff val="-2852"/>
                <a:alphaOff val="0"/>
                <a:lumMod val="110000"/>
                <a:satMod val="105000"/>
                <a:tint val="67000"/>
              </a:schemeClr>
            </a:gs>
            <a:gs pos="50000">
              <a:schemeClr val="accent5">
                <a:hueOff val="-5347887"/>
                <a:satOff val="-7439"/>
                <a:lumOff val="-2852"/>
                <a:alphaOff val="0"/>
                <a:lumMod val="105000"/>
                <a:satMod val="103000"/>
                <a:tint val="73000"/>
              </a:schemeClr>
            </a:gs>
            <a:gs pos="100000">
              <a:schemeClr val="accent5">
                <a:hueOff val="-5347887"/>
                <a:satOff val="-7439"/>
                <a:lumOff val="-285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15240" rIns="30480" bIns="15240" numCol="1" spcCol="1270" anchor="ctr" anchorCtr="0">
          <a:noAutofit/>
        </a:bodyPr>
        <a:lstStyle/>
        <a:p>
          <a:pPr lvl="0" algn="ctr" defTabSz="355600">
            <a:lnSpc>
              <a:spcPct val="90000"/>
            </a:lnSpc>
            <a:spcBef>
              <a:spcPct val="0"/>
            </a:spcBef>
            <a:spcAft>
              <a:spcPct val="35000"/>
            </a:spcAft>
          </a:pPr>
          <a:r>
            <a:rPr lang="fr-FR" sz="800" b="1" kern="1200">
              <a:latin typeface="Calibri"/>
              <a:ea typeface="+mn-ea"/>
              <a:cs typeface="+mn-cs"/>
            </a:rPr>
            <a:t>CTR, BCC</a:t>
          </a:r>
        </a:p>
      </dsp:txBody>
      <dsp:txXfrm>
        <a:off x="536910" y="2352688"/>
        <a:ext cx="873354" cy="262593"/>
      </dsp:txXfrm>
    </dsp:sp>
    <dsp:sp modelId="{F836AA0D-C047-4039-96C4-B69E990CBFE0}">
      <dsp:nvSpPr>
        <dsp:cNvPr id="0" name=""/>
        <dsp:cNvSpPr/>
      </dsp:nvSpPr>
      <dsp:spPr>
        <a:xfrm rot="5400000">
          <a:off x="3126626" y="989041"/>
          <a:ext cx="276924" cy="3578352"/>
        </a:xfrm>
        <a:prstGeom prst="round2SameRect">
          <a:avLst/>
        </a:prstGeom>
        <a:solidFill>
          <a:schemeClr val="accent5">
            <a:tint val="40000"/>
            <a:alpha val="90000"/>
            <a:hueOff val="-6047799"/>
            <a:satOff val="-10486"/>
            <a:lumOff val="-1055"/>
            <a:alphaOff val="0"/>
          </a:schemeClr>
        </a:solidFill>
        <a:ln w="6350" cap="flat" cmpd="sng" algn="ctr">
          <a:solidFill>
            <a:schemeClr val="accent5">
              <a:tint val="40000"/>
              <a:alpha val="90000"/>
              <a:hueOff val="-6047799"/>
              <a:satOff val="-10486"/>
              <a:lumOff val="-1055"/>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08000" tIns="123825" rIns="180000" bIns="123825" numCol="1" spcCol="1270" anchor="ctr" anchorCtr="0">
          <a:noAutofit/>
        </a:bodyPr>
        <a:lstStyle/>
        <a:p>
          <a:pPr marL="57150" lvl="1" indent="-57150" algn="l" defTabSz="400050">
            <a:lnSpc>
              <a:spcPct val="90000"/>
            </a:lnSpc>
            <a:spcBef>
              <a:spcPct val="0"/>
            </a:spcBef>
            <a:spcAft>
              <a:spcPct val="15000"/>
            </a:spcAft>
            <a:buChar char="••"/>
          </a:pPr>
          <a:r>
            <a:rPr lang="fr-FR" sz="900" b="0" kern="700" baseline="0">
              <a:ln/>
              <a:latin typeface="Calibri"/>
              <a:ea typeface="+mn-ea"/>
              <a:cs typeface="+mn-cs"/>
            </a:rPr>
            <a:t>Dépenses  sociales</a:t>
          </a:r>
        </a:p>
      </dsp:txBody>
      <dsp:txXfrm rot="-5400000">
        <a:off x="1475912" y="2653273"/>
        <a:ext cx="3564834" cy="249888"/>
      </dsp:txXfrm>
    </dsp:sp>
    <dsp:sp modelId="{759AC901-B5C6-4C65-B2DE-56614DEC4387}">
      <dsp:nvSpPr>
        <dsp:cNvPr id="0" name=""/>
        <dsp:cNvSpPr/>
      </dsp:nvSpPr>
      <dsp:spPr>
        <a:xfrm>
          <a:off x="536910" y="2646920"/>
          <a:ext cx="939002" cy="262593"/>
        </a:xfrm>
        <a:prstGeom prst="homePlate">
          <a:avLst/>
        </a:prstGeom>
        <a:gradFill rotWithShape="0">
          <a:gsLst>
            <a:gs pos="0">
              <a:schemeClr val="accent5">
                <a:hueOff val="-6016373"/>
                <a:satOff val="-8368"/>
                <a:lumOff val="-3209"/>
                <a:alphaOff val="0"/>
                <a:lumMod val="110000"/>
                <a:satMod val="105000"/>
                <a:tint val="67000"/>
              </a:schemeClr>
            </a:gs>
            <a:gs pos="50000">
              <a:schemeClr val="accent5">
                <a:hueOff val="-6016373"/>
                <a:satOff val="-8368"/>
                <a:lumOff val="-3209"/>
                <a:alphaOff val="0"/>
                <a:lumMod val="105000"/>
                <a:satMod val="103000"/>
                <a:tint val="73000"/>
              </a:schemeClr>
            </a:gs>
            <a:gs pos="100000">
              <a:schemeClr val="accent5">
                <a:hueOff val="-6016373"/>
                <a:satOff val="-8368"/>
                <a:lumOff val="-3209"/>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15240" rIns="30480" bIns="15240" numCol="1" spcCol="1270" anchor="ctr" anchorCtr="0">
          <a:noAutofit/>
        </a:bodyPr>
        <a:lstStyle/>
        <a:p>
          <a:pPr lvl="0" algn="ctr" defTabSz="355600">
            <a:lnSpc>
              <a:spcPct val="90000"/>
            </a:lnSpc>
            <a:spcBef>
              <a:spcPct val="0"/>
            </a:spcBef>
            <a:spcAft>
              <a:spcPct val="35000"/>
            </a:spcAft>
          </a:pPr>
          <a:r>
            <a:rPr lang="fr-FR" sz="800" b="1" kern="1200">
              <a:latin typeface="Calibri"/>
              <a:ea typeface="+mn-ea"/>
              <a:cs typeface="+mn-cs"/>
            </a:rPr>
            <a:t>ENTREPRISES</a:t>
          </a:r>
        </a:p>
      </dsp:txBody>
      <dsp:txXfrm>
        <a:off x="536910" y="2646920"/>
        <a:ext cx="873354" cy="262593"/>
      </dsp:txXfrm>
    </dsp:sp>
    <dsp:sp modelId="{CF454B15-5CC5-4910-A3C4-9B5F573E73EA}">
      <dsp:nvSpPr>
        <dsp:cNvPr id="0" name=""/>
        <dsp:cNvSpPr/>
      </dsp:nvSpPr>
      <dsp:spPr>
        <a:xfrm rot="5400000">
          <a:off x="3126626" y="1283273"/>
          <a:ext cx="276924" cy="3578352"/>
        </a:xfrm>
        <a:prstGeom prst="round2SameRect">
          <a:avLst/>
        </a:prstGeom>
        <a:solidFill>
          <a:schemeClr val="accent5">
            <a:tint val="40000"/>
            <a:alpha val="90000"/>
            <a:hueOff val="-6719778"/>
            <a:satOff val="-11651"/>
            <a:lumOff val="-1172"/>
            <a:alphaOff val="0"/>
          </a:schemeClr>
        </a:solidFill>
        <a:ln w="6350" cap="flat" cmpd="sng" algn="ctr">
          <a:solidFill>
            <a:schemeClr val="accent5">
              <a:tint val="40000"/>
              <a:alpha val="90000"/>
              <a:hueOff val="-6719778"/>
              <a:satOff val="-11651"/>
              <a:lumOff val="-1172"/>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08000" tIns="123825" rIns="180000" bIns="123825" numCol="1" spcCol="1270" anchor="ctr" anchorCtr="0">
          <a:noAutofit/>
        </a:bodyPr>
        <a:lstStyle/>
        <a:p>
          <a:pPr marL="57150" lvl="1" indent="-57150" algn="l" defTabSz="400050">
            <a:lnSpc>
              <a:spcPct val="90000"/>
            </a:lnSpc>
            <a:spcBef>
              <a:spcPct val="0"/>
            </a:spcBef>
            <a:spcAft>
              <a:spcPct val="15000"/>
            </a:spcAft>
            <a:buChar char="••"/>
          </a:pPr>
          <a:r>
            <a:rPr lang="fr-FR" sz="900" b="0" kern="700" baseline="0">
              <a:ln/>
              <a:latin typeface="Calibri"/>
              <a:ea typeface="+mn-ea"/>
              <a:cs typeface="+mn-cs"/>
            </a:rPr>
            <a:t>Dépenses  quasi fiscales</a:t>
          </a:r>
        </a:p>
      </dsp:txBody>
      <dsp:txXfrm rot="-5400000">
        <a:off x="1475912" y="2947505"/>
        <a:ext cx="3564834" cy="249888"/>
      </dsp:txXfrm>
    </dsp:sp>
    <dsp:sp modelId="{527A6DB8-CC8D-4117-B64B-FE1C51498EDF}">
      <dsp:nvSpPr>
        <dsp:cNvPr id="0" name=""/>
        <dsp:cNvSpPr/>
      </dsp:nvSpPr>
      <dsp:spPr>
        <a:xfrm>
          <a:off x="536910" y="2941152"/>
          <a:ext cx="939002" cy="262593"/>
        </a:xfrm>
        <a:prstGeom prst="homePlate">
          <a:avLst/>
        </a:prstGeom>
        <a:gradFill rotWithShape="0">
          <a:gsLst>
            <a:gs pos="0">
              <a:schemeClr val="accent5">
                <a:hueOff val="-6684859"/>
                <a:satOff val="-9298"/>
                <a:lumOff val="-3565"/>
                <a:alphaOff val="0"/>
                <a:lumMod val="110000"/>
                <a:satMod val="105000"/>
                <a:tint val="67000"/>
              </a:schemeClr>
            </a:gs>
            <a:gs pos="50000">
              <a:schemeClr val="accent5">
                <a:hueOff val="-6684859"/>
                <a:satOff val="-9298"/>
                <a:lumOff val="-3565"/>
                <a:alphaOff val="0"/>
                <a:lumMod val="105000"/>
                <a:satMod val="103000"/>
                <a:tint val="73000"/>
              </a:schemeClr>
            </a:gs>
            <a:gs pos="100000">
              <a:schemeClr val="accent5">
                <a:hueOff val="-6684859"/>
                <a:satOff val="-9298"/>
                <a:lumOff val="-35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15240" rIns="30480" bIns="15240" numCol="1" spcCol="1270" anchor="ctr" anchorCtr="0">
          <a:noAutofit/>
        </a:bodyPr>
        <a:lstStyle/>
        <a:p>
          <a:pPr lvl="0" algn="ctr" defTabSz="355600">
            <a:lnSpc>
              <a:spcPct val="90000"/>
            </a:lnSpc>
            <a:spcBef>
              <a:spcPct val="0"/>
            </a:spcBef>
            <a:spcAft>
              <a:spcPct val="35000"/>
            </a:spcAft>
          </a:pPr>
          <a:r>
            <a:rPr lang="fr-FR" sz="800" b="1" kern="1200">
              <a:latin typeface="Calibri"/>
              <a:ea typeface="+mn-ea"/>
              <a:cs typeface="+mn-cs"/>
            </a:rPr>
            <a:t>EPE</a:t>
          </a:r>
        </a:p>
      </dsp:txBody>
      <dsp:txXfrm>
        <a:off x="536910" y="2941152"/>
        <a:ext cx="873354" cy="262593"/>
      </dsp:txXfrm>
    </dsp:sp>
    <dsp:sp modelId="{522CCA70-A8BE-4659-8C00-496B771079DC}">
      <dsp:nvSpPr>
        <dsp:cNvPr id="0" name=""/>
        <dsp:cNvSpPr/>
      </dsp:nvSpPr>
      <dsp:spPr>
        <a:xfrm rot="5400000">
          <a:off x="3126626" y="1577506"/>
          <a:ext cx="276924" cy="3578352"/>
        </a:xfrm>
        <a:prstGeom prst="round2SameRect">
          <a:avLst/>
        </a:prstGeom>
        <a:solidFill>
          <a:schemeClr val="accent5">
            <a:tint val="40000"/>
            <a:alpha val="90000"/>
            <a:hueOff val="-7391755"/>
            <a:satOff val="-12816"/>
            <a:lumOff val="-1289"/>
            <a:alphaOff val="0"/>
          </a:schemeClr>
        </a:solidFill>
        <a:ln w="6350" cap="flat" cmpd="sng" algn="ctr">
          <a:solidFill>
            <a:schemeClr val="accent5">
              <a:tint val="40000"/>
              <a:alpha val="90000"/>
              <a:hueOff val="-7391755"/>
              <a:satOff val="-12816"/>
              <a:lumOff val="-128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08000" tIns="123825" rIns="180000" bIns="123825" numCol="1" spcCol="1270" anchor="ctr" anchorCtr="0">
          <a:noAutofit/>
        </a:bodyPr>
        <a:lstStyle/>
        <a:p>
          <a:pPr marL="57150" lvl="1" indent="-57150" algn="l" defTabSz="400050">
            <a:lnSpc>
              <a:spcPct val="90000"/>
            </a:lnSpc>
            <a:spcBef>
              <a:spcPct val="0"/>
            </a:spcBef>
            <a:spcAft>
              <a:spcPct val="15000"/>
            </a:spcAft>
            <a:buChar char="••"/>
          </a:pPr>
          <a:r>
            <a:rPr lang="fr-FR" sz="900" b="0" kern="700" baseline="0">
              <a:ln/>
              <a:latin typeface="Calibri"/>
              <a:ea typeface="+mn-ea"/>
              <a:cs typeface="+mn-cs"/>
            </a:rPr>
            <a:t>Contribution à l'économie</a:t>
          </a:r>
        </a:p>
      </dsp:txBody>
      <dsp:txXfrm rot="-5400000">
        <a:off x="1475912" y="3241738"/>
        <a:ext cx="3564834" cy="249888"/>
      </dsp:txXfrm>
    </dsp:sp>
    <dsp:sp modelId="{491281F3-ADC6-4D0B-A518-AE608E34DFB6}">
      <dsp:nvSpPr>
        <dsp:cNvPr id="0" name=""/>
        <dsp:cNvSpPr/>
      </dsp:nvSpPr>
      <dsp:spPr>
        <a:xfrm>
          <a:off x="536910" y="3235385"/>
          <a:ext cx="939002" cy="262593"/>
        </a:xfrm>
        <a:prstGeom prst="homePlate">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15240" rIns="30480" bIns="15240" numCol="1" spcCol="1270" anchor="ctr" anchorCtr="0">
          <a:noAutofit/>
        </a:bodyPr>
        <a:lstStyle/>
        <a:p>
          <a:pPr lvl="0" algn="ctr" defTabSz="355600">
            <a:lnSpc>
              <a:spcPct val="90000"/>
            </a:lnSpc>
            <a:spcBef>
              <a:spcPct val="0"/>
            </a:spcBef>
            <a:spcAft>
              <a:spcPct val="35000"/>
            </a:spcAft>
          </a:pPr>
          <a:r>
            <a:rPr lang="fr-FR" sz="800" b="1" kern="1200">
              <a:latin typeface="Calibri"/>
              <a:ea typeface="+mn-ea"/>
              <a:cs typeface="+mn-cs"/>
            </a:rPr>
            <a:t>BCC, ONEM, ENTREPRISES</a:t>
          </a:r>
        </a:p>
      </dsp:txBody>
      <dsp:txXfrm>
        <a:off x="536910" y="3235385"/>
        <a:ext cx="873354" cy="262593"/>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8656B8178C47DD87FB48F39B039399"/>
        <w:category>
          <w:name w:val="Général"/>
          <w:gallery w:val="placeholder"/>
        </w:category>
        <w:types>
          <w:type w:val="bbPlcHdr"/>
        </w:types>
        <w:behaviors>
          <w:behavior w:val="content"/>
        </w:behaviors>
        <w:guid w:val="{D296F487-EF44-4E8C-9A83-F7C7ADD32928}"/>
      </w:docPartPr>
      <w:docPartBody>
        <w:p w:rsidR="00A90B19" w:rsidRDefault="00CE3623" w:rsidP="00CE3623">
          <w:pPr>
            <w:pStyle w:val="4B8656B8178C47DD87FB48F39B039399"/>
          </w:pPr>
          <w:r>
            <w:t>[Tapez le titre du document]</w:t>
          </w:r>
        </w:p>
      </w:docPartBody>
    </w:docPart>
    <w:docPart>
      <w:docPartPr>
        <w:name w:val="BFBCE8B1111545928E1D5A39FF03BB7A"/>
        <w:category>
          <w:name w:val="Général"/>
          <w:gallery w:val="placeholder"/>
        </w:category>
        <w:types>
          <w:type w:val="bbPlcHdr"/>
        </w:types>
        <w:behaviors>
          <w:behavior w:val="content"/>
        </w:behaviors>
        <w:guid w:val="{9567F789-FB15-4FF5-9C56-FB636D6CCE38}"/>
      </w:docPartPr>
      <w:docPartBody>
        <w:p w:rsidR="00A90B19" w:rsidRDefault="00CE3623" w:rsidP="00CE3623">
          <w:pPr>
            <w:pStyle w:val="BFBCE8B1111545928E1D5A39FF03BB7A"/>
          </w:pPr>
          <w:r>
            <w:t>[Sélectionnez la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dobe Garamond Pro Bold">
    <w:altName w:val="Times New Roman"/>
    <w:panose1 w:val="00000000000000000000"/>
    <w:charset w:val="00"/>
    <w:family w:val="roman"/>
    <w:notTrueType/>
    <w:pitch w:val="variable"/>
    <w:sig w:usb0="00000007" w:usb1="00000001" w:usb2="00000000" w:usb3="00000000" w:csb0="00000093" w:csb1="00000000"/>
  </w:font>
  <w:font w:name="BLOHFC+Arial">
    <w:altName w:val="Arial"/>
    <w:panose1 w:val="00000000000000000000"/>
    <w:charset w:val="00"/>
    <w:family w:val="swiss"/>
    <w:notTrueType/>
    <w:pitch w:val="default"/>
    <w:sig w:usb0="00000003" w:usb1="00000000" w:usb2="00000000" w:usb3="00000000" w:csb0="00000001" w:csb1="00000000"/>
  </w:font>
  <w:font w:name="Yu Gothic UI">
    <w:panose1 w:val="020B0500000000000000"/>
    <w:charset w:val="80"/>
    <w:family w:val="swiss"/>
    <w:pitch w:val="variable"/>
    <w:sig w:usb0="E00002FF" w:usb1="2AC7FDFF" w:usb2="00000016" w:usb3="00000000" w:csb0="0002009F" w:csb1="00000000"/>
  </w:font>
  <w:font w:name="+mn-ea">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623"/>
    <w:rsid w:val="002E6228"/>
    <w:rsid w:val="00A90B19"/>
    <w:rsid w:val="00A9118A"/>
    <w:rsid w:val="00AE2AE5"/>
    <w:rsid w:val="00CD11B4"/>
    <w:rsid w:val="00CE3623"/>
    <w:rsid w:val="00F915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310E8018A11480A9019D77740BBC8CE">
    <w:name w:val="5310E8018A11480A9019D77740BBC8CE"/>
    <w:rsid w:val="00CE3623"/>
  </w:style>
  <w:style w:type="paragraph" w:customStyle="1" w:styleId="B4B89A93B11F446E89F7349F8DD3E431">
    <w:name w:val="B4B89A93B11F446E89F7349F8DD3E431"/>
    <w:rsid w:val="00CE3623"/>
  </w:style>
  <w:style w:type="paragraph" w:customStyle="1" w:styleId="4B8656B8178C47DD87FB48F39B039399">
    <w:name w:val="4B8656B8178C47DD87FB48F39B039399"/>
    <w:rsid w:val="00CE3623"/>
  </w:style>
  <w:style w:type="paragraph" w:customStyle="1" w:styleId="BFBCE8B1111545928E1D5A39FF03BB7A">
    <w:name w:val="BFBCE8B1111545928E1D5A39FF03BB7A"/>
    <w:rsid w:val="00CE3623"/>
  </w:style>
  <w:style w:type="paragraph" w:customStyle="1" w:styleId="A60E29BE843644718CB362592DB7BC90">
    <w:name w:val="A60E29BE843644718CB362592DB7BC90"/>
    <w:rsid w:val="00CE3623"/>
  </w:style>
  <w:style w:type="paragraph" w:customStyle="1" w:styleId="189F561F5413478081A14C2A332F2514">
    <w:name w:val="189F561F5413478081A14C2A332F2514"/>
    <w:rsid w:val="00CE3623"/>
  </w:style>
  <w:style w:type="paragraph" w:customStyle="1" w:styleId="60F27D3409EB4A2E9DD172ABD0D22BA1">
    <w:name w:val="60F27D3409EB4A2E9DD172ABD0D22BA1"/>
    <w:rsid w:val="00CE3623"/>
  </w:style>
  <w:style w:type="paragraph" w:customStyle="1" w:styleId="914665C4DE2340E4BAB5A0347584A585">
    <w:name w:val="914665C4DE2340E4BAB5A0347584A585"/>
    <w:rsid w:val="00CE3623"/>
  </w:style>
  <w:style w:type="paragraph" w:customStyle="1" w:styleId="A7C2C98716EE4833B292377FE79682AF">
    <w:name w:val="A7C2C98716EE4833B292377FE79682AF"/>
    <w:rsid w:val="00CE36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Rapport Contextuel ITIE-RDC 2016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CD5A46A-36BA-4601-B72A-5945D438B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89</Pages>
  <Words>29292</Words>
  <Characters>161108</Characters>
  <Application>Microsoft Office Word</Application>
  <DocSecurity>0</DocSecurity>
  <Lines>1342</Lines>
  <Paragraphs>380</Paragraphs>
  <ScaleCrop>false</ScaleCrop>
  <HeadingPairs>
    <vt:vector size="2" baseType="variant">
      <vt:variant>
        <vt:lpstr>Titre</vt:lpstr>
      </vt:variant>
      <vt:variant>
        <vt:i4>1</vt:i4>
      </vt:variant>
    </vt:vector>
  </HeadingPairs>
  <TitlesOfParts>
    <vt:vector size="1" baseType="lpstr">
      <vt:lpstr>Comité Exécutif</vt:lpstr>
    </vt:vector>
  </TitlesOfParts>
  <Company>HP</Company>
  <LinksUpToDate>false</LinksUpToDate>
  <CharactersWithSpaces>190020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Comité Exécutif</dc:title>
  <dc:creator>Secrétariat Technique</dc:creator>
  <cp:lastModifiedBy>Gilbert DENINGAIDI</cp:lastModifiedBy>
  <cp:revision>7</cp:revision>
  <dcterms:created xsi:type="dcterms:W3CDTF">2018-07-03T16:22:00Z</dcterms:created>
  <dcterms:modified xsi:type="dcterms:W3CDTF">2018-07-04T12:12:00Z</dcterms:modified>
</cp:coreProperties>
</file>